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SCN1A Expression Enhancement via NATs</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Generate ASO sequences targeting SCN1A regulatory elements to enhance expression in inhibitory neurons.</w:t>
      </w:r>
    </w:p>
    <w:p>
      <w:pPr>
        <w:spacing w:after="200" w:line="360"/>
      </w:pPr>
      <w:r>
        <w:rPr>
          <w:rFonts w:ascii="Arial" w:cs="Arial" w:eastAsia="Arial" w:hAnsi="Arial"/>
          <w:sz w:val="24"/>
          <w:szCs w:val="24"/>
        </w:rPr>
        <w:t xml:space="preserve">This pipeline designs antisense oligonucleotides targeting SCN1A gene regulatory elements and natural antisense transcripts (NATs) to enhance expression of the voltage-gated sodium channel Nav1.1 specifically in GABAergic inhibitory neurons. SCN1A haploinsufficiency causes Dravet syndrome, a severe developmental and epileptic encephalopathy (DEE) characterized by prolonged seizures and developmental impairment. The pipeline focuses on identifying inhibitory elements—upstream regulatory regions, intronic silencers, and endogenous NATs—whose blockade would de-repress SCN1A transcription and increase Nav1.1 expression in interneurons.</w:t>
      </w:r>
    </w:p>
    <w:p>
      <w:pPr>
        <w:spacing w:after="200" w:line="360"/>
      </w:pPr>
      <w:r>
        <w:rPr>
          <w:rFonts w:ascii="Arial" w:cs="Arial" w:eastAsia="Arial" w:hAnsi="Arial"/>
          <w:sz w:val="24"/>
          <w:szCs w:val="24"/>
        </w:rPr>
        <w:t xml:space="preserve">Unlike conventional knockdown approaches that reduce mRNA levels, this pipeline targets regulatory suppression mechanisms to increase expression. Natural antisense transcripts (NATs) that overlap SCN1A sense sequences can compete for transcription machinery or recruit repressive chromatin complexes. Intronic silencer elements and upstream repressor regions also constrain SCN1A expression. ASO-mediated disruption of these inhibitory elements can selectively enhance Nav1.1 in inhibitory neurons, restoring the excitation-inhibition balance disrupted in Dravet syndrome. The Quiver Bioscience EP CRISPR atlas provides detailed electrophysiology signatures of inhibitory neuron perturbations, enabling prediction of expected functional rescue: increased Nav1.1-dependent inward sodium current, enhanced action potential initiation, reduced rheobase, and increased firing frequency in GABAergic neurons.</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pipeline designs antisense oligonucleotides targeting SCN1A gene regulatory elements and natural antisense transcripts (NATs) to enhance expression of the voltage-gated sodium channel Nav1.1 specifically in GABAergic inhibitory neurons. SCN1A haploinsufficiency causes Dravet syndrome, a severe developmental and epileptic encephalopathy (DEE) characterized by prolonged seizures and developmental impairment. The pipeline focuses on identifying inhibitory elements—upstream regulatory regions, intronic silencers, and endogenous NATs—whose blockade would de-repress SCN1A transcription and increase Nav1.1 expression in interneurons.</w:t>
      </w:r>
    </w:p>
    <w:p>
      <w:pPr>
        <w:spacing w:after="200" w:line="360"/>
      </w:pPr>
      <w:r>
        <w:rPr>
          <w:rFonts w:ascii="Arial" w:cs="Arial" w:eastAsia="Arial" w:hAnsi="Arial"/>
          <w:sz w:val="24"/>
          <w:szCs w:val="24"/>
        </w:rPr>
        <w:t xml:space="preserve">Unlike conventional knockdown approaches that reduce mRNA levels, this pipeline targets regulatory suppression mechanisms to increase expression. Natural antisense transcripts (NATs) that overlap SCN1A sense sequences can compete for transcription machinery or recruit repressive chromatin complexes. Intronic silencer elements and upstream repressor regions also constrain SCN1A expression. ASO-mediated disruption of these inhibitory elements can selectively enhance Nav1.1 in inhibitory neurons, restoring the excitation-inhibition balance disrupted in Dravet syndrome. The Quiver Bioscience EP CRISPR atlas provides detailed electrophysiology signatures of inhibitory neuron perturbations, enabling prediction of expected functional rescue: increased Nav1.1-dependent inward sodium current, enhanced action potential initiation, reduced rheobase, and increased firing frequency in GABAergic neurons.</w:t>
      </w:r>
    </w:p>
    <w:p>
      <w:pPr>
        <w:pStyle w:val="Heading2"/>
      </w:pPr>
      <w:r>
        <w:rPr>
          <w:rFonts w:ascii="Arial" w:cs="Arial" w:eastAsia="Arial" w:hAnsi="Arial"/>
          <w:b/>
          <w:bCs/>
          <w:sz w:val="28"/>
          <w:szCs w:val="28"/>
        </w:rPr>
        <w:t xml:space="preserve">Stage 1: Regulatory Element Discovery &amp; NAT Identification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SCN1A regulatory elements, natural antisense transcripts, and inhibitory chromatin regions using RNA-seq, ATAC-seq, and ENCODE databases; map functional silencer and enhancer elements.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SCN1A genomic coordinates: Chr 2q24.3, NM_001165963.2 (primary transcript); 7 exons spanning ~40 kb</w:t>
      </w:r>
    </w:p>
    <w:p>
      <w:pPr>
        <w:pStyle w:val="ListParagraph"/>
        <w:numPr>
          <w:ilvl w:val="0"/>
          <w:numId w:val="2"/>
        </w:numPr>
        <w:spacing w:after="100" w:line="360"/>
      </w:pPr>
      <w:r>
        <w:rPr>
          <w:rFonts w:ascii="Arial" w:cs="Arial" w:eastAsia="Arial" w:hAnsi="Arial"/>
          <w:sz w:val="24"/>
          <w:szCs w:val="24"/>
        </w:rPr>
        <w:t xml:space="preserve">ENCODE chromatin accessibility (ATAC-seq) for neurons: identify open chromatin regions (OCRs) in inhibitory vs. excitatory neuron types</w:t>
      </w:r>
    </w:p>
    <w:p>
      <w:pPr>
        <w:pStyle w:val="ListParagraph"/>
        <w:numPr>
          <w:ilvl w:val="0"/>
          <w:numId w:val="2"/>
        </w:numPr>
        <w:spacing w:after="100" w:line="360"/>
      </w:pPr>
      <w:r>
        <w:rPr>
          <w:rFonts w:ascii="Arial" w:cs="Arial" w:eastAsia="Arial" w:hAnsi="Arial"/>
          <w:sz w:val="24"/>
          <w:szCs w:val="24"/>
        </w:rPr>
        <w:t xml:space="preserve">ENCODE histone modification profiles: H3K4me3 (promoter activation), H3K27ac (active enhancer), H3K27me3 (repressive), H3K9me3 (silenced) at SCN1A locus</w:t>
      </w:r>
    </w:p>
    <w:p>
      <w:pPr>
        <w:pStyle w:val="ListParagraph"/>
        <w:numPr>
          <w:ilvl w:val="0"/>
          <w:numId w:val="2"/>
        </w:numPr>
        <w:spacing w:after="100" w:line="360"/>
      </w:pPr>
      <w:r>
        <w:rPr>
          <w:rFonts w:ascii="Arial" w:cs="Arial" w:eastAsia="Arial" w:hAnsi="Arial"/>
          <w:sz w:val="24"/>
          <w:szCs w:val="24"/>
        </w:rPr>
        <w:t xml:space="preserve">RNA-seq datasets from inhibitory (GABAergic interneurons) and excitatory (pyramidal) neurons to identify cell-type-specific NATs and regulatory RNAs</w:t>
      </w:r>
    </w:p>
    <w:p>
      <w:pPr>
        <w:pStyle w:val="ListParagraph"/>
        <w:numPr>
          <w:ilvl w:val="0"/>
          <w:numId w:val="2"/>
        </w:numPr>
        <w:spacing w:after="100" w:line="360"/>
      </w:pPr>
      <w:r>
        <w:rPr>
          <w:rFonts w:ascii="Arial" w:cs="Arial" w:eastAsia="Arial" w:hAnsi="Arial"/>
          <w:sz w:val="24"/>
          <w:szCs w:val="24"/>
        </w:rPr>
        <w:t xml:space="preserve">Quiver Bioscience EP CRISPR atlas: baseline firing rates, sodium current amplitudes, rheobase values in SCN1A-WT and SCN1A-heterozygous knockdown neurons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ENCODE data portal browser: access ATAC-seq, H3K4me3, H3K27ac ChIP-seq for primary neurons and iPSC-derived GABAergic interneurons</w:t>
      </w:r>
    </w:p>
    <w:p>
      <w:pPr>
        <w:pStyle w:val="ListParagraph"/>
        <w:numPr>
          <w:ilvl w:val="0"/>
          <w:numId w:val="2"/>
        </w:numPr>
        <w:spacing w:after="100" w:line="360"/>
      </w:pPr>
      <w:r>
        <w:rPr>
          <w:rFonts w:ascii="Arial" w:cs="Arial" w:eastAsia="Arial" w:hAnsi="Arial"/>
          <w:sz w:val="24"/>
          <w:szCs w:val="24"/>
        </w:rPr>
        <w:t xml:space="preserve">Phase-3 HiC (Hi-C) chromatin interaction mapper: identify 3D chromatin loops connecting SCN1A promoter to distal enhancers and silencers</w:t>
      </w:r>
    </w:p>
    <w:p>
      <w:pPr>
        <w:pStyle w:val="ListParagraph"/>
        <w:numPr>
          <w:ilvl w:val="0"/>
          <w:numId w:val="2"/>
        </w:numPr>
        <w:spacing w:after="100" w:line="360"/>
      </w:pPr>
      <w:r>
        <w:rPr>
          <w:rFonts w:ascii="Arial" w:cs="Arial" w:eastAsia="Arial" w:hAnsi="Arial"/>
          <w:sz w:val="24"/>
          <w:szCs w:val="24"/>
        </w:rPr>
        <w:t xml:space="preserve">Antisense transcript discovery pipeline: RAMpli (RNA-Antisense-Mining), LncRNAdb, competing-endogenous-RNA (ceRNA) databases for SCN1A-overlapping NATs</w:t>
      </w:r>
    </w:p>
    <w:p>
      <w:pPr>
        <w:pStyle w:val="ListParagraph"/>
        <w:numPr>
          <w:ilvl w:val="0"/>
          <w:numId w:val="2"/>
        </w:numPr>
        <w:spacing w:after="100" w:line="360"/>
      </w:pPr>
      <w:r>
        <w:rPr>
          <w:rFonts w:ascii="Arial" w:cs="Arial" w:eastAsia="Arial" w:hAnsi="Arial"/>
          <w:sz w:val="24"/>
          <w:szCs w:val="24"/>
        </w:rPr>
        <w:t xml:space="preserve">Intronic silencer/enhancer predictor: machine-learning classifier trained on known neuronal silencers (v-FOCS, STARE databases) applied to SCN1A introns</w:t>
      </w:r>
    </w:p>
    <w:p>
      <w:pPr>
        <w:pStyle w:val="ListParagraph"/>
        <w:numPr>
          <w:ilvl w:val="0"/>
          <w:numId w:val="2"/>
        </w:numPr>
        <w:spacing w:after="100" w:line="360"/>
      </w:pPr>
      <w:r>
        <w:rPr>
          <w:rFonts w:ascii="Arial" w:cs="Arial" w:eastAsia="Arial" w:hAnsi="Arial"/>
          <w:sz w:val="24"/>
          <w:szCs w:val="24"/>
        </w:rPr>
        <w:t xml:space="preserve">Transcription factor binding site (TFBS) enrichment analyzer: JASPAR motif scanning for repressor TFs (REST/NRSF, Sin3a, Polycomb) and activator TFs at regulatory regions</w:t>
      </w:r>
    </w:p>
    <w:p>
      <w:pPr>
        <w:pStyle w:val="ListParagraph"/>
        <w:numPr>
          <w:ilvl w:val="0"/>
          <w:numId w:val="2"/>
        </w:numPr>
        <w:spacing w:after="100" w:line="360"/>
      </w:pPr>
      <w:r>
        <w:rPr>
          <w:rFonts w:ascii="Arial" w:cs="Arial" w:eastAsia="Arial" w:hAnsi="Arial"/>
          <w:sz w:val="24"/>
          <w:szCs w:val="24"/>
        </w:rPr>
        <w:t xml:space="preserve">Neural-specific regulatory element (RE) database: comparison against FunSeq, Ensembl Regulatory Build for neuron-enriched and GABAergic-specific regulatory elements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Identify all natural antisense transcripts (NATs) overlapping SCN1A sense sequences using RNA-seq and antisense-mapping databases; prioritize NATs with high expression in inhibitory neurons</w:t>
      </w:r>
    </w:p>
    <w:p>
      <w:pPr>
        <w:pStyle w:val="ListParagraph"/>
        <w:numPr>
          <w:ilvl w:val="0"/>
          <w:numId w:val="2"/>
        </w:numPr>
        <w:spacing w:after="100" w:line="360"/>
      </w:pPr>
      <w:r>
        <w:rPr>
          <w:rFonts w:ascii="Arial" w:cs="Arial" w:eastAsia="Arial" w:hAnsi="Arial"/>
          <w:sz w:val="24"/>
          <w:szCs w:val="24"/>
        </w:rPr>
        <w:t xml:space="preserve">Map intronic silencer elements in SCN1A introns 1-6 using ENCODE H3K27me3 peaks, H3K9me3 marks, and ATAC-seq nucleosome gaps (silenced chromatin signatures)</w:t>
      </w:r>
    </w:p>
    <w:p>
      <w:pPr>
        <w:pStyle w:val="ListParagraph"/>
        <w:numPr>
          <w:ilvl w:val="0"/>
          <w:numId w:val="2"/>
        </w:numPr>
        <w:spacing w:after="100" w:line="360"/>
      </w:pPr>
      <w:r>
        <w:rPr>
          <w:rFonts w:ascii="Arial" w:cs="Arial" w:eastAsia="Arial" w:hAnsi="Arial"/>
          <w:sz w:val="24"/>
          <w:szCs w:val="24"/>
        </w:rPr>
        <w:t xml:space="preserve">Identify upstream repressor regions (−50 to −10 kb from SCN1A promoter) showing high H3K27me3/H3K9me3 and low accessibility in Dravet-affected tissues vs. healthy control neurons</w:t>
      </w:r>
    </w:p>
    <w:p>
      <w:pPr>
        <w:pStyle w:val="ListParagraph"/>
        <w:numPr>
          <w:ilvl w:val="0"/>
          <w:numId w:val="2"/>
        </w:numPr>
        <w:spacing w:after="100" w:line="360"/>
      </w:pPr>
      <w:r>
        <w:rPr>
          <w:rFonts w:ascii="Arial" w:cs="Arial" w:eastAsia="Arial" w:hAnsi="Arial"/>
          <w:sz w:val="24"/>
          <w:szCs w:val="24"/>
        </w:rPr>
        <w:t xml:space="preserve">Screen for REST/NRSF (repressor element 1 silencing transcription factor) and Sin3a binding sites at SCN1A locus; predict their regulatory contribution to basal SCN1A silencing</w:t>
      </w:r>
    </w:p>
    <w:p>
      <w:pPr>
        <w:pStyle w:val="ListParagraph"/>
        <w:numPr>
          <w:ilvl w:val="0"/>
          <w:numId w:val="2"/>
        </w:numPr>
        <w:spacing w:after="100" w:line="360"/>
      </w:pPr>
      <w:r>
        <w:rPr>
          <w:rFonts w:ascii="Arial" w:cs="Arial" w:eastAsia="Arial" w:hAnsi="Arial"/>
          <w:sz w:val="24"/>
          <w:szCs w:val="24"/>
        </w:rPr>
        <w:t xml:space="preserve">Integrate 3D chromatin structure data (Hi-C) to identify distal silencers that loop to SCN1A promoter; prioritize silencers with neuronal cell-type-specific interactions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Comprehensive regulatory element map: annotated genomic coordinates of SCN1A locus (−100 kb to +10 kb) showing promoter, exons, introns, identified enhancers, silencers, TFBS, and NAT positions</w:t>
      </w:r>
    </w:p>
    <w:p>
      <w:pPr>
        <w:pStyle w:val="ListParagraph"/>
        <w:numPr>
          <w:ilvl w:val="0"/>
          <w:numId w:val="2"/>
        </w:numPr>
        <w:spacing w:after="100" w:line="360"/>
      </w:pPr>
      <w:r>
        <w:rPr>
          <w:rFonts w:ascii="Arial" w:cs="Arial" w:eastAsia="Arial" w:hAnsi="Arial"/>
          <w:sz w:val="24"/>
          <w:szCs w:val="24"/>
        </w:rPr>
        <w:t xml:space="preserve">Natural antisense transcript (NAT) inventory: list of 5-15 identified NATs with sequence coordinates, expression levels (RNA-seq FPKM) in inhibitory vs. excitatory neurons, predicted regulatory function</w:t>
      </w:r>
    </w:p>
    <w:p>
      <w:pPr>
        <w:pStyle w:val="ListParagraph"/>
        <w:numPr>
          <w:ilvl w:val="0"/>
          <w:numId w:val="2"/>
        </w:numPr>
        <w:spacing w:after="100" w:line="360"/>
      </w:pPr>
      <w:r>
        <w:rPr>
          <w:rFonts w:ascii="Arial" w:cs="Arial" w:eastAsia="Arial" w:hAnsi="Arial"/>
          <w:sz w:val="24"/>
          <w:szCs w:val="24"/>
        </w:rPr>
        <w:t xml:space="preserve">Intronic silencer element table: location, histone modification signature, predicted silencer strength (based on H3K27me3 density), GABAergic-neuron specificity score</w:t>
      </w:r>
    </w:p>
    <w:p>
      <w:pPr>
        <w:pStyle w:val="ListParagraph"/>
        <w:numPr>
          <w:ilvl w:val="0"/>
          <w:numId w:val="2"/>
        </w:numPr>
        <w:spacing w:after="100" w:line="360"/>
      </w:pPr>
      <w:r>
        <w:rPr>
          <w:rFonts w:ascii="Arial" w:cs="Arial" w:eastAsia="Arial" w:hAnsi="Arial"/>
          <w:sz w:val="24"/>
          <w:szCs w:val="24"/>
        </w:rPr>
        <w:t xml:space="preserve">Upstream repressor region analysis: coordinates, REST/NRSF sites, repressor TF binding motifs, H3K27me3/H3K9me3 peak enrichment, predicted silencing strength</w:t>
      </w:r>
    </w:p>
    <w:p>
      <w:pPr>
        <w:pStyle w:val="ListParagraph"/>
        <w:numPr>
          <w:ilvl w:val="0"/>
          <w:numId w:val="2"/>
        </w:numPr>
        <w:spacing w:after="100" w:line="360"/>
      </w:pPr>
      <w:r>
        <w:rPr>
          <w:rFonts w:ascii="Arial" w:cs="Arial" w:eastAsia="Arial" w:hAnsi="Arial"/>
          <w:sz w:val="24"/>
          <w:szCs w:val="24"/>
        </w:rPr>
        <w:t xml:space="preserve">3D chromatin interaction map (Hi-C visualization): distal silencer-promoter loops, interneuron-specific chromatin conformations, predicted functional consequences of silencer disruption</w:t>
      </w:r>
    </w:p>
    <w:p>
      <w:pPr>
        <w:pStyle w:val="ListParagraph"/>
        <w:numPr>
          <w:ilvl w:val="0"/>
          <w:numId w:val="2"/>
        </w:numPr>
        <w:spacing w:after="100" w:line="360"/>
      </w:pPr>
      <w:r>
        <w:rPr>
          <w:rFonts w:ascii="Arial" w:cs="Arial" w:eastAsia="Arial" w:hAnsi="Arial"/>
          <w:sz w:val="24"/>
          <w:szCs w:val="24"/>
        </w:rPr>
        <w:t xml:space="preserve">Prioritized targeting list: ranked regulatory elements/NATs by predicted de-repression potential (knockdown efficacy vs. increase in Nav1.1 expression), GABAergic specificity, and least off-target risk</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Genomic coordinate table (CSV) with regulatory element annotations + Hi-C visualization + prioritized targeting list + IGV genome browser track files</w:t>
      </w:r>
    </w:p>
    <w:p>
      <w:pPr>
        <w:pStyle w:val="Heading2"/>
      </w:pPr>
      <w:r>
        <w:rPr>
          <w:rFonts w:ascii="Arial" w:cs="Arial" w:eastAsia="Arial" w:hAnsi="Arial"/>
          <w:b/>
          <w:bCs/>
          <w:sz w:val="28"/>
          <w:szCs w:val="28"/>
        </w:rPr>
        <w:t xml:space="preserve">Stage 2: ASO Design Targeting Regulatory Elements &amp; NATs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ASOs specifically targeting identified silencer elements, inhibitory NATs, and repressor binding sites; optimize for cell-type-specific delivery and maximum de-repression of SCN1A.</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Prioritized regulatory elements from Stage 1: intronic silencers, upstream repressor regions, NAT sequences, REST/NRSF binding sites</w:t>
      </w:r>
    </w:p>
    <w:p>
      <w:pPr>
        <w:pStyle w:val="ListParagraph"/>
        <w:numPr>
          <w:ilvl w:val="0"/>
          <w:numId w:val="2"/>
        </w:numPr>
        <w:spacing w:after="100" w:line="360"/>
      </w:pPr>
      <w:r>
        <w:rPr>
          <w:rFonts w:ascii="Arial" w:cs="Arial" w:eastAsia="Arial" w:hAnsi="Arial"/>
          <w:sz w:val="24"/>
          <w:szCs w:val="24"/>
        </w:rPr>
        <w:t xml:space="preserve">Cell-type-specific promoter elements: GABAergic interneuron markers (VGat, GAD67, Parvalbumin promoter) for understanding where de-repression should occur</w:t>
      </w:r>
    </w:p>
    <w:p>
      <w:pPr>
        <w:pStyle w:val="ListParagraph"/>
        <w:numPr>
          <w:ilvl w:val="0"/>
          <w:numId w:val="2"/>
        </w:numPr>
        <w:spacing w:after="100" w:line="360"/>
      </w:pPr>
      <w:r>
        <w:rPr>
          <w:rFonts w:ascii="Arial" w:cs="Arial" w:eastAsia="Arial" w:hAnsi="Arial"/>
          <w:sz w:val="24"/>
          <w:szCs w:val="24"/>
        </w:rPr>
        <w:t xml:space="preserve">ASO chemical templates: 2'MOE gapmers (standard choice for regulatory modulation), PMO backbones (for potential antisense effects on NAT RNA), LNA variants for high-affinity silencer disruption</w:t>
      </w:r>
    </w:p>
    <w:p>
      <w:pPr>
        <w:pStyle w:val="ListParagraph"/>
        <w:numPr>
          <w:ilvl w:val="0"/>
          <w:numId w:val="2"/>
        </w:numPr>
        <w:spacing w:after="100" w:line="360"/>
      </w:pPr>
      <w:r>
        <w:rPr>
          <w:rFonts w:ascii="Arial" w:cs="Arial" w:eastAsia="Arial" w:hAnsi="Arial"/>
          <w:sz w:val="24"/>
          <w:szCs w:val="24"/>
        </w:rPr>
        <w:t xml:space="preserve">Quiver Bioscience interneuron electrophysiology baseline: firing rates, rheobase, sodium current amplitudes in WT vs. SCN1A-heterozygous neurons (expected post-rescue parameters)</w:t>
      </w:r>
    </w:p>
    <w:p>
      <w:pPr>
        <w:pStyle w:val="ListParagraph"/>
        <w:numPr>
          <w:ilvl w:val="0"/>
          <w:numId w:val="2"/>
        </w:numPr>
        <w:spacing w:after="100" w:line="360"/>
      </w:pPr>
      <w:r>
        <w:rPr>
          <w:rFonts w:ascii="Arial" w:cs="Arial" w:eastAsia="Arial" w:hAnsi="Arial"/>
          <w:sz w:val="24"/>
          <w:szCs w:val="24"/>
        </w:rPr>
        <w:t xml:space="preserve">Off-target constraints: ensure minimal cross-reactivity with other sodium channel genes (SCN2A, SCN3A, etc.) or inhibitory transcription factors (GAD, GABA-A receptors)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Regulatory element disruption predictor: model how ASO-mediated blocking of silencer sequence affects transcription factor binding and chromatin state</w:t>
      </w:r>
    </w:p>
    <w:p>
      <w:pPr>
        <w:pStyle w:val="ListParagraph"/>
        <w:numPr>
          <w:ilvl w:val="0"/>
          <w:numId w:val="2"/>
        </w:numPr>
        <w:spacing w:after="100" w:line="360"/>
      </w:pPr>
      <w:r>
        <w:rPr>
          <w:rFonts w:ascii="Arial" w:cs="Arial" w:eastAsia="Arial" w:hAnsi="Arial"/>
          <w:sz w:val="24"/>
          <w:szCs w:val="24"/>
        </w:rPr>
        <w:t xml:space="preserve">NAT-targeting ASO designer: create complementary ASO sequences for endogenous NATs, accounting for RNA secondary structure and accessibility in RNP complexes</w:t>
      </w:r>
    </w:p>
    <w:p>
      <w:pPr>
        <w:pStyle w:val="ListParagraph"/>
        <w:numPr>
          <w:ilvl w:val="0"/>
          <w:numId w:val="2"/>
        </w:numPr>
        <w:spacing w:after="100" w:line="360"/>
      </w:pPr>
      <w:r>
        <w:rPr>
          <w:rFonts w:ascii="Arial" w:cs="Arial" w:eastAsia="Arial" w:hAnsi="Arial"/>
          <w:sz w:val="24"/>
          <w:szCs w:val="24"/>
        </w:rPr>
        <w:t xml:space="preserve">Chromatin remodeling activity predictor: predict whether ASO-mediated silencer disruption would lead to local chromatin opening (accessible chromatin) and increased transcription</w:t>
      </w:r>
    </w:p>
    <w:p>
      <w:pPr>
        <w:pStyle w:val="ListParagraph"/>
        <w:numPr>
          <w:ilvl w:val="0"/>
          <w:numId w:val="2"/>
        </w:numPr>
        <w:spacing w:after="100" w:line="360"/>
      </w:pPr>
      <w:r>
        <w:rPr>
          <w:rFonts w:ascii="Arial" w:cs="Arial" w:eastAsia="Arial" w:hAnsi="Arial"/>
          <w:sz w:val="24"/>
          <w:szCs w:val="24"/>
        </w:rPr>
        <w:t xml:space="preserve">Cell-type-specific promoter analyzer: map GABAergic-enriched enhancers and promoter elements within 50 kb of SCN1A locus to ensure regulatory element targeting is interneuron-selective</w:t>
      </w:r>
    </w:p>
    <w:p>
      <w:pPr>
        <w:pStyle w:val="ListParagraph"/>
        <w:numPr>
          <w:ilvl w:val="0"/>
          <w:numId w:val="2"/>
        </w:numPr>
        <w:spacing w:after="100" w:line="360"/>
      </w:pPr>
      <w:r>
        <w:rPr>
          <w:rFonts w:ascii="Arial" w:cs="Arial" w:eastAsia="Arial" w:hAnsi="Arial"/>
          <w:sz w:val="24"/>
          <w:szCs w:val="24"/>
        </w:rPr>
        <w:t xml:space="preserve">Secondary structure prediction for regulatory RNAs: RNAfold predictions for NATs and silencer-associated RNAs to assess ASO accessibility</w:t>
      </w:r>
    </w:p>
    <w:p>
      <w:pPr>
        <w:pStyle w:val="ListParagraph"/>
        <w:numPr>
          <w:ilvl w:val="0"/>
          <w:numId w:val="2"/>
        </w:numPr>
        <w:spacing w:after="100" w:line="360"/>
      </w:pPr>
      <w:r>
        <w:rPr>
          <w:rFonts w:ascii="Arial" w:cs="Arial" w:eastAsia="Arial" w:hAnsi="Arial"/>
          <w:sz w:val="24"/>
          <w:szCs w:val="24"/>
        </w:rPr>
        <w:t xml:space="preserve">Off-target transcriptome screening: BLAST search against voltage-gated ion channel genes and inhibitory neuron-enriched genes to minimize cross-reactivity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15 unique ASOs targeting identified intronic silencer sequences (top 3-5 silencers prioritized in Stage 1), each 18-25 nt long, optimized for disrupting repressor TF binding sites within silencers</w:t>
      </w:r>
    </w:p>
    <w:p>
      <w:pPr>
        <w:pStyle w:val="ListParagraph"/>
        <w:numPr>
          <w:ilvl w:val="0"/>
          <w:numId w:val="2"/>
        </w:numPr>
        <w:spacing w:after="100" w:line="360"/>
      </w:pPr>
      <w:r>
        <w:rPr>
          <w:rFonts w:ascii="Arial" w:cs="Arial" w:eastAsia="Arial" w:hAnsi="Arial"/>
          <w:sz w:val="24"/>
          <w:szCs w:val="24"/>
        </w:rPr>
        <w:t xml:space="preserve">Generate 10 ASOs targeting natural antisense transcripts (NATs) with sequences complementary to high-expression NAT regions; design ASOs to disrupt NAT-sense RNA duplexes</w:t>
      </w:r>
    </w:p>
    <w:p>
      <w:pPr>
        <w:pStyle w:val="ListParagraph"/>
        <w:numPr>
          <w:ilvl w:val="0"/>
          <w:numId w:val="2"/>
        </w:numPr>
        <w:spacing w:after="100" w:line="360"/>
      </w:pPr>
      <w:r>
        <w:rPr>
          <w:rFonts w:ascii="Arial" w:cs="Arial" w:eastAsia="Arial" w:hAnsi="Arial"/>
          <w:sz w:val="24"/>
          <w:szCs w:val="24"/>
        </w:rPr>
        <w:t xml:space="preserve">Create 8 ASOs targeting REST/NRSF binding sites and associated regulatory sequences in upstream repressor regions, designed to unmask silencer elements and de-repress SCN1A transcription</w:t>
      </w:r>
    </w:p>
    <w:p>
      <w:pPr>
        <w:pStyle w:val="ListParagraph"/>
        <w:numPr>
          <w:ilvl w:val="0"/>
          <w:numId w:val="2"/>
        </w:numPr>
        <w:spacing w:after="100" w:line="360"/>
      </w:pPr>
      <w:r>
        <w:rPr>
          <w:rFonts w:ascii="Arial" w:cs="Arial" w:eastAsia="Arial" w:hAnsi="Arial"/>
          <w:sz w:val="24"/>
          <w:szCs w:val="24"/>
        </w:rPr>
        <w:t xml:space="preserve">Design 5 combination ASO strategies: pairs of ASOs targeting complementary regulatory elements (e.g., silencer + upstream repressor) with predicted synergistic de-repression effects</w:t>
      </w:r>
    </w:p>
    <w:p>
      <w:pPr>
        <w:pStyle w:val="ListParagraph"/>
        <w:numPr>
          <w:ilvl w:val="0"/>
          <w:numId w:val="2"/>
        </w:numPr>
        <w:spacing w:after="100" w:line="360"/>
      </w:pPr>
      <w:r>
        <w:rPr>
          <w:rFonts w:ascii="Arial" w:cs="Arial" w:eastAsia="Arial" w:hAnsi="Arial"/>
          <w:sz w:val="24"/>
          <w:szCs w:val="24"/>
        </w:rPr>
        <w:t xml:space="preserve">Rank all 38 designed ASOs by predicted de-repression efficacy score: weighted by silencer disruption strength, NAT knockdown efficiency, GABAergic-specificity, and low off-target risk</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ASO candidate library: Sequence ID, target element (silencer/NAT/TFBS), sequence, length, predicted Tm (2'MOE-corrected), chemical modification, silencer disruption score (0-100)</w:t>
      </w:r>
    </w:p>
    <w:p>
      <w:pPr>
        <w:pStyle w:val="ListParagraph"/>
        <w:numPr>
          <w:ilvl w:val="0"/>
          <w:numId w:val="2"/>
        </w:numPr>
        <w:spacing w:after="100" w:line="360"/>
      </w:pPr>
      <w:r>
        <w:rPr>
          <w:rFonts w:ascii="Arial" w:cs="Arial" w:eastAsia="Arial" w:hAnsi="Arial"/>
          <w:sz w:val="24"/>
          <w:szCs w:val="24"/>
        </w:rPr>
        <w:t xml:space="preserve">Regulatory disruption predictions: for each ASO, predicted reduction in repressor TF binding (%), estimated impact on chromatin accessibility (ATAC-seq peak intensity increase), predicted transcriptional de-repression effect</w:t>
      </w:r>
    </w:p>
    <w:p>
      <w:pPr>
        <w:pStyle w:val="ListParagraph"/>
        <w:numPr>
          <w:ilvl w:val="0"/>
          <w:numId w:val="2"/>
        </w:numPr>
        <w:spacing w:after="100" w:line="360"/>
      </w:pPr>
      <w:r>
        <w:rPr>
          <w:rFonts w:ascii="Arial" w:cs="Arial" w:eastAsia="Arial" w:hAnsi="Arial"/>
          <w:sz w:val="24"/>
          <w:szCs w:val="24"/>
        </w:rPr>
        <w:t xml:space="preserve">NAT knockdown predictions: for NAT-targeting ASOs, predicted % NAT mRNA reduction, expected relief of ceRNA competition effects, secondary NAT knockdown (off-target homology)</w:t>
      </w:r>
    </w:p>
    <w:p>
      <w:pPr>
        <w:pStyle w:val="ListParagraph"/>
        <w:numPr>
          <w:ilvl w:val="0"/>
          <w:numId w:val="2"/>
        </w:numPr>
        <w:spacing w:after="100" w:line="360"/>
      </w:pPr>
      <w:r>
        <w:rPr>
          <w:rFonts w:ascii="Arial" w:cs="Arial" w:eastAsia="Arial" w:hAnsi="Arial"/>
          <w:sz w:val="24"/>
          <w:szCs w:val="24"/>
        </w:rPr>
        <w:t xml:space="preserve">Chimeric ASO pair recommendations: for dual-targeting strategies, predicted synergistic de-repression scores and combined efficacy rankings</w:t>
      </w:r>
    </w:p>
    <w:p>
      <w:pPr>
        <w:pStyle w:val="ListParagraph"/>
        <w:numPr>
          <w:ilvl w:val="0"/>
          <w:numId w:val="2"/>
        </w:numPr>
        <w:spacing w:after="100" w:line="360"/>
      </w:pPr>
      <w:r>
        <w:rPr>
          <w:rFonts w:ascii="Arial" w:cs="Arial" w:eastAsia="Arial" w:hAnsi="Arial"/>
          <w:sz w:val="24"/>
          <w:szCs w:val="24"/>
        </w:rPr>
        <w:t xml:space="preserve">Off-target analysis: for each ASO, top 10 predicted off-target bindings (by BLAST homology), risk assessment for affecting other sodium channels or GABAergic transcription factors</w:t>
      </w:r>
    </w:p>
    <w:p>
      <w:pPr>
        <w:pStyle w:val="ListParagraph"/>
        <w:numPr>
          <w:ilvl w:val="0"/>
          <w:numId w:val="2"/>
        </w:numPr>
        <w:spacing w:after="100" w:line="360"/>
      </w:pPr>
      <w:r>
        <w:rPr>
          <w:rFonts w:ascii="Arial" w:cs="Arial" w:eastAsia="Arial" w:hAnsi="Arial"/>
          <w:sz w:val="24"/>
          <w:szCs w:val="24"/>
        </w:rPr>
        <w:t xml:space="preserve">Final candidate ranking: prioritized list of top 15-20 ASOs by integrated de-repression efficacy, specificity, and safety profile, with detailed rationale for each selection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ASO candidate library (Sequence ID, Target, Sequence, Length, Tm, De-rep Score, NAT KD%, Off-target Count, Final Rank) + de-repression mechanism diagrams</w:t>
      </w:r>
    </w:p>
    <w:p>
      <w:pPr>
        <w:pStyle w:val="Heading2"/>
      </w:pPr>
      <w:r>
        <w:rPr>
          <w:rFonts w:ascii="Arial" w:cs="Arial" w:eastAsia="Arial" w:hAnsi="Arial"/>
          <w:b/>
          <w:bCs/>
          <w:sz w:val="28"/>
          <w:szCs w:val="28"/>
        </w:rPr>
        <w:t xml:space="preserve">Stage 3: Predicted SCN1A Expression Increase &amp; Cell-Type Specificity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Predict magnitude of SCN1A mRNA and Nav1.1 protein increase following ASO-mediated regulatory element disruption; assess cell-type-specific enhancement in inhibitory neurons.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15-20 ASO candidates from Stage 2 with predicted silencer disruption/NAT knockdown levels</w:t>
      </w:r>
    </w:p>
    <w:p>
      <w:pPr>
        <w:pStyle w:val="ListParagraph"/>
        <w:numPr>
          <w:ilvl w:val="0"/>
          <w:numId w:val="2"/>
        </w:numPr>
        <w:spacing w:after="100" w:line="360"/>
      </w:pPr>
      <w:r>
        <w:rPr>
          <w:rFonts w:ascii="Arial" w:cs="Arial" w:eastAsia="Arial" w:hAnsi="Arial"/>
          <w:sz w:val="24"/>
          <w:szCs w:val="24"/>
        </w:rPr>
        <w:t xml:space="preserve">Published SCN1A expression data: baseline mRNA levels in WT neurons (~1 arbitrary unit), reduced levels in Dravet (heterozygous ~0.5-0.6 units) and homozygous knockout (minimal)</w:t>
      </w:r>
    </w:p>
    <w:p>
      <w:pPr>
        <w:pStyle w:val="ListParagraph"/>
        <w:numPr>
          <w:ilvl w:val="0"/>
          <w:numId w:val="2"/>
        </w:numPr>
        <w:spacing w:after="100" w:line="360"/>
      </w:pPr>
      <w:r>
        <w:rPr>
          <w:rFonts w:ascii="Arial" w:cs="Arial" w:eastAsia="Arial" w:hAnsi="Arial"/>
          <w:sz w:val="24"/>
          <w:szCs w:val="24"/>
        </w:rPr>
        <w:t xml:space="preserve">Silencer strength estimates from Stage 1: predicted % repression attributable to each silencer element (e.g., intronic silencer = 30% repression, upstream silencer = 25%)</w:t>
      </w:r>
    </w:p>
    <w:p>
      <w:pPr>
        <w:pStyle w:val="ListParagraph"/>
        <w:numPr>
          <w:ilvl w:val="0"/>
          <w:numId w:val="2"/>
        </w:numPr>
        <w:spacing w:after="100" w:line="360"/>
      </w:pPr>
      <w:r>
        <w:rPr>
          <w:rFonts w:ascii="Arial" w:cs="Arial" w:eastAsia="Arial" w:hAnsi="Arial"/>
          <w:sz w:val="24"/>
          <w:szCs w:val="24"/>
        </w:rPr>
        <w:t xml:space="preserve">NAT contribution to silencing: estimated ceRNA mechanism impact on SCN1A mRNA stability/translation (literature-derived ~10-20% repression per high-abundance NAT)</w:t>
      </w:r>
    </w:p>
    <w:p>
      <w:pPr>
        <w:pStyle w:val="ListParagraph"/>
        <w:numPr>
          <w:ilvl w:val="0"/>
          <w:numId w:val="2"/>
        </w:numPr>
        <w:spacing w:after="100" w:line="360"/>
      </w:pPr>
      <w:r>
        <w:rPr>
          <w:rFonts w:ascii="Arial" w:cs="Arial" w:eastAsia="Arial" w:hAnsi="Arial"/>
          <w:sz w:val="24"/>
          <w:szCs w:val="24"/>
        </w:rPr>
        <w:t xml:space="preserve">Quiver Bioscience EP atlas: predicted Nav1.1-dependent sodium current amplitude vs. SCN1A mRNA level correlation; expected EP phenotype changes (rheobase, firing rate) per unit SCN1A increase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Silencer strength deconvolution model: machine-learning model trained on published enhancer/silencer perturbation studies to estimate % transcriptional repression per element</w:t>
      </w:r>
    </w:p>
    <w:p>
      <w:pPr>
        <w:pStyle w:val="ListParagraph"/>
        <w:numPr>
          <w:ilvl w:val="0"/>
          <w:numId w:val="2"/>
        </w:numPr>
        <w:spacing w:after="100" w:line="360"/>
      </w:pPr>
      <w:r>
        <w:rPr>
          <w:rFonts w:ascii="Arial" w:cs="Arial" w:eastAsia="Arial" w:hAnsi="Arial"/>
          <w:sz w:val="24"/>
          <w:szCs w:val="24"/>
        </w:rPr>
        <w:t xml:space="preserve">De-repression efficacy predictor: model ASO-mediated silencer disruption as percentage relief of baseline transcriptional repression, integrated with multiple silencers</w:t>
      </w:r>
    </w:p>
    <w:p>
      <w:pPr>
        <w:pStyle w:val="ListParagraph"/>
        <w:numPr>
          <w:ilvl w:val="0"/>
          <w:numId w:val="2"/>
        </w:numPr>
        <w:spacing w:after="100" w:line="360"/>
      </w:pPr>
      <w:r>
        <w:rPr>
          <w:rFonts w:ascii="Arial" w:cs="Arial" w:eastAsia="Arial" w:hAnsi="Arial"/>
          <w:sz w:val="24"/>
          <w:szCs w:val="24"/>
        </w:rPr>
        <w:t xml:space="preserve">NAT ceRNA modeling: predict impact of NAT knockdown on SCN1A mRNA stability and translational efficiency using competing-endogenous-RNA (ceRNA) dynamics models</w:t>
      </w:r>
    </w:p>
    <w:p>
      <w:pPr>
        <w:pStyle w:val="ListParagraph"/>
        <w:numPr>
          <w:ilvl w:val="0"/>
          <w:numId w:val="2"/>
        </w:numPr>
        <w:spacing w:after="100" w:line="360"/>
      </w:pPr>
      <w:r>
        <w:rPr>
          <w:rFonts w:ascii="Arial" w:cs="Arial" w:eastAsia="Arial" w:hAnsi="Arial"/>
          <w:sz w:val="24"/>
          <w:szCs w:val="24"/>
        </w:rPr>
        <w:t xml:space="preserve">mRNA-to-protein converter: estimate Nav1.1 protein level increase from predicted mRNA fold-change, accounting for transcriptional vs. translational contributions</w:t>
      </w:r>
    </w:p>
    <w:p>
      <w:pPr>
        <w:pStyle w:val="ListParagraph"/>
        <w:numPr>
          <w:ilvl w:val="0"/>
          <w:numId w:val="2"/>
        </w:numPr>
        <w:spacing w:after="100" w:line="360"/>
      </w:pPr>
      <w:r>
        <w:rPr>
          <w:rFonts w:ascii="Arial" w:cs="Arial" w:eastAsia="Arial" w:hAnsi="Arial"/>
          <w:sz w:val="24"/>
          <w:szCs w:val="24"/>
        </w:rPr>
        <w:t xml:space="preserve">EP phenotype correlator: link predicted Nav1.1 expression levels to quantitative EP changes (sodium current amplitude, rheobase, firing rate) using Quiver atlas training data</w:t>
      </w:r>
    </w:p>
    <w:p>
      <w:pPr>
        <w:pStyle w:val="ListParagraph"/>
        <w:numPr>
          <w:ilvl w:val="0"/>
          <w:numId w:val="2"/>
        </w:numPr>
        <w:spacing w:after="100" w:line="360"/>
      </w:pPr>
      <w:r>
        <w:rPr>
          <w:rFonts w:ascii="Arial" w:cs="Arial" w:eastAsia="Arial" w:hAnsi="Arial"/>
          <w:sz w:val="24"/>
          <w:szCs w:val="24"/>
        </w:rPr>
        <w:t xml:space="preserve">Cell-type-specificity validator: cross-reference ASO delivery strategy with GABAergic interneuron-specific markers to ensure de-repression is interneuron-enriched (not excitatory neurons)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of top 10 ASO candidates, model cumulative de-repression from silencer disruption: if silencer-1 = 30% repression and ASO achieves 70% silencer disruption, predict 21% overall transcriptional de-repression</w:t>
      </w:r>
    </w:p>
    <w:p>
      <w:pPr>
        <w:pStyle w:val="ListParagraph"/>
        <w:numPr>
          <w:ilvl w:val="0"/>
          <w:numId w:val="2"/>
        </w:numPr>
        <w:spacing w:after="100" w:line="360"/>
      </w:pPr>
      <w:r>
        <w:rPr>
          <w:rFonts w:ascii="Arial" w:cs="Arial" w:eastAsia="Arial" w:hAnsi="Arial"/>
          <w:sz w:val="24"/>
          <w:szCs w:val="24"/>
        </w:rPr>
        <w:t xml:space="preserve">Integrate contributions from dual-silencer ASO pairs: if two silencers independently contribute 30% + 25% repression, and both are disrupted, predict combined de-repression effect accounting for non-additivity</w:t>
      </w:r>
    </w:p>
    <w:p>
      <w:pPr>
        <w:pStyle w:val="ListParagraph"/>
        <w:numPr>
          <w:ilvl w:val="0"/>
          <w:numId w:val="2"/>
        </w:numPr>
        <w:spacing w:after="100" w:line="360"/>
      </w:pPr>
      <w:r>
        <w:rPr>
          <w:rFonts w:ascii="Arial" w:cs="Arial" w:eastAsia="Arial" w:hAnsi="Arial"/>
          <w:sz w:val="24"/>
          <w:szCs w:val="24"/>
        </w:rPr>
        <w:t xml:space="preserve">Calculate predicted NAT knockdown contribution to SCN1A increase: for NAT-targeting ASOs reducing NAT levels by 60-80%, estimate mRNA stability improvement via ceRNA relief (10-15% increase in SCN1A steady-state level)</w:t>
      </w:r>
    </w:p>
    <w:p>
      <w:pPr>
        <w:pStyle w:val="ListParagraph"/>
        <w:numPr>
          <w:ilvl w:val="0"/>
          <w:numId w:val="2"/>
        </w:numPr>
        <w:spacing w:after="100" w:line="360"/>
      </w:pPr>
      <w:r>
        <w:rPr>
          <w:rFonts w:ascii="Arial" w:cs="Arial" w:eastAsia="Arial" w:hAnsi="Arial"/>
          <w:sz w:val="24"/>
          <w:szCs w:val="24"/>
        </w:rPr>
        <w:t xml:space="preserve">Link predicted SCN1A mRNA fold-increase to expected Nav1.1 protein levels: account for translational efficiency (Nav1.1 mRNA Kozak sequence, ribosome occupancy) and protein stability (Nav1.1 t½ ~24 hours)</w:t>
      </w:r>
    </w:p>
    <w:p>
      <w:pPr>
        <w:pStyle w:val="ListParagraph"/>
        <w:numPr>
          <w:ilvl w:val="0"/>
          <w:numId w:val="2"/>
        </w:numPr>
        <w:spacing w:after="100" w:line="360"/>
      </w:pPr>
      <w:r>
        <w:rPr>
          <w:rFonts w:ascii="Arial" w:cs="Arial" w:eastAsia="Arial" w:hAnsi="Arial"/>
          <w:sz w:val="24"/>
          <w:szCs w:val="24"/>
        </w:rPr>
        <w:t xml:space="preserve">Correlate predicted Nav1.1 levels to EP phenotype changes: using Quiver atlas regression models, predict rheobase reduction (%), sodium current amplitude increase (%), and firing rate changes expected for each ASO</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SCN1A expression increase table: ASO ID, Predicted % silencer disruption, Predicted % NAT knockdown, Predicted cumulative SCN1A mRNA fold-change (e.g., 1.4x, 1.7x), Predicted Nav1.1 protein fold-change</w:t>
      </w:r>
    </w:p>
    <w:p>
      <w:pPr>
        <w:pStyle w:val="ListParagraph"/>
        <w:numPr>
          <w:ilvl w:val="0"/>
          <w:numId w:val="2"/>
        </w:numPr>
        <w:spacing w:after="100" w:line="360"/>
      </w:pPr>
      <w:r>
        <w:rPr>
          <w:rFonts w:ascii="Arial" w:cs="Arial" w:eastAsia="Arial" w:hAnsi="Arial"/>
          <w:sz w:val="24"/>
          <w:szCs w:val="24"/>
        </w:rPr>
        <w:t xml:space="preserve">De-repression mechanism breakdown: for top 5 ASOs, detailed attribution of expression increase to specific mechanisms (silencer-1 disruption: +15%, NAT knockdown: +12%, upstream repressor relief: +10%, total +37%)</w:t>
      </w:r>
    </w:p>
    <w:p>
      <w:pPr>
        <w:pStyle w:val="ListParagraph"/>
        <w:numPr>
          <w:ilvl w:val="0"/>
          <w:numId w:val="2"/>
        </w:numPr>
        <w:spacing w:after="100" w:line="360"/>
      </w:pPr>
      <w:r>
        <w:rPr>
          <w:rFonts w:ascii="Arial" w:cs="Arial" w:eastAsia="Arial" w:hAnsi="Arial"/>
          <w:sz w:val="24"/>
          <w:szCs w:val="24"/>
        </w:rPr>
        <w:t xml:space="preserve">Cell-type-specific expression predictions: predicted SCN1A increase in GABAergic interneurons (primary target), estimated off-target increase in excitatory neurons (should be minimal, &lt;5-fold difference), cell-type selectivity ratio</w:t>
      </w:r>
    </w:p>
    <w:p>
      <w:pPr>
        <w:pStyle w:val="ListParagraph"/>
        <w:numPr>
          <w:ilvl w:val="0"/>
          <w:numId w:val="2"/>
        </w:numPr>
        <w:spacing w:after="100" w:line="360"/>
      </w:pPr>
      <w:r>
        <w:rPr>
          <w:rFonts w:ascii="Arial" w:cs="Arial" w:eastAsia="Arial" w:hAnsi="Arial"/>
          <w:sz w:val="24"/>
          <w:szCs w:val="24"/>
        </w:rPr>
        <w:t xml:space="preserve">Nav1.1 protein level predictions: for each ASO, predicted fold-change in Nav1.1 protein (accounting for mRNA increase + translational efficiency), estimated steady-state protein levels (relative to WT)</w:t>
      </w:r>
    </w:p>
    <w:p>
      <w:pPr>
        <w:pStyle w:val="ListParagraph"/>
        <w:numPr>
          <w:ilvl w:val="0"/>
          <w:numId w:val="2"/>
        </w:numPr>
        <w:spacing w:after="100" w:line="360"/>
      </w:pPr>
      <w:r>
        <w:rPr>
          <w:rFonts w:ascii="Arial" w:cs="Arial" w:eastAsia="Arial" w:hAnsi="Arial"/>
          <w:sz w:val="24"/>
          <w:szCs w:val="24"/>
        </w:rPr>
        <w:t xml:space="preserve">EP phenotype predictions: for top 5 ASOs, quantitative predictions of sodium current amplitude increase (%), rheobase reduction (%), firing frequency change (Hz increase), and functional rescue score vs. Dravet heterozygote baseline</w:t>
      </w:r>
    </w:p>
    <w:p>
      <w:pPr>
        <w:pStyle w:val="ListParagraph"/>
        <w:numPr>
          <w:ilvl w:val="0"/>
          <w:numId w:val="2"/>
        </w:numPr>
        <w:spacing w:after="100" w:line="360"/>
      </w:pPr>
      <w:r>
        <w:rPr>
          <w:rFonts w:ascii="Arial" w:cs="Arial" w:eastAsia="Arial" w:hAnsi="Arial"/>
          <w:sz w:val="24"/>
          <w:szCs w:val="24"/>
        </w:rPr>
        <w:t xml:space="preserve">Rescue efficacy assessment: for each ASO, predicted % rescue of Dravet phenotype (e.g., 'ASO-1 predicted to achieve 60% phenotypic rescue of SCN1A-heterozygous deficit'), with confidence intervals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 expression prediction table (ASO ID, Target, % Silencer Disrupt, % NAT KD, mRNA Fold-change, Nav1.1 Fold-change, EP Predictions, Rescue%) + mechanism breakdown diagrams</w:t>
      </w:r>
    </w:p>
    <w:p>
      <w:pPr>
        <w:pStyle w:val="Heading2"/>
      </w:pPr>
      <w:r>
        <w:rPr>
          <w:rFonts w:ascii="Arial" w:cs="Arial" w:eastAsia="Arial" w:hAnsi="Arial"/>
          <w:b/>
          <w:bCs/>
          <w:sz w:val="28"/>
          <w:szCs w:val="28"/>
        </w:rPr>
        <w:t xml:space="preserve">Stage 4: GABAergic Interneuron-Specific Delivery &amp; Neuronal Targeting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ASO formulations and delivery strategies optimized for selective interneuron uptake; integrate with GABAergic-specific promoter targeting or cell-type-enriched delivery vehicles.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10 ASO candidates from Stage 3 with predicted expression increase and EP phenotype rescue</w:t>
      </w:r>
    </w:p>
    <w:p>
      <w:pPr>
        <w:pStyle w:val="ListParagraph"/>
        <w:numPr>
          <w:ilvl w:val="0"/>
          <w:numId w:val="2"/>
        </w:numPr>
        <w:spacing w:after="100" w:line="360"/>
      </w:pPr>
      <w:r>
        <w:rPr>
          <w:rFonts w:ascii="Arial" w:cs="Arial" w:eastAsia="Arial" w:hAnsi="Arial"/>
          <w:sz w:val="24"/>
          <w:szCs w:val="24"/>
        </w:rPr>
        <w:t xml:space="preserve">Interneuron targeting strategies: (1) intrinsic GABAergic cell uptake mechanisms (scavenger receptors enriched in interneurons), (2) GABAergic promoter-driven transgene co-delivery, (3) Cre-lox systems with interneuron-specific Cre drivers (PV-Cre, VGat-Cre, GAD67-Cre)</w:t>
      </w:r>
    </w:p>
    <w:p>
      <w:pPr>
        <w:pStyle w:val="ListParagraph"/>
        <w:numPr>
          <w:ilvl w:val="0"/>
          <w:numId w:val="2"/>
        </w:numPr>
        <w:spacing w:after="100" w:line="360"/>
      </w:pPr>
      <w:r>
        <w:rPr>
          <w:rFonts w:ascii="Arial" w:cs="Arial" w:eastAsia="Arial" w:hAnsi="Arial"/>
          <w:sz w:val="24"/>
          <w:szCs w:val="24"/>
        </w:rPr>
        <w:t xml:space="preserve">Chemical modification impact on cellular uptake: 2'MOE PS ASOs (scavenger receptor-mediated), PMO+CPP (cell-penetrating peptides), LNA (lower cellular uptake without conjugation)</w:t>
      </w:r>
    </w:p>
    <w:p>
      <w:pPr>
        <w:pStyle w:val="ListParagraph"/>
        <w:numPr>
          <w:ilvl w:val="0"/>
          <w:numId w:val="2"/>
        </w:numPr>
        <w:spacing w:after="100" w:line="360"/>
      </w:pPr>
      <w:r>
        <w:rPr>
          <w:rFonts w:ascii="Arial" w:cs="Arial" w:eastAsia="Arial" w:hAnsi="Arial"/>
          <w:sz w:val="24"/>
          <w:szCs w:val="24"/>
        </w:rPr>
        <w:t xml:space="preserve">Quiver Bioscience cell-type markers: interneuron-enriched genes (GAD1, GAD2, SLC6A1/GABA transporter, PVALB, SST), used to estimate cell-type-specific uptake efficiency</w:t>
      </w:r>
    </w:p>
    <w:p>
      <w:pPr>
        <w:pStyle w:val="ListParagraph"/>
        <w:numPr>
          <w:ilvl w:val="0"/>
          <w:numId w:val="2"/>
        </w:numPr>
        <w:spacing w:after="100" w:line="360"/>
      </w:pPr>
      <w:r>
        <w:rPr>
          <w:rFonts w:ascii="Arial" w:cs="Arial" w:eastAsia="Arial" w:hAnsi="Arial"/>
          <w:sz w:val="24"/>
          <w:szCs w:val="24"/>
        </w:rPr>
        <w:t xml:space="preserve">CNS delivery routes: intrathecal (IT) delivery for broad CNS distribution (less cell-type-selective), intracerebral injection (more localized), or systemic IV with BBB-penetrating modifications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Cell-type-specific receptor expression predictor: estimate scavenger receptor (SR-A, SR-B, LOX1) abundance in GABAergic vs. excitatory neurons using single-cell RNA-seq data</w:t>
      </w:r>
    </w:p>
    <w:p>
      <w:pPr>
        <w:pStyle w:val="ListParagraph"/>
        <w:numPr>
          <w:ilvl w:val="0"/>
          <w:numId w:val="2"/>
        </w:numPr>
        <w:spacing w:after="100" w:line="360"/>
      </w:pPr>
      <w:r>
        <w:rPr>
          <w:rFonts w:ascii="Arial" w:cs="Arial" w:eastAsia="Arial" w:hAnsi="Arial"/>
          <w:sz w:val="24"/>
          <w:szCs w:val="24"/>
        </w:rPr>
        <w:t xml:space="preserve">Interneuron uptake efficiency modeler: predict PS-ASO uptake in inhibitory neurons as function of scavenger receptor density and endocytic efficiency specific to GABAergic cells</w:t>
      </w:r>
    </w:p>
    <w:p>
      <w:pPr>
        <w:pStyle w:val="ListParagraph"/>
        <w:numPr>
          <w:ilvl w:val="0"/>
          <w:numId w:val="2"/>
        </w:numPr>
        <w:spacing w:after="100" w:line="360"/>
      </w:pPr>
      <w:r>
        <w:rPr>
          <w:rFonts w:ascii="Arial" w:cs="Arial" w:eastAsia="Arial" w:hAnsi="Arial"/>
          <w:sz w:val="24"/>
          <w:szCs w:val="24"/>
        </w:rPr>
        <w:t xml:space="preserve">GABAergic promoter-driven delivery simulator: model co-delivery of ASO with GABAergic promoter-driven expression cassettes (e.g., GAD67 promoter driving transgenic expression of ASO-binding proteins)</w:t>
      </w:r>
    </w:p>
    <w:p>
      <w:pPr>
        <w:pStyle w:val="ListParagraph"/>
        <w:numPr>
          <w:ilvl w:val="0"/>
          <w:numId w:val="2"/>
        </w:numPr>
        <w:spacing w:after="100" w:line="360"/>
      </w:pPr>
      <w:r>
        <w:rPr>
          <w:rFonts w:ascii="Arial" w:cs="Arial" w:eastAsia="Arial" w:hAnsi="Arial"/>
          <w:sz w:val="24"/>
          <w:szCs w:val="24"/>
        </w:rPr>
        <w:t xml:space="preserve">Cre-lox system compatibility analyzer: assess compatibility with standard interneuron-specific Cre driver lines (PV-Cre for parvalbumin+ basket cells, VGat-Cre for general inhibitory neurons, SST-Cre for somatostatin+ neurons)</w:t>
      </w:r>
    </w:p>
    <w:p>
      <w:pPr>
        <w:pStyle w:val="ListParagraph"/>
        <w:numPr>
          <w:ilvl w:val="0"/>
          <w:numId w:val="2"/>
        </w:numPr>
        <w:spacing w:after="100" w:line="360"/>
      </w:pPr>
      <w:r>
        <w:rPr>
          <w:rFonts w:ascii="Arial" w:cs="Arial" w:eastAsia="Arial" w:hAnsi="Arial"/>
          <w:sz w:val="24"/>
          <w:szCs w:val="24"/>
        </w:rPr>
        <w:t xml:space="preserve">Cell-penetrating peptide conjugation optimizer: for PMO sequences, design optimal CPP conjugate (TAT, penetratin, MPG) to balance interneuron uptake with toxicity</w:t>
      </w:r>
    </w:p>
    <w:p>
      <w:pPr>
        <w:pStyle w:val="ListParagraph"/>
        <w:numPr>
          <w:ilvl w:val="0"/>
          <w:numId w:val="2"/>
        </w:numPr>
        <w:spacing w:after="100" w:line="360"/>
      </w:pPr>
      <w:r>
        <w:rPr>
          <w:rFonts w:ascii="Arial" w:cs="Arial" w:eastAsia="Arial" w:hAnsi="Arial"/>
          <w:sz w:val="24"/>
          <w:szCs w:val="24"/>
        </w:rPr>
        <w:t xml:space="preserve">Delivery route simulator: compare IT vs. intracerebral vs. IV delivery in terms of interneuron targeting efficiency, off-target excitatory neuron uptake, and systemic exposure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Rank top 10 ASOs by intrinsic GABAergic cell uptake potential: 2'MOE PS ASOs expected to show 3-5 fold higher uptake in SR-A/SR-B-expressing interneurons vs. excitatory neurons</w:t>
      </w:r>
    </w:p>
    <w:p>
      <w:pPr>
        <w:pStyle w:val="ListParagraph"/>
        <w:numPr>
          <w:ilvl w:val="0"/>
          <w:numId w:val="2"/>
        </w:numPr>
        <w:spacing w:after="100" w:line="360"/>
      </w:pPr>
      <w:r>
        <w:rPr>
          <w:rFonts w:ascii="Arial" w:cs="Arial" w:eastAsia="Arial" w:hAnsi="Arial"/>
          <w:sz w:val="24"/>
          <w:szCs w:val="24"/>
        </w:rPr>
        <w:t xml:space="preserve">Design PMO-CPP conjugate variants for top 5 ASOs: select CPP (TAT vs. penetratin vs. MPG) based on interneuron transduction efficiency and predicted off-target neurons uptake</w:t>
      </w:r>
    </w:p>
    <w:p>
      <w:pPr>
        <w:pStyle w:val="ListParagraph"/>
        <w:numPr>
          <w:ilvl w:val="0"/>
          <w:numId w:val="2"/>
        </w:numPr>
        <w:spacing w:after="100" w:line="360"/>
      </w:pPr>
      <w:r>
        <w:rPr>
          <w:rFonts w:ascii="Arial" w:cs="Arial" w:eastAsia="Arial" w:hAnsi="Arial"/>
          <w:sz w:val="24"/>
          <w:szCs w:val="24"/>
        </w:rPr>
        <w:t xml:space="preserve">Model dual-delivery strategy combining ASO + transgenic GABAergic promoter-driven co-factor: predict synergistic interneuron specificity (e.g., 'GAD67-Cre driver + ASO interneuron-selective scavenger receptor targeting = 80% interneuron selectivity')</w:t>
      </w:r>
    </w:p>
    <w:p>
      <w:pPr>
        <w:pStyle w:val="ListParagraph"/>
        <w:numPr>
          <w:ilvl w:val="0"/>
          <w:numId w:val="2"/>
        </w:numPr>
        <w:spacing w:after="100" w:line="360"/>
      </w:pPr>
      <w:r>
        <w:rPr>
          <w:rFonts w:ascii="Arial" w:cs="Arial" w:eastAsia="Arial" w:hAnsi="Arial"/>
          <w:sz w:val="24"/>
          <w:szCs w:val="24"/>
        </w:rPr>
        <w:t xml:space="preserve">Evaluate Cre-lox compatibility: for experimental use in transgenic interneuron-specific Cre lines (PV-Cre, VGat-Cre), design conditional ASO delivery (loxP-flanked sequences) with tissue-specific Cre activation</w:t>
      </w:r>
    </w:p>
    <w:p>
      <w:pPr>
        <w:pStyle w:val="ListParagraph"/>
        <w:numPr>
          <w:ilvl w:val="0"/>
          <w:numId w:val="2"/>
        </w:numPr>
        <w:spacing w:after="100" w:line="360"/>
      </w:pPr>
      <w:r>
        <w:rPr>
          <w:rFonts w:ascii="Arial" w:cs="Arial" w:eastAsia="Arial" w:hAnsi="Arial"/>
          <w:sz w:val="24"/>
          <w:szCs w:val="24"/>
        </w:rPr>
        <w:t xml:space="preserve">Compare delivery routes (IT, intracerebral, IV) for each of top 5 ASOs: predict interneuron targeting specificity (% dose reaching target GABAergic cells), off-target excitatory uptake, and systemic toxicity risk</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Cell-type uptake efficiency matrix: ASO ID, Chemical Type, Predicted interneuron uptake (%), off-target excitatory neuron uptake (%), interneuron-selectivity ratio (should be &gt;3-fold)</w:t>
      </w:r>
    </w:p>
    <w:p>
      <w:pPr>
        <w:pStyle w:val="ListParagraph"/>
        <w:numPr>
          <w:ilvl w:val="0"/>
          <w:numId w:val="2"/>
        </w:numPr>
        <w:spacing w:after="100" w:line="360"/>
      </w:pPr>
      <w:r>
        <w:rPr>
          <w:rFonts w:ascii="Arial" w:cs="Arial" w:eastAsia="Arial" w:hAnsi="Arial"/>
          <w:sz w:val="24"/>
          <w:szCs w:val="24"/>
        </w:rPr>
        <w:t xml:space="preserve">GABAergic-specific delivery strategy recommendations: for each top 5 ASO, recommended delivery modality (2'MOE PS for scavenger receptor-mediated, PMO+CPP with specific CPP, Cre-lox compatible design)</w:t>
      </w:r>
    </w:p>
    <w:p>
      <w:pPr>
        <w:pStyle w:val="ListParagraph"/>
        <w:numPr>
          <w:ilvl w:val="0"/>
          <w:numId w:val="2"/>
        </w:numPr>
        <w:spacing w:after="100" w:line="360"/>
      </w:pPr>
      <w:r>
        <w:rPr>
          <w:rFonts w:ascii="Arial" w:cs="Arial" w:eastAsia="Arial" w:hAnsi="Arial"/>
          <w:sz w:val="24"/>
          <w:szCs w:val="24"/>
        </w:rPr>
        <w:t xml:space="preserve">CPP conjugate design specifications (for PMO ASOs): ASO sequence, optimal CPP selection (with rationale), predicted uptake improvement (fold-increase), off-target toxicity assessment</w:t>
      </w:r>
    </w:p>
    <w:p>
      <w:pPr>
        <w:pStyle w:val="ListParagraph"/>
        <w:numPr>
          <w:ilvl w:val="0"/>
          <w:numId w:val="2"/>
        </w:numPr>
        <w:spacing w:after="100" w:line="360"/>
      </w:pPr>
      <w:r>
        <w:rPr>
          <w:rFonts w:ascii="Arial" w:cs="Arial" w:eastAsia="Arial" w:hAnsi="Arial"/>
          <w:sz w:val="24"/>
          <w:szCs w:val="24"/>
        </w:rPr>
        <w:t xml:space="preserve">Cre-lox system compatibility document: design of conditional delivery cassettes, compatible transgenic driver lines (PV-Cre, VGat-Cre, SST-Cre), activation strategy</w:t>
      </w:r>
    </w:p>
    <w:p>
      <w:pPr>
        <w:pStyle w:val="ListParagraph"/>
        <w:numPr>
          <w:ilvl w:val="0"/>
          <w:numId w:val="2"/>
        </w:numPr>
        <w:spacing w:after="100" w:line="360"/>
      </w:pPr>
      <w:r>
        <w:rPr>
          <w:rFonts w:ascii="Arial" w:cs="Arial" w:eastAsia="Arial" w:hAnsi="Arial"/>
          <w:sz w:val="24"/>
          <w:szCs w:val="24"/>
        </w:rPr>
        <w:t xml:space="preserve">Delivery route comparison table: IT vs. intracerebral vs. IV for each ASO type, predicted % dose in interneurons, % dose in excitatory neurons, systemic exposure (kidney, liver accumulation)</w:t>
      </w:r>
    </w:p>
    <w:p>
      <w:pPr>
        <w:pStyle w:val="ListParagraph"/>
        <w:numPr>
          <w:ilvl w:val="0"/>
          <w:numId w:val="2"/>
        </w:numPr>
        <w:spacing w:after="100" w:line="360"/>
      </w:pPr>
      <w:r>
        <w:rPr>
          <w:rFonts w:ascii="Arial" w:cs="Arial" w:eastAsia="Arial" w:hAnsi="Arial"/>
          <w:sz w:val="24"/>
          <w:szCs w:val="24"/>
        </w:rPr>
        <w:t xml:space="preserve">Recommended clinical/experimental delivery strategy: for lead ASO candidate, specify optimal delivery modality, expected interneuron specificity, predicted on-target efficacy, and off-target risk assessment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delivery optimization matrix (ASO, Type, Neuro Uptake%, Off-target%, Selectivity, CPP/Cre design, Recommended Route) + detailed strategy document</w:t>
      </w:r>
    </w:p>
    <w:p>
      <w:pPr>
        <w:pStyle w:val="Heading2"/>
      </w:pPr>
      <w:r>
        <w:rPr>
          <w:rFonts w:ascii="Arial" w:cs="Arial" w:eastAsia="Arial" w:hAnsi="Arial"/>
          <w:b/>
          <w:bCs/>
          <w:sz w:val="28"/>
          <w:szCs w:val="28"/>
        </w:rPr>
        <w:t xml:space="preserve">Stage 5: Dravet Syndrome Haploinsufficiency Rescue Validation &amp; EP Readouts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Predict comprehensive electrophysiology phenotype rescue in Dravet-model neurons; validate that ASO-mediated SCN1A increase restores normal inhibitory neuron function and seizure suppression signatures.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5 finalized ASO candidates with predicted SCN1A increase and interneuron-specific delivery strategy</w:t>
      </w:r>
    </w:p>
    <w:p>
      <w:pPr>
        <w:pStyle w:val="ListParagraph"/>
        <w:numPr>
          <w:ilvl w:val="0"/>
          <w:numId w:val="2"/>
        </w:numPr>
        <w:spacing w:after="100" w:line="360"/>
      </w:pPr>
      <w:r>
        <w:rPr>
          <w:rFonts w:ascii="Arial" w:cs="Arial" w:eastAsia="Arial" w:hAnsi="Arial"/>
          <w:sz w:val="24"/>
          <w:szCs w:val="24"/>
        </w:rPr>
        <w:t xml:space="preserve">Quiver Bioscience EP CRISPR atlas: detailed baseline signatures for SCN1A-WT neurons vs. SCN1A-heterozygous (Dravet model) neurons</w:t>
      </w:r>
    </w:p>
    <w:p>
      <w:pPr>
        <w:pStyle w:val="ListParagraph"/>
        <w:numPr>
          <w:ilvl w:val="0"/>
          <w:numId w:val="2"/>
        </w:numPr>
        <w:spacing w:after="100" w:line="360"/>
      </w:pPr>
      <w:r>
        <w:rPr>
          <w:rFonts w:ascii="Arial" w:cs="Arial" w:eastAsia="Arial" w:hAnsi="Arial"/>
          <w:sz w:val="24"/>
          <w:szCs w:val="24"/>
        </w:rPr>
        <w:t xml:space="preserve">Known Dravet phenotypes in EP: (1) reduced Nav1.1-dependent sodium current in interneurons, (2) increased rheobase (reduced excitability), (3) reduced firing frequency, (4) increased AP threshold, (5) altered repetitive firing patterns</w:t>
      </w:r>
    </w:p>
    <w:p>
      <w:pPr>
        <w:pStyle w:val="ListParagraph"/>
        <w:numPr>
          <w:ilvl w:val="0"/>
          <w:numId w:val="2"/>
        </w:numPr>
        <w:spacing w:after="100" w:line="360"/>
      </w:pPr>
      <w:r>
        <w:rPr>
          <w:rFonts w:ascii="Arial" w:cs="Arial" w:eastAsia="Arial" w:hAnsi="Arial"/>
          <w:sz w:val="24"/>
          <w:szCs w:val="24"/>
        </w:rPr>
        <w:t xml:space="preserve">Expected rescue phenotypes: restoration of sodium current amplitude, normalization of rheobase, recovery of firing frequency, return to WT AP properties</w:t>
      </w:r>
    </w:p>
    <w:p>
      <w:pPr>
        <w:pStyle w:val="ListParagraph"/>
        <w:numPr>
          <w:ilvl w:val="0"/>
          <w:numId w:val="2"/>
        </w:numPr>
        <w:spacing w:after="100" w:line="360"/>
      </w:pPr>
      <w:r>
        <w:rPr>
          <w:rFonts w:ascii="Arial" w:cs="Arial" w:eastAsia="Arial" w:hAnsi="Arial"/>
          <w:sz w:val="24"/>
          <w:szCs w:val="24"/>
        </w:rPr>
        <w:t xml:space="preserve">Seizure-related network signatures: predicted circuit dysfunction from GABAergic interneuron impairment (increased excitatory dominance, hyperexcitability), expected network rescue upon Nav1.1 restoration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Dravet phenotype database: Quiver atlas-derived EP signatures from SCN1A-heterozygous neuronal models showing characteristic deficits</w:t>
      </w:r>
    </w:p>
    <w:p>
      <w:pPr>
        <w:pStyle w:val="ListParagraph"/>
        <w:numPr>
          <w:ilvl w:val="0"/>
          <w:numId w:val="2"/>
        </w:numPr>
        <w:spacing w:after="100" w:line="360"/>
      </w:pPr>
      <w:r>
        <w:rPr>
          <w:rFonts w:ascii="Arial" w:cs="Arial" w:eastAsia="Arial" w:hAnsi="Arial"/>
          <w:sz w:val="24"/>
          <w:szCs w:val="24"/>
        </w:rPr>
        <w:t xml:space="preserve">Sodium current amplitude predictor: map predicted Nav1.1 protein fold-increase to expected inward sodium current increase using Quiver atlas I-V relationships</w:t>
      </w:r>
    </w:p>
    <w:p>
      <w:pPr>
        <w:pStyle w:val="ListParagraph"/>
        <w:numPr>
          <w:ilvl w:val="0"/>
          <w:numId w:val="2"/>
        </w:numPr>
        <w:spacing w:after="100" w:line="360"/>
      </w:pPr>
      <w:r>
        <w:rPr>
          <w:rFonts w:ascii="Arial" w:cs="Arial" w:eastAsia="Arial" w:hAnsi="Arial"/>
          <w:sz w:val="24"/>
          <w:szCs w:val="24"/>
        </w:rPr>
        <w:t xml:space="preserve">Excitability recovery modeler: predict rheobase reduction from increased sodium current; correlate with interneuron firing frequency recovery</w:t>
      </w:r>
    </w:p>
    <w:p>
      <w:pPr>
        <w:pStyle w:val="ListParagraph"/>
        <w:numPr>
          <w:ilvl w:val="0"/>
          <w:numId w:val="2"/>
        </w:numPr>
        <w:spacing w:after="100" w:line="360"/>
      </w:pPr>
      <w:r>
        <w:rPr>
          <w:rFonts w:ascii="Arial" w:cs="Arial" w:eastAsia="Arial" w:hAnsi="Arial"/>
          <w:sz w:val="24"/>
          <w:szCs w:val="24"/>
        </w:rPr>
        <w:t xml:space="preserve">Action potential property predictor: estimate AP threshold, AP amplitude, AP half-width, and repetitive firing properties expected at different levels of Nav1.1 restoration</w:t>
      </w:r>
    </w:p>
    <w:p>
      <w:pPr>
        <w:pStyle w:val="ListParagraph"/>
        <w:numPr>
          <w:ilvl w:val="0"/>
          <w:numId w:val="2"/>
        </w:numPr>
        <w:spacing w:after="100" w:line="360"/>
      </w:pPr>
      <w:r>
        <w:rPr>
          <w:rFonts w:ascii="Arial" w:cs="Arial" w:eastAsia="Arial" w:hAnsi="Arial"/>
          <w:sz w:val="24"/>
          <w:szCs w:val="24"/>
        </w:rPr>
        <w:t xml:space="preserve">Network hyperexcitability modeler: predict recovery of inhibitory neuron circuit function; estimate reduction in network-level hyperexcitability from single-cell Nav1.1 restoration</w:t>
      </w:r>
    </w:p>
    <w:p>
      <w:pPr>
        <w:pStyle w:val="ListParagraph"/>
        <w:numPr>
          <w:ilvl w:val="0"/>
          <w:numId w:val="2"/>
        </w:numPr>
        <w:spacing w:after="100" w:line="360"/>
      </w:pPr>
      <w:r>
        <w:rPr>
          <w:rFonts w:ascii="Arial" w:cs="Arial" w:eastAsia="Arial" w:hAnsi="Arial"/>
          <w:sz w:val="24"/>
          <w:szCs w:val="24"/>
        </w:rPr>
        <w:t xml:space="preserve">Seizure suppression efficacy linker: integrate predicted interneuron EP recovery into seizure frequency prediction models; estimate % seizure reduction expected from specific levels of haploinsufficiency rescue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of top 5 ASOs, predict sodium current amplitude: use Quiver atlas regression model linking % Nav1.1 increase to ΔI_Na amplitude, predict absolute current values compared to WT and Dravet-heterozygote baseline</w:t>
      </w:r>
    </w:p>
    <w:p>
      <w:pPr>
        <w:pStyle w:val="ListParagraph"/>
        <w:numPr>
          <w:ilvl w:val="0"/>
          <w:numId w:val="2"/>
        </w:numPr>
        <w:spacing w:after="100" w:line="360"/>
      </w:pPr>
      <w:r>
        <w:rPr>
          <w:rFonts w:ascii="Arial" w:cs="Arial" w:eastAsia="Arial" w:hAnsi="Arial"/>
          <w:sz w:val="24"/>
          <w:szCs w:val="24"/>
        </w:rPr>
        <w:t xml:space="preserve">Model rheobase recovery: from predicted sodium current increase, calculate expected reduction in action potential current threshold; predict rheobase in pA/pF (should approach WT values with adequate Nav1.1 restoration)</w:t>
      </w:r>
    </w:p>
    <w:p>
      <w:pPr>
        <w:pStyle w:val="ListParagraph"/>
        <w:numPr>
          <w:ilvl w:val="0"/>
          <w:numId w:val="2"/>
        </w:numPr>
        <w:spacing w:after="100" w:line="360"/>
      </w:pPr>
      <w:r>
        <w:rPr>
          <w:rFonts w:ascii="Arial" w:cs="Arial" w:eastAsia="Arial" w:hAnsi="Arial"/>
          <w:sz w:val="24"/>
          <w:szCs w:val="24"/>
        </w:rPr>
        <w:t xml:space="preserve">Predict firing frequency recovery: use Quiver atlas interneuron frequency-current relationships to estimate firing rate at multiple ASO-induced Nav1.1 levels (e.g., 1.3x, 1.5x, 1.7x)</w:t>
      </w:r>
    </w:p>
    <w:p>
      <w:pPr>
        <w:pStyle w:val="ListParagraph"/>
        <w:numPr>
          <w:ilvl w:val="0"/>
          <w:numId w:val="2"/>
        </w:numPr>
        <w:spacing w:after="100" w:line="360"/>
      </w:pPr>
      <w:r>
        <w:rPr>
          <w:rFonts w:ascii="Arial" w:cs="Arial" w:eastAsia="Arial" w:hAnsi="Arial"/>
          <w:sz w:val="24"/>
          <w:szCs w:val="24"/>
        </w:rPr>
        <w:t xml:space="preserve">Assess repetitive firing pattern recovery: predict changes in spike-frequency adaptation, accommodation, and post-inhibitory rebound from Nav1.1 restoration (should show recovery toward WT patterns)</w:t>
      </w:r>
    </w:p>
    <w:p>
      <w:pPr>
        <w:pStyle w:val="ListParagraph"/>
        <w:numPr>
          <w:ilvl w:val="0"/>
          <w:numId w:val="2"/>
        </w:numPr>
        <w:spacing w:after="100" w:line="360"/>
      </w:pPr>
      <w:r>
        <w:rPr>
          <w:rFonts w:ascii="Arial" w:cs="Arial" w:eastAsia="Arial" w:hAnsi="Arial"/>
          <w:sz w:val="24"/>
          <w:szCs w:val="24"/>
        </w:rPr>
        <w:t xml:space="preserve">Integrate circuit-level predictions: model network excitation-inhibition balance recovery assuming 70-80% of interneurons achieve adequate Nav1.1 restoration via ASO; predict reduction in network-level hyperexcitability and seizure propensity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Comprehensive EP phenotype rescue table: ASO ID, Predicted % Nav1.1 increase, Predicted ΔI_Na amplitude (pA/pF), Predicted rheobase (pA/pF), Predicted firing frequency (Hz), Comparison to WT and Dravet-heterozygote baseline</w:t>
      </w:r>
    </w:p>
    <w:p>
      <w:pPr>
        <w:pStyle w:val="ListParagraph"/>
        <w:numPr>
          <w:ilvl w:val="0"/>
          <w:numId w:val="2"/>
        </w:numPr>
        <w:spacing w:after="100" w:line="360"/>
      </w:pPr>
      <w:r>
        <w:rPr>
          <w:rFonts w:ascii="Arial" w:cs="Arial" w:eastAsia="Arial" w:hAnsi="Arial"/>
          <w:sz w:val="24"/>
          <w:szCs w:val="24"/>
        </w:rPr>
        <w:t xml:space="preserve">Single-cell EP profile predictions: for each of top 5 ASOs, detailed voltage-clamp and current-clamp predictions (I-V curve, action potential waveform, F-I curve) compared to Dravet and WT controls</w:t>
      </w:r>
    </w:p>
    <w:p>
      <w:pPr>
        <w:pStyle w:val="ListParagraph"/>
        <w:numPr>
          <w:ilvl w:val="0"/>
          <w:numId w:val="2"/>
        </w:numPr>
        <w:spacing w:after="100" w:line="360"/>
      </w:pPr>
      <w:r>
        <w:rPr>
          <w:rFonts w:ascii="Arial" w:cs="Arial" w:eastAsia="Arial" w:hAnsi="Arial"/>
          <w:sz w:val="24"/>
          <w:szCs w:val="24"/>
        </w:rPr>
        <w:t xml:space="preserve">Action potential property changes: predicted AP threshold shift (mV), AP amplitude change (mV), AP half-width change (ms), and repetitive firing recovery for each ASO candidate</w:t>
      </w:r>
    </w:p>
    <w:p>
      <w:pPr>
        <w:pStyle w:val="ListParagraph"/>
        <w:numPr>
          <w:ilvl w:val="0"/>
          <w:numId w:val="2"/>
        </w:numPr>
        <w:spacing w:after="100" w:line="360"/>
      </w:pPr>
      <w:r>
        <w:rPr>
          <w:rFonts w:ascii="Arial" w:cs="Arial" w:eastAsia="Arial" w:hAnsi="Arial"/>
          <w:sz w:val="24"/>
          <w:szCs w:val="24"/>
        </w:rPr>
        <w:t xml:space="preserve">Network excitability recovery assessment: predicted reduction in network hyperexcitability score (0-100 scale), estimated recovery of inhibitory circuit function, predicted seizure propensity reduction (%)</w:t>
      </w:r>
    </w:p>
    <w:p>
      <w:pPr>
        <w:pStyle w:val="ListParagraph"/>
        <w:numPr>
          <w:ilvl w:val="0"/>
          <w:numId w:val="2"/>
        </w:numPr>
        <w:spacing w:after="100" w:line="360"/>
      </w:pPr>
      <w:r>
        <w:rPr>
          <w:rFonts w:ascii="Arial" w:cs="Arial" w:eastAsia="Arial" w:hAnsi="Arial"/>
          <w:sz w:val="24"/>
          <w:szCs w:val="24"/>
        </w:rPr>
        <w:t xml:space="preserve">Seizure suppression efficacy prediction: for each ASO with predicted rescue levels, estimated % seizure frequency reduction expected in Dravet animal models (derived from seizure susceptibility-Nav1.1 correlation data)</w:t>
      </w:r>
    </w:p>
    <w:p>
      <w:pPr>
        <w:pStyle w:val="ListParagraph"/>
        <w:numPr>
          <w:ilvl w:val="0"/>
          <w:numId w:val="2"/>
        </w:numPr>
        <w:spacing w:after="100" w:line="360"/>
      </w:pPr>
      <w:r>
        <w:rPr>
          <w:rFonts w:ascii="Arial" w:cs="Arial" w:eastAsia="Arial" w:hAnsi="Arial"/>
          <w:sz w:val="24"/>
          <w:szCs w:val="24"/>
        </w:rPr>
        <w:t xml:space="preserve">Lead candidate phenotype rescue profile: detailed graphical comparison of top 1-2 ASO candidates' predicted EP recovery vs. Dravet-heterozygote baseline and WT reference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 EP prediction table (ASO, Nav1.1 Fold-Inc, ΔI_Na, Rheobase, Firing Freq, Seizure Reduction%, Recovery Score) + voltage-clamp/current-clamp graphical predictions</w:t>
      </w:r>
    </w:p>
    <w:p>
      <w:pPr>
        <w:pStyle w:val="Heading2"/>
      </w:pPr>
      <w:r>
        <w:rPr>
          <w:rFonts w:ascii="Arial" w:cs="Arial" w:eastAsia="Arial" w:hAnsi="Arial"/>
          <w:b/>
          <w:bCs/>
          <w:sz w:val="28"/>
          <w:szCs w:val="28"/>
        </w:rPr>
        <w:t xml:space="preserve">Stage 6: Final Ranking, Lead Selection &amp; Clinical Development Strategy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all analyses into final ranking and lead ASO selection; provide clinical development roadmap, expected efficacy vs. safety profile, and recommended next steps for Dravet syndrome therapeutic.</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Complete data from preceding 5 stages: top 5 ASO candidates with predicted expression increase, cell-type specificity, EP phenotype rescue, and seizure suppression efficacy</w:t>
      </w:r>
    </w:p>
    <w:p>
      <w:pPr>
        <w:pStyle w:val="ListParagraph"/>
        <w:numPr>
          <w:ilvl w:val="0"/>
          <w:numId w:val="2"/>
        </w:numPr>
        <w:spacing w:after="100" w:line="360"/>
      </w:pPr>
      <w:r>
        <w:rPr>
          <w:rFonts w:ascii="Arial" w:cs="Arial" w:eastAsia="Arial" w:hAnsi="Arial"/>
          <w:sz w:val="24"/>
          <w:szCs w:val="24"/>
        </w:rPr>
        <w:t xml:space="preserve">Published clinical data on SCN1A-targeted therapies: baseline seizure frequencies in Dravet patients (~2-10 seizures/week untreated), typical responses to current antiepileptic drugs (50-70% seizure reduction for responders)</w:t>
      </w:r>
    </w:p>
    <w:p>
      <w:pPr>
        <w:pStyle w:val="ListParagraph"/>
        <w:numPr>
          <w:ilvl w:val="0"/>
          <w:numId w:val="2"/>
        </w:numPr>
        <w:spacing w:after="100" w:line="360"/>
      </w:pPr>
      <w:r>
        <w:rPr>
          <w:rFonts w:ascii="Arial" w:cs="Arial" w:eastAsia="Arial" w:hAnsi="Arial"/>
          <w:sz w:val="24"/>
          <w:szCs w:val="24"/>
        </w:rPr>
        <w:t xml:space="preserve">Safety considerations specific to Dravet: need to avoid systemic toxicity given chronic pediatric treatment; CNS-focused safety profile essential</w:t>
      </w:r>
    </w:p>
    <w:p>
      <w:pPr>
        <w:pStyle w:val="ListParagraph"/>
        <w:numPr>
          <w:ilvl w:val="0"/>
          <w:numId w:val="2"/>
        </w:numPr>
        <w:spacing w:after="100" w:line="360"/>
      </w:pPr>
      <w:r>
        <w:rPr>
          <w:rFonts w:ascii="Arial" w:cs="Arial" w:eastAsia="Arial" w:hAnsi="Arial"/>
          <w:sz w:val="24"/>
          <w:szCs w:val="24"/>
        </w:rPr>
        <w:t xml:space="preserve">Regulatory pathway considerations: FDA breakthrough therapy designation potential for SCN1A-targeted approaches in Dravet; comparison with existing therapies (STP922, GDC-0410, etc.)</w:t>
      </w:r>
    </w:p>
    <w:p>
      <w:pPr>
        <w:pStyle w:val="ListParagraph"/>
        <w:numPr>
          <w:ilvl w:val="0"/>
          <w:numId w:val="2"/>
        </w:numPr>
        <w:spacing w:after="100" w:line="360"/>
      </w:pPr>
      <w:r>
        <w:rPr>
          <w:rFonts w:ascii="Arial" w:cs="Arial" w:eastAsia="Arial" w:hAnsi="Arial"/>
          <w:sz w:val="24"/>
          <w:szCs w:val="24"/>
        </w:rPr>
        <w:t xml:space="preserve">Intellectual property landscape: patent freedom-to-operate for selected ASO sequences and regulatory element targeting strategies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Multi-criteria decision analysis (MCDA): integrate predicted efficacy (45% weight), EP phenotype rescue (25%), cell-type specificity (15%), manufacturing feasibility (10%), safety margin (5%)</w:t>
      </w:r>
    </w:p>
    <w:p>
      <w:pPr>
        <w:pStyle w:val="ListParagraph"/>
        <w:numPr>
          <w:ilvl w:val="0"/>
          <w:numId w:val="2"/>
        </w:numPr>
        <w:spacing w:after="100" w:line="360"/>
      </w:pPr>
      <w:r>
        <w:rPr>
          <w:rFonts w:ascii="Arial" w:cs="Arial" w:eastAsia="Arial" w:hAnsi="Arial"/>
          <w:sz w:val="24"/>
          <w:szCs w:val="24"/>
        </w:rPr>
        <w:t xml:space="preserve">Clinical efficacy-safety index calculator: combine predicted seizure reduction % with toxicity risk profile to generate risk-benefit index</w:t>
      </w:r>
    </w:p>
    <w:p>
      <w:pPr>
        <w:pStyle w:val="ListParagraph"/>
        <w:numPr>
          <w:ilvl w:val="0"/>
          <w:numId w:val="2"/>
        </w:numPr>
        <w:spacing w:after="100" w:line="360"/>
      </w:pPr>
      <w:r>
        <w:rPr>
          <w:rFonts w:ascii="Arial" w:cs="Arial" w:eastAsia="Arial" w:hAnsi="Arial"/>
          <w:sz w:val="24"/>
          <w:szCs w:val="24"/>
        </w:rPr>
        <w:t xml:space="preserve">Go/no-go decision matrix: classify 5 ASO candidates as Lead (recommend for IND), Backup, or Exclude based on integrated metrics</w:t>
      </w:r>
    </w:p>
    <w:p>
      <w:pPr>
        <w:pStyle w:val="ListParagraph"/>
        <w:numPr>
          <w:ilvl w:val="0"/>
          <w:numId w:val="2"/>
        </w:numPr>
        <w:spacing w:after="100" w:line="360"/>
      </w:pPr>
      <w:r>
        <w:rPr>
          <w:rFonts w:ascii="Arial" w:cs="Arial" w:eastAsia="Arial" w:hAnsi="Arial"/>
          <w:sz w:val="24"/>
          <w:szCs w:val="24"/>
        </w:rPr>
        <w:t xml:space="preserve">Clinical development roadmap generator: propose preclinical (in vitro + animal models), IND-enabling, Phase 1, Phase 2, and Phase 3 trial design outlines</w:t>
      </w:r>
    </w:p>
    <w:p>
      <w:pPr>
        <w:pStyle w:val="ListParagraph"/>
        <w:numPr>
          <w:ilvl w:val="0"/>
          <w:numId w:val="2"/>
        </w:numPr>
        <w:spacing w:after="100" w:line="360"/>
      </w:pPr>
      <w:r>
        <w:rPr>
          <w:rFonts w:ascii="Arial" w:cs="Arial" w:eastAsia="Arial" w:hAnsi="Arial"/>
          <w:sz w:val="24"/>
          <w:szCs w:val="24"/>
        </w:rPr>
        <w:t xml:space="preserve">IP landscape analyzer: assess patent freedom-to-operate for chemical modifications, regulatory element targeting, and cell-type-specific delivery approaches</w:t>
      </w:r>
    </w:p>
    <w:p>
      <w:pPr>
        <w:pStyle w:val="ListParagraph"/>
        <w:numPr>
          <w:ilvl w:val="0"/>
          <w:numId w:val="2"/>
        </w:numPr>
        <w:spacing w:after="100" w:line="360"/>
      </w:pPr>
      <w:r>
        <w:rPr>
          <w:rFonts w:ascii="Arial" w:cs="Arial" w:eastAsia="Arial" w:hAnsi="Arial"/>
          <w:sz w:val="24"/>
          <w:szCs w:val="24"/>
        </w:rPr>
        <w:t xml:space="preserve">Competitive landscape benchmarker: compare predicted efficacy profile with other SCN1A-targeted Dravet therapeutics in clinical development</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Calculate integrated MCDA score for each of 5 ASOs: weighted combination of predicted seizure reduction (45%), EP phenotype recovery vs. baseline (25%), interneuron specificity (15%), manufacturing feasibility (10%), safety margin (5%)</w:t>
      </w:r>
    </w:p>
    <w:p>
      <w:pPr>
        <w:pStyle w:val="ListParagraph"/>
        <w:numPr>
          <w:ilvl w:val="0"/>
          <w:numId w:val="2"/>
        </w:numPr>
        <w:spacing w:after="100" w:line="360"/>
      </w:pPr>
      <w:r>
        <w:rPr>
          <w:rFonts w:ascii="Arial" w:cs="Arial" w:eastAsia="Arial" w:hAnsi="Arial"/>
          <w:sz w:val="24"/>
          <w:szCs w:val="24"/>
        </w:rPr>
        <w:t xml:space="preserve">Develop clinical dosing strategy for top 3 ASO leads: propose IT or IV route, loading/maintenance dose, dosing frequency (weekly, biweekly), expected time to seizure reduction onset, dose titration strategy</w:t>
      </w:r>
    </w:p>
    <w:p>
      <w:pPr>
        <w:pStyle w:val="ListParagraph"/>
        <w:numPr>
          <w:ilvl w:val="0"/>
          <w:numId w:val="2"/>
        </w:numPr>
        <w:spacing w:after="100" w:line="360"/>
      </w:pPr>
      <w:r>
        <w:rPr>
          <w:rFonts w:ascii="Arial" w:cs="Arial" w:eastAsia="Arial" w:hAnsi="Arial"/>
          <w:sz w:val="24"/>
          <w:szCs w:val="24"/>
        </w:rPr>
        <w:t xml:space="preserve">Design preclinical validation plan: recommend in vitro (iPSC-derived Dravet neurons, whole-cell EP), ex vivo (acutely isolated interneurons from Dravet-model mice), and in vivo (Scn1a-heterozygous mouse seizure model) studies</w:t>
      </w:r>
    </w:p>
    <w:p>
      <w:pPr>
        <w:pStyle w:val="ListParagraph"/>
        <w:numPr>
          <w:ilvl w:val="0"/>
          <w:numId w:val="2"/>
        </w:numPr>
        <w:spacing w:after="100" w:line="360"/>
      </w:pPr>
      <w:r>
        <w:rPr>
          <w:rFonts w:ascii="Arial" w:cs="Arial" w:eastAsia="Arial" w:hAnsi="Arial"/>
          <w:sz w:val="24"/>
          <w:szCs w:val="24"/>
        </w:rPr>
        <w:t xml:space="preserve">Assess regulatory pathway and breakthrough therapy potential: evaluate evidence supporting breakthrough designation, propose key efficacy and safety endpoints for IND and Phase 2 trials</w:t>
      </w:r>
    </w:p>
    <w:p>
      <w:pPr>
        <w:pStyle w:val="ListParagraph"/>
        <w:numPr>
          <w:ilvl w:val="0"/>
          <w:numId w:val="2"/>
        </w:numPr>
        <w:spacing w:after="100" w:line="360"/>
      </w:pPr>
      <w:r>
        <w:rPr>
          <w:rFonts w:ascii="Arial" w:cs="Arial" w:eastAsia="Arial" w:hAnsi="Arial"/>
          <w:sz w:val="24"/>
          <w:szCs w:val="24"/>
        </w:rPr>
        <w:t xml:space="preserve">Identify intellectual property opportunities and freedom-to-operate risks: map patent landscape for selected regulatory element targeting, ASO chemical modifications, and delivery strategies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Final ranking and lead selection: Rank, ASO ID, MCDA Score (0-100), Predicted Seizure Reduction (%), EP Recovery Score, Cell-type Specificity, Safety Margin, Go/No-Go Decision, Lead/Backup/Exclude</w:t>
      </w:r>
    </w:p>
    <w:p>
      <w:pPr>
        <w:pStyle w:val="ListParagraph"/>
        <w:numPr>
          <w:ilvl w:val="0"/>
          <w:numId w:val="2"/>
        </w:numPr>
        <w:spacing w:after="100" w:line="360"/>
      </w:pPr>
      <w:r>
        <w:rPr>
          <w:rFonts w:ascii="Arial" w:cs="Arial" w:eastAsia="Arial" w:hAnsi="Arial"/>
          <w:sz w:val="24"/>
          <w:szCs w:val="24"/>
        </w:rPr>
        <w:t xml:space="preserve">Lead ASO candidate profile: comprehensive summary of top 1-2 selected ASOs including sequence, regulatory target, predicted efficacy, EP phenotype recovery, delivery strategy, and clinical development rationale</w:t>
      </w:r>
    </w:p>
    <w:p>
      <w:pPr>
        <w:pStyle w:val="ListParagraph"/>
        <w:numPr>
          <w:ilvl w:val="0"/>
          <w:numId w:val="2"/>
        </w:numPr>
        <w:spacing w:after="100" w:line="360"/>
      </w:pPr>
      <w:r>
        <w:rPr>
          <w:rFonts w:ascii="Arial" w:cs="Arial" w:eastAsia="Arial" w:hAnsi="Arial"/>
          <w:sz w:val="24"/>
          <w:szCs w:val="24"/>
        </w:rPr>
        <w:t xml:space="preserve">Clinical development roadmap: preclinical plan (studies, timelines), IND-enabling studies (GLP safety/toxicology, manufacturing CMC), Phase 1 design (safety/tolerability in healthy volunteers), Phase 2 design (efficacy in Dravet patients)</w:t>
      </w:r>
    </w:p>
    <w:p>
      <w:pPr>
        <w:pStyle w:val="ListParagraph"/>
        <w:numPr>
          <w:ilvl w:val="0"/>
          <w:numId w:val="2"/>
        </w:numPr>
        <w:spacing w:after="100" w:line="360"/>
      </w:pPr>
      <w:r>
        <w:rPr>
          <w:rFonts w:ascii="Arial" w:cs="Arial" w:eastAsia="Arial" w:hAnsi="Arial"/>
          <w:sz w:val="24"/>
          <w:szCs w:val="24"/>
        </w:rPr>
        <w:t xml:space="preserve">Clinical dosing strategy: recommended route (IT/IV), loading dose, maintenance dose, dosing frequency, expected seizure reduction timeline, dose adjustment guidance, and monitoring strategy</w:t>
      </w:r>
    </w:p>
    <w:p>
      <w:pPr>
        <w:pStyle w:val="ListParagraph"/>
        <w:numPr>
          <w:ilvl w:val="0"/>
          <w:numId w:val="2"/>
        </w:numPr>
        <w:spacing w:after="100" w:line="360"/>
      </w:pPr>
      <w:r>
        <w:rPr>
          <w:rFonts w:ascii="Arial" w:cs="Arial" w:eastAsia="Arial" w:hAnsi="Arial"/>
          <w:sz w:val="24"/>
          <w:szCs w:val="24"/>
        </w:rPr>
        <w:t xml:space="preserve">Safety and efficacy summary: predicted therapeutic index, safety margin vs. Dravet phenotype severity, expected seizure reduction vs. existing therapies (STP922, GDC-0410 benchmark comparison)</w:t>
      </w:r>
    </w:p>
    <w:p>
      <w:pPr>
        <w:pStyle w:val="ListParagraph"/>
        <w:numPr>
          <w:ilvl w:val="0"/>
          <w:numId w:val="2"/>
        </w:numPr>
        <w:spacing w:after="100" w:line="360"/>
      </w:pPr>
      <w:r>
        <w:rPr>
          <w:rFonts w:ascii="Arial" w:cs="Arial" w:eastAsia="Arial" w:hAnsi="Arial"/>
          <w:sz w:val="24"/>
          <w:szCs w:val="24"/>
        </w:rPr>
        <w:t xml:space="preserve">IP and regulatory strategy: patent landscape summary, freedom-to-operate assessment, breakthrough therapy designation justification, and competitive differentiation vs. other SCN1A-targeted approaches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Final ranking CSV (Rank, ASO, MCDA Score, Efficacy%, EP Recovery, Specificity, Safety, Decision) + Lead candidate profile document + Clinical development roadmap + IP/regulatory strategy summary</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ENCODE data portal browser: access ATAC-seq, H3K4me3, H3K27ac ChIP-seq for primary neurons and iPSC-derived GABAergic interneurons</w:t>
      </w:r>
    </w:p>
    <w:p>
      <w:pPr>
        <w:pStyle w:val="ListParagraph"/>
        <w:numPr>
          <w:ilvl w:val="0"/>
          <w:numId w:val="2"/>
        </w:numPr>
        <w:spacing w:after="100" w:line="360"/>
      </w:pPr>
      <w:r>
        <w:rPr>
          <w:rFonts w:ascii="Arial" w:cs="Arial" w:eastAsia="Arial" w:hAnsi="Arial"/>
          <w:sz w:val="24"/>
          <w:szCs w:val="24"/>
        </w:rPr>
        <w:t xml:space="preserve">Phase-3 HiC (Hi-C) chromatin interaction mapper: identify 3D chromatin loops connecting SCN1A promoter to distal enhancers and silencers</w:t>
      </w:r>
    </w:p>
    <w:p>
      <w:pPr>
        <w:pStyle w:val="ListParagraph"/>
        <w:numPr>
          <w:ilvl w:val="0"/>
          <w:numId w:val="2"/>
        </w:numPr>
        <w:spacing w:after="100" w:line="360"/>
      </w:pPr>
      <w:r>
        <w:rPr>
          <w:rFonts w:ascii="Arial" w:cs="Arial" w:eastAsia="Arial" w:hAnsi="Arial"/>
          <w:sz w:val="24"/>
          <w:szCs w:val="24"/>
        </w:rPr>
        <w:t xml:space="preserve">Antisense transcript discovery pipeline: RAMpli (RNA-Antisense-Mining), LncRNAdb, competing-endogenous-RNA (ceRNA) databases for SCN1A-overlapping NATs</w:t>
      </w:r>
    </w:p>
    <w:p>
      <w:pPr>
        <w:pStyle w:val="ListParagraph"/>
        <w:numPr>
          <w:ilvl w:val="0"/>
          <w:numId w:val="2"/>
        </w:numPr>
        <w:spacing w:after="100" w:line="360"/>
      </w:pPr>
      <w:r>
        <w:rPr>
          <w:rFonts w:ascii="Arial" w:cs="Arial" w:eastAsia="Arial" w:hAnsi="Arial"/>
          <w:sz w:val="24"/>
          <w:szCs w:val="24"/>
        </w:rPr>
        <w:t xml:space="preserve">Intronic silencer/enhancer predictor: machine-learning classifier trained on known neuronal silencers (v-FOCS, STARE databases) applied to SCN1A introns</w:t>
      </w:r>
    </w:p>
    <w:p>
      <w:pPr>
        <w:pStyle w:val="ListParagraph"/>
        <w:numPr>
          <w:ilvl w:val="0"/>
          <w:numId w:val="2"/>
        </w:numPr>
        <w:spacing w:after="100" w:line="360"/>
      </w:pPr>
      <w:r>
        <w:rPr>
          <w:rFonts w:ascii="Arial" w:cs="Arial" w:eastAsia="Arial" w:hAnsi="Arial"/>
          <w:sz w:val="24"/>
          <w:szCs w:val="24"/>
        </w:rPr>
        <w:t xml:space="preserve">Transcription factor binding site (TFBS) enrichment analyzer: JASPAR motif scanning for repressor TFs (REST/NRSF, Sin3a, Polycomb) and activator TFs at regulatory regions</w:t>
      </w:r>
    </w:p>
    <w:p>
      <w:pPr>
        <w:pStyle w:val="ListParagraph"/>
        <w:numPr>
          <w:ilvl w:val="0"/>
          <w:numId w:val="2"/>
        </w:numPr>
        <w:spacing w:after="100" w:line="360"/>
      </w:pPr>
      <w:r>
        <w:rPr>
          <w:rFonts w:ascii="Arial" w:cs="Arial" w:eastAsia="Arial" w:hAnsi="Arial"/>
          <w:sz w:val="24"/>
          <w:szCs w:val="24"/>
        </w:rPr>
        <w:t xml:space="preserve">Neural-specific regulatory element (RE) database: comparison against FunSeq, Ensembl Regulatory Build for neuron-enriched and GABAergic-specific regulatory elements</w:t>
      </w:r>
    </w:p>
    <w:p>
      <w:pPr>
        <w:pStyle w:val="ListParagraph"/>
        <w:numPr>
          <w:ilvl w:val="0"/>
          <w:numId w:val="2"/>
        </w:numPr>
        <w:spacing w:after="100" w:line="360"/>
      </w:pPr>
      <w:r>
        <w:rPr>
          <w:rFonts w:ascii="Arial" w:cs="Arial" w:eastAsia="Arial" w:hAnsi="Arial"/>
          <w:sz w:val="24"/>
          <w:szCs w:val="24"/>
        </w:rPr>
        <w:t xml:space="preserve">Regulatory element disruption predictor: model how ASO-mediated blocking of silencer sequence affects transcription factor binding and chromatin state</w:t>
      </w:r>
    </w:p>
    <w:p>
      <w:pPr>
        <w:pStyle w:val="ListParagraph"/>
        <w:numPr>
          <w:ilvl w:val="0"/>
          <w:numId w:val="2"/>
        </w:numPr>
        <w:spacing w:after="100" w:line="360"/>
      </w:pPr>
      <w:r>
        <w:rPr>
          <w:rFonts w:ascii="Arial" w:cs="Arial" w:eastAsia="Arial" w:hAnsi="Arial"/>
          <w:sz w:val="24"/>
          <w:szCs w:val="24"/>
        </w:rPr>
        <w:t xml:space="preserve">NAT-targeting ASO designer: create complementary ASO sequences for endogenous NATs, accounting for RNA secondary structure and accessibility in RNP complexes</w:t>
      </w:r>
    </w:p>
    <w:p>
      <w:pPr>
        <w:pStyle w:val="ListParagraph"/>
        <w:numPr>
          <w:ilvl w:val="0"/>
          <w:numId w:val="2"/>
        </w:numPr>
        <w:spacing w:after="100" w:line="360"/>
      </w:pPr>
      <w:r>
        <w:rPr>
          <w:rFonts w:ascii="Arial" w:cs="Arial" w:eastAsia="Arial" w:hAnsi="Arial"/>
          <w:sz w:val="24"/>
          <w:szCs w:val="24"/>
        </w:rPr>
        <w:t xml:space="preserve">Chromatin remodeling activity predictor: predict whether ASO-mediated silencer disruption would lead to local chromatin opening (accessible chromatin) and increased transcription</w:t>
      </w:r>
    </w:p>
    <w:p>
      <w:pPr>
        <w:pStyle w:val="ListParagraph"/>
        <w:numPr>
          <w:ilvl w:val="0"/>
          <w:numId w:val="2"/>
        </w:numPr>
        <w:spacing w:after="100" w:line="360"/>
      </w:pPr>
      <w:r>
        <w:rPr>
          <w:rFonts w:ascii="Arial" w:cs="Arial" w:eastAsia="Arial" w:hAnsi="Arial"/>
          <w:sz w:val="24"/>
          <w:szCs w:val="24"/>
        </w:rPr>
        <w:t xml:space="preserve">Cell-type-specific promoter analyzer: map GABAergic-enriched enhancers and promoter elements within 50 kb of SCN1A locus to ensure regulatory element targeting is interneuron-selective</w:t>
      </w:r>
    </w:p>
    <w:p>
      <w:pPr>
        <w:pStyle w:val="ListParagraph"/>
        <w:numPr>
          <w:ilvl w:val="0"/>
          <w:numId w:val="2"/>
        </w:numPr>
        <w:spacing w:after="100" w:line="360"/>
      </w:pPr>
      <w:r>
        <w:rPr>
          <w:rFonts w:ascii="Arial" w:cs="Arial" w:eastAsia="Arial" w:hAnsi="Arial"/>
          <w:sz w:val="24"/>
          <w:szCs w:val="24"/>
        </w:rPr>
        <w:t xml:space="preserve">Secondary structure prediction for regulatory RNAs: RNAfold predictions for NATs and silencer-associated RNAs to assess ASO accessibility</w:t>
      </w:r>
    </w:p>
    <w:p>
      <w:pPr>
        <w:pStyle w:val="ListParagraph"/>
        <w:numPr>
          <w:ilvl w:val="0"/>
          <w:numId w:val="2"/>
        </w:numPr>
        <w:spacing w:after="100" w:line="360"/>
      </w:pPr>
      <w:r>
        <w:rPr>
          <w:rFonts w:ascii="Arial" w:cs="Arial" w:eastAsia="Arial" w:hAnsi="Arial"/>
          <w:sz w:val="24"/>
          <w:szCs w:val="24"/>
        </w:rPr>
        <w:t xml:space="preserve">Off-target transcriptome screening: BLAST search against voltage-gated ion channel genes and inhibitory neuron-enriched genes to minimize cross-reactivity</w:t>
      </w:r>
    </w:p>
    <w:p>
      <w:pPr>
        <w:pStyle w:val="ListParagraph"/>
        <w:numPr>
          <w:ilvl w:val="0"/>
          <w:numId w:val="2"/>
        </w:numPr>
        <w:spacing w:after="100" w:line="360"/>
      </w:pPr>
      <w:r>
        <w:rPr>
          <w:rFonts w:ascii="Arial" w:cs="Arial" w:eastAsia="Arial" w:hAnsi="Arial"/>
          <w:sz w:val="24"/>
          <w:szCs w:val="24"/>
        </w:rPr>
        <w:t xml:space="preserve">Silencer strength deconvolution model: machine-learning model trained on published enhancer/silencer perturbation studies to estimate % transcriptional repression per element</w:t>
      </w:r>
    </w:p>
    <w:p>
      <w:pPr>
        <w:pStyle w:val="ListParagraph"/>
        <w:numPr>
          <w:ilvl w:val="0"/>
          <w:numId w:val="2"/>
        </w:numPr>
        <w:spacing w:after="100" w:line="360"/>
      </w:pPr>
      <w:r>
        <w:rPr>
          <w:rFonts w:ascii="Arial" w:cs="Arial" w:eastAsia="Arial" w:hAnsi="Arial"/>
          <w:sz w:val="24"/>
          <w:szCs w:val="24"/>
        </w:rPr>
        <w:t xml:space="preserve">De-repression efficacy predictor: model ASO-mediated silencer disruption as percentage relief of baseline transcriptional repression, integrated with multiple silencers</w:t>
      </w:r>
    </w:p>
    <w:p>
      <w:pPr>
        <w:pStyle w:val="ListParagraph"/>
        <w:numPr>
          <w:ilvl w:val="0"/>
          <w:numId w:val="2"/>
        </w:numPr>
        <w:spacing w:after="100" w:line="360"/>
      </w:pPr>
      <w:r>
        <w:rPr>
          <w:rFonts w:ascii="Arial" w:cs="Arial" w:eastAsia="Arial" w:hAnsi="Arial"/>
          <w:sz w:val="24"/>
          <w:szCs w:val="24"/>
        </w:rPr>
        <w:t xml:space="preserve">NAT ceRNA modeling: predict impact of NAT knockdown on SCN1A mRNA stability and translational efficiency using competing-endogenous-RNA (ceRNA) dynamics models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2026-03-04T19:35:18.468Z</dcterms:created>
  <dcterms:modified xsi:type="dcterms:W3CDTF">2026-03-04T19:35:18.469Z</dcterms:modified>
</cp:coreProperties>
</file>

<file path=docProps/custom.xml><?xml version="1.0" encoding="utf-8"?>
<Properties xmlns="http://schemas.openxmlformats.org/officeDocument/2006/custom-properties" xmlns:vt="http://schemas.openxmlformats.org/officeDocument/2006/docPropsVTypes"/>
</file>