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Sapphire Pipeline Workflow: KCNQ2 Gain-of-Function Variant Normalization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Prompt: </w:t>
      </w:r>
      <w:r>
        <w:rPr>
          <w:rFonts w:ascii="Arial" w:cs="Arial" w:eastAsia="Arial" w:hAnsi="Arial"/>
          <w:sz w:val="24"/>
          <w:szCs w:val="24"/>
        </w:rPr>
        <w:t xml:space="preserve">Generate 5 ASOs targeting KCNQ2 gain-of-function variants predicted to normalize firing rate without inducing hypoexcitability.</w:t>
      </w:r>
    </w:p>
    <w:p>
      <w:pPr>
        <w:spacing w:after="200" w:line="360"/>
      </w:pPr>
      <w:r>
        <w:rPr>
          <w:rFonts w:ascii="Arial" w:cs="Arial" w:eastAsia="Arial" w:hAnsi="Arial"/>
          <w:sz w:val="24"/>
          <w:szCs w:val="24"/>
        </w:rPr>
        <w:t xml:space="preserve">This pipeline designs antisense oligonucleotides targeting KCNQ2 gain-of-function (GoF) variants to normalize neuronal firing rates in neonatal epilepsy and KCNQ2 encephalopathy. KCNQ2 encodes the Kv7.2 voltage-gated potassium channel, which generates the M-current—a critical regulator of neuronal excitability and action potential firing. Gain-of-function mutations in KCNQ2 increase M-current (hyperpolarize resting membrane potential, increase action potential threshold), reducing neuronal excitability and causing developmental delay, seizures, and apnea in neonates. The pipeline focuses on allele-selective approaches to reduce the expression or activity of mutant KCNQ2 channels while preserving WT channel function.</w:t>
      </w:r>
    </w:p>
    <w:p>
      <w:pPr>
        <w:spacing w:after="200" w:line="360"/>
      </w:pPr>
      <w:r>
        <w:rPr>
          <w:rFonts w:ascii="Arial" w:cs="Arial" w:eastAsia="Arial" w:hAnsi="Arial"/>
          <w:sz w:val="24"/>
          <w:szCs w:val="24"/>
        </w:rPr>
        <w:t xml:space="preserve">Unlike loss-of-function mutations that require haploinsufficiency rescue, KCNQ2 GoF mutations benefit from allele-selective suppression—preferentially targeting the mutant allele while preserving WT channel activity. Strategies include: exon-skipping ASOs that exclude mutant-bearing exons (if in-frame), antisense knockdown of mutant KCNQ2 mRNA (exploiting mutations that create ASO binding sites), or splicing-modulation ASOs that reduce expression of the mutant isoform. The Quiver Bioscience EP CRISPR atlas provides comprehensive M-current recordings and firing rate signatures for KCNQ2 perturbations, enabling prediction of optimal knockdown level: sufficient to normalize increased M-current but insufficient to cause hypoexcitability or complete channel loss.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Pipeline Overview</w:t>
      </w:r>
    </w:p>
    <w:p>
      <w:pPr>
        <w:spacing w:after="200" w:line="360"/>
      </w:pPr>
      <w:r>
        <w:rPr>
          <w:rFonts w:ascii="Arial" w:cs="Arial" w:eastAsia="Arial" w:hAnsi="Arial"/>
          <w:sz w:val="24"/>
          <w:szCs w:val="24"/>
        </w:rPr>
        <w:t xml:space="preserve">This pipeline designs antisense oligonucleotides targeting KCNQ2 gain-of-function (GoF) variants to normalize neuronal firing rates in neonatal epilepsy and KCNQ2 encephalopathy. KCNQ2 encodes the Kv7.2 voltage-gated potassium channel, which generates the M-current—a critical regulator of neuronal excitability and action potential firing. Gain-of-function mutations in KCNQ2 increase M-current (hyperpolarize resting membrane potential, increase action potential threshold), reducing neuronal excitability and causing developmental delay, seizures, and apnea in neonates. The pipeline focuses on allele-selective approaches to reduce the expression or activity of mutant KCNQ2 channels while preserving WT channel function.</w:t>
      </w:r>
    </w:p>
    <w:p>
      <w:pPr>
        <w:spacing w:after="200" w:line="360"/>
      </w:pPr>
      <w:r>
        <w:rPr>
          <w:rFonts w:ascii="Arial" w:cs="Arial" w:eastAsia="Arial" w:hAnsi="Arial"/>
          <w:sz w:val="24"/>
          <w:szCs w:val="24"/>
        </w:rPr>
        <w:t xml:space="preserve">Unlike loss-of-function mutations that require haploinsufficiency rescue, KCNQ2 GoF mutations benefit from allele-selective suppression—preferentially targeting the mutant allele while preserving WT channel activity. Strategies include: exon-skipping ASOs that exclude mutant-bearing exons (if in-frame), antisense knockdown of mutant KCNQ2 mRNA (exploiting mutations that create ASO binding sites), or splicing-modulation ASOs that reduce expression of the mutant isoform. The Quiver Bioscience EP CRISPR atlas provides comprehensive M-current recordings and firing rate signatures for KCNQ2 perturbations, enabling prediction of optimal knockdown level: sufficient to normalize increased M-current but insufficient to cause hypoexcitability or complete channel loss.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1: KCNQ2 GoF Variant Catalog &amp; Mutation-Selective Targeting Strategy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Purpose: </w:t>
      </w:r>
      <w:r>
        <w:rPr>
          <w:rFonts w:ascii="Arial" w:cs="Arial" w:eastAsia="Arial" w:hAnsi="Arial"/>
          <w:sz w:val="24"/>
          <w:szCs w:val="24"/>
        </w:rPr>
        <w:t xml:space="preserve">Catalog KCNQ2 gain-of-function mutations, characterize functional consequences (increased M-current magnitude, altered voltage-dependence), and identify mutation-specific features enabling allele-selective ASO targeting.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KCNQ2 genomic sequence: Xq13.2, NM_004519.2 (primary isoform); 16 exons; mRNA ~5 kb; 872 amino acids; 6 transmembrane domains, cyclic nucleotide-binding domain (CNBD)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KCNQ2 GoF mutation database: ClinVar, mutation publications reporting functional characterization (voltage-clamp recordings of WT vs. mutant channel current)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Functional characterization of representative KCNQ2 GoF mutations: increased peak current, leftward voltage-dependence shift (channel opens at more negative voltages), altered channel kinetics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Quiver Bioscience EP CRISPR atlas: baseline M-current recordings (voltage-clamp), action potential firing properties (current-clamp) in WT neurons vs. KCNQ2 overexpression or constitutively active variants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Neonatal seizure severity correlations: published data linking KCNQ2 GoF severity to seizure frequency, developmental delay severity, apnea risk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KCNQ2 mutation database (ClinVar, JAMA Neurology/Epilepsia publications): retrieve all reported GoF mutations with functional data (measured current increase, voltage-shift magnitude)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Sequence alignment tool: identify unique nucleotide features of GoF mutations (SNPs, indels) enabling allele-selective ASO targeting (e.g., mutation creates non-canonical codon, synonymous SNP exploitable for ASO binding)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Electrophysiology phenotype database: compile published voltage-clamp (I-V curves, Boltzmann fitting for voltage-dependence) and current-clamp (firing rate, threshold) characterizations of KCNQ2 GoF variants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Predicted protein structure impact analyzer: model how GoF mutations affect Kv7.2 protein structure (3D AlphaFold predictions), gating mechanism, or ion-conduction pathway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Allele-selective ASO feasibility scanner: identify SNPs/indels distinguishing mutant from WT sequence; predict ability to design ASOs that preferentially bind mutant mRNA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M-current functional threshold modeler: link predicted KCNQ2 expression levels (via ASO-mediated knockdown) to expected M-current magnitude and firing rate changes; identify knockdown level producing optimal normalization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Catalog top 10-15 recurrent KCNQ2 GoF mutations reported in neonatal epilepsy: for each, document published functional data (% current increase vs. WT, voltage-dependence leftward shift in mV, developmental delay/seizure severity correlation)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Identify mutation-specific nucleotide features enabling allele-selective targeting: SNPs within mutation region, synonymous variants, or unique sequence motifs distinguishing mutant from WT (e.g., 'R201C mutation creates CGA-&gt;TGA stop codon'; design ASOs binding near R201 codon)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Predict protein structure consequences of GoF mutations: use AlphaFold 3D models to visualize predicted changes in Kv7.2 gating helices, selectivity filter, or voltage-sensing domain; link structural change to increased current mechanism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Establish KCNQ2 expression-phenotype relationship: using Quiver atlas M-current data, create quantitative model relating % KCNQ2 expression level to M-current magnitude (pA/pF) and firing rate (Hz)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Define optimal knockdown target: identify % KCNQ2 reduction that normalizes GoF-elevated M-current without inducing WT-like hypoexcitability; estimated range typically 30-70% knockdown required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KCNQ2 GoF mutation catalog: Mutation ID, genomic position, nucleotide change, protein change, published functional data (% current increase, voltage-shift, severity), prevalence in neonatal epilepsy, developmental phenotype (seizures, delay, apnea)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Allele-selective targeting feasibility matrix: Mutation ID, unique sequence feature (SNP, indel, codon motif), predicted ASO binding to mutant mRNA (specificity index 0-100), predicted off-target binding to WT (should be &lt;20%)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Functional characterization summary: for top 10 GoF mutations, compiled voltage-clamp data (peak current pA/pF, V50 shift in mV) and current-clamp data (firing frequency at standardized current input)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Protein structure impact predictions: AlphaFold-based structural models showing predicted conformational changes in Kv7.2 gating helices and voltage-sensing domain for top 5 mutations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KCNQ2-expression-to-M-current regression model: quantitative correlation between % KCNQ2 expression level (0-200% for GoF scenarios) and predicted M-current (pA/pF) and firing rate changes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Knockdown target optimization: estimated % KCNQ2 reduction needed for each GoF mutation to normalize M-current and firing rate without hypoexcitability (typically 30-70% range); recommended knockdown target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Format: </w:t>
      </w:r>
      <w:r>
        <w:rPr>
          <w:rFonts w:ascii="Arial" w:cs="Arial" w:eastAsia="Arial" w:hAnsi="Arial"/>
          <w:sz w:val="24"/>
          <w:szCs w:val="24"/>
        </w:rPr>
        <w:t xml:space="preserve">Mutation catalog CSV (Mutation, Position, Change, Function Data, Prevalence, Allele-Sel Index) + expression-phenotype model + knockdown target specifications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2: Allele-Selective &amp; Mutation-Specific ASO Design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Purpose: </w:t>
      </w:r>
      <w:r>
        <w:rPr>
          <w:rFonts w:ascii="Arial" w:cs="Arial" w:eastAsia="Arial" w:hAnsi="Arial"/>
          <w:sz w:val="24"/>
          <w:szCs w:val="24"/>
        </w:rPr>
        <w:t xml:space="preserve">Design ASOs that preferentially target mutant KCNQ2 mRNA while sparing WT channels; exploit mutation-specific sequence features (SNPs, indels) or GoF-specific isoforms for maximal selectivity.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Top 10-15 KCNQ2 GoF mutations from Stage 1 with characterized sequence-unique features and allele-selectivity potential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Chemical modification preferences: 2'MOE gapmers for rapid RNase H knockdown (suitable for KCNQ2 GoF where efficient reduction desired); LNA for high-affinity binding to mutation-specific sites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KCNQ2 tissue expression: high in CNS (brain, spinal cord, dorsal root ganglia), lower in periphery; neuronal-enriched isoform expression patterns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Off-target constraints: ensure minimal cross-reactivity with other KCNQ genes (KCNQ1-5, especially KCNQ3 which shares &gt;80% identity to KCNQ2)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Quiver Bioscience KCNQ2 baseline phenotypes: WT vs. GoF-mimicking overexpression or constitutively active variants; target firing rate reduction that matches WT baseline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Allele-selective ASO designer: design ASOs exploiting mutations (SNPs, indels) that create unique sequence motifs in mutant mRNA; optimize for maximal mutant-to-WT binding specificity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Mutation-enhanced ASO site mapper: identify KCNQ2 mutations that create new ASO binding sites (e.g., point mutation that introduces a high-affinity ESE motif) or destroy WT binding sites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KCNQ isoform-specific ASO designer: for mutations in exons with tissue/developmentally-specific isoform skipping, design ASOs to preferentially reduce GoF-prone isoform vs. WT isoform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Off-target KCNQ homolog searcher: BLAST and RNAhybrid search against KCNQ1, KCNQ3, KCNQ4, KCNQ5 to minimize cross-reactivity (target seed-region specificity &gt;90%)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Neuronal-specific ASO uptake modeler: predict scavenger receptor-mediated uptake in dorsal root ganglion and central neurons where KCNQ2 predominates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Secondary structure analyzer for mutation sites: predict RNA accessibility at mutation-bearing regions; identify intronic regulatory elements that could be additionally targeted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For each of top 5 KCNQ2 GoF mutations, design 3-5 allele-selective ASOs: prioritize designs that exploit unique SNP or indel in mutant sequence, achieving &gt;5-fold preferential mutant mRNA binding vs. WT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Identify mutations creating enhanced ASO binding sites: e.g., point mutation replacing A with U creates a new consensus ESE motif; design high-affinity ASOs targeting these mutation-created sites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For GoF mutations in isoform-variable exons (exons with alternative splicing), design exon-skipping ASOs that preferentially reduce the GoF-prone isoform while preserving WT isoform expression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Screen all designed ASOs against KCNQ1, KCNQ3, KCNQ4, KCNQ5 sequences: identify and eliminate any designs with &gt;4-bp continuous homology in seed region (positions 1-8); ensure &lt;1% predicted off-target binding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Rank all designed ASOs by integrated selectivity score: (mutant Tm - WT Tm) weighted by predicted on-target RNase H activity and cellular uptake efficiency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Allele-selective ASO library: ASO ID, target GoF mutation, targeting strategy (SNP-exploiting vs. isoform-skipping), mutant-mRNA Tm, WT-mRNA Tm, selectivity ratio (mutant:WT), predicted knockdown efficacy (% reduction)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Mutation-exploitation mechanism explanation: for each selected ASO, detailed description of how mutation creates preferential binding site (e.g., 'R201C SNP creates new ESE motif enabling +2.3°C Tm increase vs. WT')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Off-target binding assessment: for each ASO, top 5 predicted off-target genes (if any); KCNQ homolog cross-reactivity scores (should be &lt;10% for KCNQ3, &lt;5% for others)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Isoform-targeting strategy (if applicable): for mutations in isoform-variable regions, detailed explanation of exon-skipping approach and predicted isoform-selective knockdown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Selectivity ranking: prioritized list of top 10-15 ASOs ranked by selectivity index (mutant:WT Tm difference × RNase H activity), with detailed selectivity justification for each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Secondary structure analysis: RNA secondary structure predictions at target sites for top 5 ASOs; assessment of accessibility (should be &gt;70% single-stranded for RNase H recruitment)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Format: </w:t>
      </w:r>
      <w:r>
        <w:rPr>
          <w:rFonts w:ascii="Arial" w:cs="Arial" w:eastAsia="Arial" w:hAnsi="Arial"/>
          <w:sz w:val="24"/>
          <w:szCs w:val="24"/>
        </w:rPr>
        <w:t xml:space="preserve">Excel ASO library (ASO ID, Target Mutation, Selectivity Ratio, Mutant Tm, WT Tm, Knockdown%, Off-target Risk, Final Rank) + isoform targeting strategies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3: M-Current Normalization &amp; Firing Rate Optimization Prediction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Purpose: </w:t>
      </w:r>
      <w:r>
        <w:rPr>
          <w:rFonts w:ascii="Arial" w:cs="Arial" w:eastAsia="Arial" w:hAnsi="Arial"/>
          <w:sz w:val="24"/>
          <w:szCs w:val="24"/>
        </w:rPr>
        <w:t xml:space="preserve">Predict M-current reduction and firing rate normalization for each ASO candidate; optimize knockdown level to achieve WT-like firing without hypoexcitability.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Top 15 allele-selective ASO candidates from Stage 2 with predicted mutant selectivity and knockdown efficacy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Quantitative KCNQ2 expression-M-current relationship from Stage 1: linking % KCNQ2 reduction to expected I_M magnitude change (pA/pF)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Published KCNQ2 GoF voltage-clamp data: representative mutant M-currents (e.g., 'R201C shows +40% peak current vs. WT'); target reduction should normalize current to WT baseline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Quiver Bioscience EP atlas: firing rate vs. M-current magnitude relationships; defined normal firing range and hypoexcitability thresholds (firing rate &lt;5 Hz = hypoexcitable)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Action potential properties: predicted changes in AP threshold, half-width, and accommodation patterns with different levels of M-current reduction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M-current magnitude predictor: model how predicted % KCNQ2 knockdown converts to M-current reduction (pA/pF); use stage 1 expression-function regression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Voltage-clamp phenotype converter: from predicted % current reduction, estimate expected leftward shift in GoF activation curve back toward WT; predict normalized V50 and slope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Firing rate normalizer: use Quiver atlas current-clamp data to predict firing rate changes at different M-current reduction levels; identify knockdown level producing WT-like firing without hypoexcitability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Action potential property predictor: estimate changes in AP threshold, amplitude, half-width, and repetitive firing characteristics with M-current normalization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Seizure threshold correlator: link predicted firing rate normalization to seizure propensity reduction; map to published seizure-frequency data in KCNQ2 neonatal epilepsy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Hypoexcitability risk assessor: identify knockdown levels causing excessive M-current reduction and hypoexcitability; define safety margin (min knockdown for phenotype rescue vs. max without hypoexcitability)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For each of top 10 allele-selective ASOs, predict % M-current reduction: apply KCNQ2-expression-to-I_M regression from Stage 1 assuming predicted knockdown efficiency from ASO design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Model voltage-clamp phenotype correction: for KCNQ2 R201C GoF example (+40% current at -80mV), calculate how much % knockdown (e.g., 50%, 60%) would normalize current back to WT baseline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Predict firing rate normalization: use Quiver atlas frequency-current relationships to estimate firing rate (Hz) expected at different M-current reduction levels; identify knockdown producing WT-like firing (~10-15 Hz at standard input)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Assess hypoexcitability risk: define knockdown level threshold above which M-current reduction would cause hypoexcitability (firing &lt;5 Hz); calculate safety margin between therapeutic knockdown and hypoexcitability threshold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Integrate action potential properties: predict changes in AP threshold (mV depolarization needed), AP amplitude, half-width, and repetitive firing accommodation with M-current normalization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M-current normalization predictions: ASO ID, Predicted % KCNQ2 knockdown, Predicted % M-current reduction (pA/pF), Normalized I_M vs. WT baseline (%), Normalized activation curve V50 (mV)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Firing rate normalization table: ASO ID, Predicted firing rate post-treatment (Hz), Comparison to GoF baseline firing rate, Comparison to WT firing rate, Hypoexcitability risk (low/medium/high)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Action potential property predictions: for top 5 ASOs, predicted AP threshold change (mV), AP amplitude, half-width, and accommodation pattern vs. GoF and WT controls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Knockdown optimization window: for each mutation, defined optimal knockdown range (e.g., '50-65% KCNQ2 reduction normalizes M-current and firing without hypoexcitability') with safety margins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Seizure suppression correlation: predicted seizure frequency reduction (%) expected from M-current normalization and firing rate recovery, mapped against published seizure-frequency data for KCNQ2 GoF neonates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Lead ASO ranking for M-current normalization: top 5-10 ASOs ranked by achievable firing rate normalization score (target WT-like firing with &lt;10% hypoexcitability risk)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Format: </w:t>
      </w:r>
      <w:r>
        <w:rPr>
          <w:rFonts w:ascii="Arial" w:cs="Arial" w:eastAsia="Arial" w:hAnsi="Arial"/>
          <w:sz w:val="24"/>
          <w:szCs w:val="24"/>
        </w:rPr>
        <w:t xml:space="preserve">CSV M-current predictions (ASO ID, KCNQ2 KD%, M-Current Red%, Firing Hz, AP Properties, Seizure Red%, Risk) + knockdown optimization window specifications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4: Neonatal Safety &amp; Developmental Tolerance Assessment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Purpose: </w:t>
      </w:r>
      <w:r>
        <w:rPr>
          <w:rFonts w:ascii="Arial" w:cs="Arial" w:eastAsia="Arial" w:hAnsi="Arial"/>
          <w:sz w:val="24"/>
          <w:szCs w:val="24"/>
        </w:rPr>
        <w:t xml:space="preserve">Predict safety profile in neonates; assess risks of ASO-mediated KCNQ2 knockdown including hepatotoxicity, immune activation, and developmental impact from altered neuronal excitability.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Top 10 allele-selective ASOs with predicted M-current normalization and firing rate recovery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Neonatal toxicology considerations: organ system immaturity (liver phase-I/II metabolism, kidney glomerular filtration, BBB permeability changes with age); baseline immune tolerance differences vs. adults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KCNQ2 expression in non-neuronal tissues: lower expression in heart (off-target risk for cardiac arrhythmia low), kidney, liver; assess peripheral knockdown consequences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Developmental seizure threshold during neonatal period: baseline seizure propensity higher in neonates; predict margin between therapeutic M-current normalization and residual seizure risk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Quiver Bioscience developmental EP signatures: neuronal maturation timeline, age-dependent M-current properties, developmental changes in excitability (birth to 2-week postnatal equivalent in iPSC models)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Neonatal toxicity predictor: model ASO clearance in neonatal vs. adult organisms (slower liver metabolism, kidney maturation effects); estimate CSF and systemic accumulation in neonates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Off-target KCNQ expression analyzer: quantify KCNQ2 expression in liver, kidney, cardiac tissue; predict off-target effects from systemic knockdown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Hepatotoxicity and nephrotoxicity risk assessor for neonates: account for organ immaturity; may have lower tolerance for metabolic stress than adults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Immune activation predictor (neonatal-specific): account for developing adaptive immunity in neonates; innate immune thresholds may be different; assess TLR activation risk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Developmental excitability modeler: integrate predicted M-current normalization with developmental baseline seizure threshold; assess margin between therapeutic effect and residual seizure susceptibility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Cardiac safety assessor: predict off-target KCNQ1 (cardiac KCNQ) knockdown risk; ensure selectivity ratio &gt;10-fold to minimize arrhythmia risk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Model neonatal ASO clearance: estimate CNS and systemic half-life in neonatal (age 0-7 days, maturation equivalent) vs. adult organisms; predict accumulation risk over repeated dosing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Assess hepatotoxicity risk in neonates: account for immature phase-I/II metabolism and reduced liver blood flow; predict metabolic burden from polyunsaturated nucleotide backbone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Evaluate nephrotoxicity risk: predict renal accumulation in neonates with immature glomerular filtration rate (GFR ~20 mL/min/1.73m² at birth vs. ~100 in adults); assess tubular reabsorption and toxicity threshold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Analyze neonatal immune tolerance: predict TLR activation potential in neonates with developing immune system; assess risk of exaggerated IFN-α or IL-6 response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Integrate developmental seizure threshold: estimate baseline seizure propensity in neonates vs. older infants; predict therapeutic margin between M-current normalization (seizure suppression benefit) and residual seizure risk from developmental CNS immaturity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Assess cardiac safety (KCNQ1 off-target): predict KCNQ1 (cardiac) knockdown from each ASO; confirm selectivity &gt;10-fold to minimize QT prolongation and arrhythmia risk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Neonatal safety profile: ASO ID, Predicted CSF and systemic half-life in neonates, Hepatotoxicity risk (low/medium/high), Nephrotoxicity risk, Immune activation index (predicted IFN-α, IL-6 elevation)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Off-target tissue knockdown predictions: for each ASO, predicted KCNQ2 knockdown in CNS (target), liver, kidney, heart (off-targets), with selectivity ratios (should be CNS &gt;5-fold vs. liver/kidney/heart)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Cardiac safety assessment: predicted KCNQ1 (cardiac) and KCNQ3 (CNS) selectivity for each ASO; estimated arrhythmia risk from KCNQ1 knockdown; QT interval change prediction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Developmental tolerance margin: for each ASO, defined safe dose range in neonates (accounting for organ immaturity), predicted M-current normalization at safe dose, seizure suppression efficacy at safe dose, margin to toxicity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Neonatal-specific pharmacokinetic model: predicted CSF Css at recommended neonatal dose, expected therapeutic index (efficacy dose / NOAEL in neonatal toxicology studies), developmental time course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Risk-benefit assessment for neonatal KCNQ2 encephalopathy: for lead candidates, weigh seizure suppression benefit vs. developmental toxicity risk; recommend starting dose and dose escalation strategy for neonatal trials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Format: </w:t>
      </w:r>
      <w:r>
        <w:rPr>
          <w:rFonts w:ascii="Arial" w:cs="Arial" w:eastAsia="Arial" w:hAnsi="Arial"/>
          <w:sz w:val="24"/>
          <w:szCs w:val="24"/>
        </w:rPr>
        <w:t xml:space="preserve">Safety profile CSV (ASO ID, Neonate t½, Hepato Risk, Nephro Risk, Immune Index, KCNQ1 Selectivity, Cardiac Risk, Margin to Tox) + dosing strategy document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5: Allele-Selectivity Validation &amp; Personalized Medicine Approach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Purpose: </w:t>
      </w:r>
      <w:r>
        <w:rPr>
          <w:rFonts w:ascii="Arial" w:cs="Arial" w:eastAsia="Arial" w:hAnsi="Arial"/>
          <w:sz w:val="24"/>
          <w:szCs w:val="24"/>
        </w:rPr>
        <w:t xml:space="preserve">Assess clinical feasibility of allele-selective approach for KCNQ2 GoF; determine whether single ASO covers major mutations or require personalized approaches for rare variants.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Top 5-10 finalized allele-selective ASOs from prior stages with validated selectivity and M-current normalization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KCNQ2 GoF mutation prevalence: frequency distribution of recurrent mutations (top 10 mutations likely cover 60-70% of KCNQ2 encephalopathy cases), vs. rare private mutations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Clinical genotyping strategy: KCNQ2 whole-gene sequencing or targeted gene panel identifies patient mutation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Multiplex ASO design feasibility: explore whether 3-5 carefully designed allele-selective ASOs could collectively address 80%+ of KCNQ2 GoF patient population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Quiver Bioscience population-level KCNQ2 GoF signatures: variability in M-current increase and firing rate reduction across different mutations (some mutations cause +30% M-current, others +60%)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KCNQ2 mutation prevalence analyzer: compile frequency distribution of KCNQ2 GoF mutations from ClinVar and published cohorts; identify recurrent mutations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Multiplex ASO pool designer: select 3-5 allele-selective ASOs that collectively target top KCNQ2 GoF mutations; estimate population coverage (%)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Mutation-to-ASO matching algorithm: for patient-specific mutation, quickly identify which ASO from multiplex pool would provide optimal selectivity; assess performance (% mutant vs. WT binding)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Personalized ASO design-on-demand simulator: for rare mutations not covered by multiplex pool, estimate feasibility of rapid custom ASO design; timeline and cost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Mutation functional severity stratifier: predict how mutation's channel properties (% current increase, voltage shift magnitude) impact ASO knockdown efficacy needed; optimize ASO selection for personalized dosing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Clinical trial adaptive design: propose patient stratification strategy for trials using multiplex ASO pool; plan post-marketing access program for rare mutations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Analyze KCNQ2 GoF mutation prevalence: identify top 10-15 recurrent mutations each appearing in &gt;3% of KCNQ2 encephalopathy population; assess whether top 5 ASOs from earlier stages cover these mutations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Design multiplex ASO pool targeting 80%+ of KCNQ2 GoF patients: select 3-5 allele-selective ASOs that collectively achieve &gt;90% selectivity (mutant:WT) for top mutations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For remaining rare mutations (&lt;1-2% prevalence), develop personalized ASO design pathway: estimate 4-8 week timeline from patient sequencing to custom ASO synthesis; establish cost-sharing model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Create mutation-functional stratification: group KCNQ2 GoF mutations by severity (% current increase, voltage shift); predict whether different functional severity requires different knockdown targets (e.g., +30% current needs 40% knockdown vs. +60% needs 60% knockdown)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Develop adaptive trial design: Phase 2 trial enrolls patients with top KCNQ2 mutations (covered by multiplex ASO pool); plan post-trial access program for rare mutations with physician-led IND pathway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KCNQ2 mutation prevalence and coverage analysis: ranked list of top 20 GoF mutations with prevalence (%), functional severity (% current increase), optimal ASO match from multiplex pool, coverage %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Multiplex ASO pool specifications: 3-5 selected allele-selective ASOs, target mutations for each, collective population coverage (%), expected selectivity (% mutant:WT for covered mutations)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Personalized ASO design strategy: for uncovered rare mutations, outline rapid design pathway; estimate timeline (4-8 weeks), cost, and regulatory pathway (physician-led IND)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Mutation-functional severity stratification: grouped mutations by functional consequence (mild/moderate/severe based on % current increase); predicted optimal knockdown target and expected therapeutic efficacy for each group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Clinical trial adaptive design: Phase 2 patient stratification (&gt;80% enrolled have mutations covered by multiplex pool), interim adaptive analysis plan, post-trial access pathway for rare mutations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Cost-benefit analysis: multiplex ASO strategy (higher upfront development cost, simpler clinical logistics) vs. personalized approach (lower initial cost, complex rare-mutation infrastructure)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Format: </w:t>
      </w:r>
      <w:r>
        <w:rPr>
          <w:rFonts w:ascii="Arial" w:cs="Arial" w:eastAsia="Arial" w:hAnsi="Arial"/>
          <w:sz w:val="24"/>
          <w:szCs w:val="24"/>
        </w:rPr>
        <w:t xml:space="preserve">Mutation prevalence table (Mutation, Prevalence%, Severity, ASO Match, Coverage%) + multiplex pool specifications + personalized design pathway + trial design document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6: Final Lead Selection, Neonatal Clinical Strategy &amp; Regulatory Pathway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Purpose: </w:t>
      </w:r>
      <w:r>
        <w:rPr>
          <w:rFonts w:ascii="Arial" w:cs="Arial" w:eastAsia="Arial" w:hAnsi="Arial"/>
          <w:sz w:val="24"/>
          <w:szCs w:val="24"/>
        </w:rPr>
        <w:t xml:space="preserve">Select lead allele-selective ASO(s); develop neonatal clinical development plan, dosing strategy, and regulatory approach for KCNQ2 GoF encephalopathy.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Top 10 allele-selective ASOs with comprehensive validation: M-current normalization, selectivity, neonatal safety, population coverage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Regulatory precedent: published criteria for rare genetic neurological diseases (breakthrough designation, orphan designation), neonatal drug development guidance (FDA pediatric guidance, PRAC considerations)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Neonatal clinical trial considerations: extremely rare population (KCNQ2 encephalopathy ~1-5 per 100,000 births), need for rapid diagnosis, early treatment window (days-weeks post-birth)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Published KCNQ2 natural history data: baseline seizure frequency, developmental trajectory, long-term outcome; expected symptomatic and developmental improvement with treatment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Quiver Bioscience neonatal EP biomarkers: ex vivo dorsal root ganglion recordings from patient fibroblast-derived neurons, predicted M-current recovery biomarker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Multi-criteria lead selection framework: integrate selectivity (50%), M-current normalization (25%), neonatal safety margin (15%), multiplex coverage (10%)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Neonatal dosing strategy simulator: predict optimal starting dose and dose escalation for neonatal safety; account for organ maturation over treatment course (days/weeks)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IND-enabling neonatal toxicology design: outline GLP safety studies in neonatal rodents (P0-P7 equivalent), developmental endpoints, cardiac monitoring (ECG for KCNQ1 off-target safety)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Phase 1-2 neonatal trial design: enrollment criteria, dose escalation scheme, seizure diary as primary endpoint, developmental milestone tracking, biomarker collection (CSF KCNQ2 exon-junction PCR for splicing correction validation)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Breakthrough/orphan designation preparation: compile data package for FDA breakthrough therapy designation application (rare condition, unmet need, promising efficacy data)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Post-marketing access program: design pathway for patients with rare KCNQ2 mutations not covered by multiplex ASO; outline compassionate use and pediatric expanded access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Rank top 5 allele-selective ASO candidates using MCDA: selectivity (50% weight, aim &gt;95%), M-current normalization efficacy (25%), neonatal safety margin (15%), multiplex coverage (10%); select lead and backup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Develop neonatal dosing strategy: predict starting dose accounting for neonatal organ immaturity (slow liver clearance, immature kidney function); plan dose escalation over treatment course accounting for rapid post-birth organ maturation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Design IND-enabling neonatal toxicology: GLP 28-day repeat-dose IV study in neonatal rats (P0-P7 dosing); specify target organs (brain for efficacy, liver/kidney for safety), cardiac ECG monitoring, developmental neurobehavioral assessment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Design Phase 1-2 neonatal trial: rare-disease adaptive trial enrolling ~10-20 KCNQ2 encephalopathy patients with seizure frequency as primary endpoint (target 50-70% reduction); secondary endpoints include developmental milestone tracking and quality-of-life measures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Prepare breakthrough designation package: demonstrate unmet need (KCNQ2 encephalopathy currently untreatable), promising efficacy (predicted &gt;50% seizure reduction from preclinical data), and potential for substantial clinical benefit vs. available therapies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Final lead selection: Rank, ASO ID, Selectivity%, M-Current Norm%, Neonatal Safety Score, Coverage%, MCDA Score (0-100), Recommendation (Lead/Backup)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Lead ASO comprehensive profile: sequence, target mutations (primary and secondary), predicted functional outcomes (M-current reduction %, firing rate recovery %), selectivity ratios (mutant:WT, KCNQ1 selectivity), neonatal safety data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Neonatal dosing strategy: recommended starting dose (accounting for neonatal organ immaturity), dose escalation plan (timeline tied to post-birth organ maturation), repeat-dosing interval, anticipated CSF Css at therapeutic dose, safety monitoring schedule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IND-enabling toxicology protocol: repeat-dose IV neonatal rodent study (P0-P7), dose range, endpoints (organ weights, histology, developmental neurobehavioral test battery, cardiac ECG), success criteria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Phase 1-2 neonatal clinical trial design: patient population (age &lt;7 days, confirmed KCNQ2 GoF mutation), enrollment target (~10-20 patients), primary endpoint (seizure frequency reduction %), secondary endpoints (developmental milestones, quality of life, M-current biomarker)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Breakthrough designation package: unmet need summary, efficacy data, clinical benefit justification, regulatory timeline, anticipated value to neonatal KCNQ2 encephalopathy patients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Post-marketing access program: compassionate use pathway for rare mutations, pediatric expanded access plan, long-term follow-up registry for developmental outcomes, cost-sharing model for personalized ASO design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Format: </w:t>
      </w:r>
      <w:r>
        <w:rPr>
          <w:rFonts w:ascii="Arial" w:cs="Arial" w:eastAsia="Arial" w:hAnsi="Arial"/>
          <w:sz w:val="24"/>
          <w:szCs w:val="24"/>
        </w:rPr>
        <w:t xml:space="preserve">Final ranking CSV (Rank, ASO, Selectivity%, Safety Score, Coverage, MCDA Score, Decision) + comprehensive lead profile + neonatal dosing + trial protocol summary + breakthrough designation justification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Comprehensive Tools &amp; Databases Summary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KCNQ2 mutation database (ClinVar, JAMA Neurology/Epilepsia publications): retrieve all reported GoF mutations with functional data (measured current increase, voltage-shift magnitude)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Sequence alignment tool: identify unique nucleotide features of GoF mutations (SNPs, indels) enabling allele-selective ASO targeting (e.g., mutation creates non-canonical codon, synonymous SNP exploitable for ASO binding)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Electrophysiology phenotype database: compile published voltage-clamp (I-V curves, Boltzmann fitting for voltage-dependence) and current-clamp (firing rate, threshold) characterizations of KCNQ2 GoF variants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Predicted protein structure impact analyzer: model how GoF mutations affect Kv7.2 protein structure (3D AlphaFold predictions), gating mechanism, or ion-conduction pathway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Allele-selective ASO feasibility scanner: identify SNPs/indels distinguishing mutant from WT sequence; predict ability to design ASOs that preferentially bind mutant mRNA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M-current functional threshold modeler: link predicted KCNQ2 expression levels (via ASO-mediated knockdown) to expected M-current magnitude and firing rate changes; identify knockdown level producing optimal normalization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Allele-selective ASO designer: design ASOs exploiting mutations (SNPs, indels) that create unique sequence motifs in mutant mRNA; optimize for maximal mutant-to-WT binding specificity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Mutation-enhanced ASO site mapper: identify KCNQ2 mutations that create new ASO binding sites (e.g., point mutation that introduces a high-affinity ESE motif) or destroy WT binding sites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KCNQ isoform-specific ASO designer: for mutations in exons with tissue/developmentally-specific isoform skipping, design ASOs to preferentially reduce GoF-prone isoform vs. WT isoform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Off-target KCNQ homolog searcher: BLAST and RNAhybrid search against KCNQ1, KCNQ3, KCNQ4, KCNQ5 to minimize cross-reactivity (target seed-region specificity &gt;90%)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Neuronal-specific ASO uptake modeler: predict scavenger receptor-mediated uptake in dorsal root ganglion and central neurons where KCNQ2 predominates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Secondary structure analyzer for mutation sites: predict RNA accessibility at mutation-bearing regions; identify intronic regulatory elements that could be additionally targeted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M-current magnitude predictor: model how predicted % KCNQ2 knockdown converts to M-current reduction (pA/pF); use stage 1 expression-function regression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Voltage-clamp phenotype converter: from predicted % current reduction, estimate expected leftward shift in GoF activation curve back toward WT; predict normalized V50 and slope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Firing rate normalizer: use Quiver atlas current-clamp data to predict firing rate changes at different M-current reduction levels; identify knockdown level producing WT-like firing without hypoexcitability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200" w:before="200"/>
    </w:pPr>
    <w:rPr>
      <w:rFonts w:ascii="Arial" w:cs="Arial" w:eastAsia="Arial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2026-03-04T19:38:09.595Z</dcterms:created>
  <dcterms:modified xsi:type="dcterms:W3CDTF">2026-03-04T19:38:09.595Z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