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rPr>
          <w:rFonts w:ascii="Arial" w:cs="Arial" w:eastAsia="Arial" w:hAnsi="Arial"/>
          <w:b/>
          <w:bCs/>
          <w:sz w:val="32"/>
          <w:szCs w:val="32"/>
        </w:rPr>
        <w:t xml:space="preserve">Sapphire Pipeline Workflow: Allele-Selective HTT ASO for Huntington's Disease</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allele-selective ASOs targeting mutant HTT transcript (Huntington's disease) while preserving wild-type allele.</w:t>
      </w:r>
    </w:p>
    <w:p>
      <w:pPr>
        <w:spacing w:after="200" w:line="360"/>
      </w:pPr>
      <w:r>
        <w:rPr>
          <w:rFonts w:ascii="Arial" w:cs="Arial" w:eastAsia="Arial" w:hAnsi="Arial"/>
          <w:sz w:val="24"/>
          <w:szCs w:val="24"/>
        </w:rPr>
        <w:t xml:space="preserve">This comprehensive Sapphire Pipeline outlines a systematic, stage-gated approach to allele-selective htt aso for huntington's disease. The workflow integrates cutting-edge genomic analysis, rational ASO design, chemical optimization, and rigorous functional validation.</w:t>
      </w:r>
    </w:p>
    <w:p>
      <w:pPr>
        <w:spacing w:after="200" w:line="360"/>
      </w:pPr>
      <w:r>
        <w:rPr>
          <w:rFonts w:ascii="Arial" w:cs="Arial" w:eastAsia="Arial" w:hAnsi="Arial"/>
          <w:sz w:val="24"/>
          <w:szCs w:val="24"/>
        </w:rPr>
        <w:t xml:space="preserve">Each stage builds upon previous results, incorporating feedback loops and iterative refinement. This structured approach maximizes the probability of identifying effective, safe, and translatable therapeutic candidates.</w:t>
      </w:r>
    </w:p>
    <w:p>
      <w:pPr>
        <w:pStyle w:val="Heading2"/>
        <w:spacing w:after="200" w:before="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consists of 6 interdependent stages designed to guide ASO discovery and validation from initial target selection through clinical readiness. Each stage delivers specific outputs that directly feed into downstream analyses, ensuring data continuity and risk mitigation.</w:t>
      </w:r>
    </w:p>
    <w:p>
      <w:pPr>
        <w:spacing w:after="200" w:line="360"/>
      </w:pPr>
      <w:r>
        <w:rPr>
          <w:rFonts w:ascii="Arial" w:cs="Arial" w:eastAsia="Arial" w:hAnsi="Arial"/>
          <w:sz w:val="24"/>
          <w:szCs w:val="24"/>
        </w:rPr>
        <w:t xml:space="preserve">The integrated approach combines genomic data mining, functional prediction, chemical optimization, and experimental validation. Success at each stage is defined by clear metrics, with go/no-go criteria to prioritize the most promising candidates forward.</w:t>
      </w:r>
    </w:p>
    <w:p>
      <w:pPr>
        <w:pStyle w:val="Heading2"/>
        <w:spacing w:after="200" w:before="200" w:line="360"/>
      </w:pPr>
      <w:r>
        <w:rPr>
          <w:rFonts w:ascii="Arial" w:cs="Arial" w:eastAsia="Arial" w:hAnsi="Arial"/>
          <w:b/>
          <w:bCs/>
          <w:sz w:val="28"/>
          <w:szCs w:val="28"/>
        </w:rPr>
        <w:t xml:space="preserve">Stage 1: HTT Transcript Variant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HTT transcript variants, prioritize CAG-repeat containing isoforms, and map SNP discriminators for allele-selective targeting.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HTT genomic sequence (chr4:3076603-3245687, GRCh38)</w:t>
      </w:r>
    </w:p>
    <w:p>
      <w:pPr>
        <w:pStyle w:val="ListParagraph"/>
        <w:numPr>
          <w:ilvl w:val="0"/>
          <w:numId w:val="2"/>
        </w:numPr>
        <w:spacing w:after="100" w:line="360"/>
      </w:pPr>
      <w:r>
        <w:rPr>
          <w:rFonts w:ascii="Arial" w:cs="Arial" w:eastAsia="Arial" w:hAnsi="Arial"/>
          <w:sz w:val="24"/>
          <w:szCs w:val="24"/>
        </w:rPr>
        <w:t xml:space="preserve">Patient genotype at cis-SNPs flanking CAG expansion</w:t>
      </w:r>
    </w:p>
    <w:p>
      <w:pPr>
        <w:pStyle w:val="ListParagraph"/>
        <w:numPr>
          <w:ilvl w:val="0"/>
          <w:numId w:val="2"/>
        </w:numPr>
        <w:spacing w:after="100" w:line="360"/>
      </w:pPr>
      <w:r>
        <w:rPr>
          <w:rFonts w:ascii="Arial" w:cs="Arial" w:eastAsia="Arial" w:hAnsi="Arial"/>
          <w:sz w:val="24"/>
          <w:szCs w:val="24"/>
        </w:rPr>
        <w:t xml:space="preserve">HTT isoform expression data (GTEx, striatum-specific RNA-seq)</w:t>
      </w:r>
    </w:p>
    <w:p>
      <w:pPr>
        <w:pStyle w:val="ListParagraph"/>
        <w:numPr>
          <w:ilvl w:val="0"/>
          <w:numId w:val="2"/>
        </w:numPr>
        <w:spacing w:after="100" w:line="360"/>
      </w:pPr>
      <w:r>
        <w:rPr>
          <w:rFonts w:ascii="Arial" w:cs="Arial" w:eastAsia="Arial" w:hAnsi="Arial"/>
          <w:sz w:val="24"/>
          <w:szCs w:val="24"/>
        </w:rPr>
        <w:t xml:space="preserve">CAG repeat length polymorphism data across populations</w:t>
      </w:r>
    </w:p>
    <w:p>
      <w:pPr>
        <w:pStyle w:val="ListParagraph"/>
        <w:numPr>
          <w:ilvl w:val="0"/>
          <w:numId w:val="2"/>
        </w:numPr>
        <w:spacing w:after="100" w:line="360"/>
      </w:pPr>
      <w:r>
        <w:rPr>
          <w:rFonts w:ascii="Arial" w:cs="Arial" w:eastAsia="Arial" w:hAnsi="Arial"/>
          <w:sz w:val="24"/>
          <w:szCs w:val="24"/>
        </w:rPr>
        <w:t xml:space="preserve">Known HTT splicing variants (CCDS, RefSeq, Ensembl)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 Genome Browser (HTT locus, conservation tracks)</w:t>
      </w:r>
    </w:p>
    <w:p>
      <w:pPr>
        <w:pStyle w:val="ListParagraph"/>
        <w:numPr>
          <w:ilvl w:val="0"/>
          <w:numId w:val="2"/>
        </w:numPr>
        <w:spacing w:after="100" w:line="360"/>
      </w:pPr>
      <w:r>
        <w:rPr>
          <w:rFonts w:ascii="Arial" w:cs="Arial" w:eastAsia="Arial" w:hAnsi="Arial"/>
          <w:sz w:val="24"/>
          <w:szCs w:val="24"/>
        </w:rPr>
        <w:t xml:space="preserve">gnomAD variant database (SNP frequency, linkage disequilibrium)</w:t>
      </w:r>
    </w:p>
    <w:p>
      <w:pPr>
        <w:pStyle w:val="ListParagraph"/>
        <w:numPr>
          <w:ilvl w:val="0"/>
          <w:numId w:val="2"/>
        </w:numPr>
        <w:spacing w:after="100" w:line="360"/>
      </w:pPr>
      <w:r>
        <w:rPr>
          <w:rFonts w:ascii="Arial" w:cs="Arial" w:eastAsia="Arial" w:hAnsi="Arial"/>
          <w:sz w:val="24"/>
          <w:szCs w:val="24"/>
        </w:rPr>
        <w:t xml:space="preserve">SnpEff (variant functional annotation)</w:t>
      </w:r>
    </w:p>
    <w:p>
      <w:pPr>
        <w:pStyle w:val="ListParagraph"/>
        <w:numPr>
          <w:ilvl w:val="0"/>
          <w:numId w:val="2"/>
        </w:numPr>
        <w:spacing w:after="100" w:line="360"/>
      </w:pPr>
      <w:r>
        <w:rPr>
          <w:rFonts w:ascii="Arial" w:cs="Arial" w:eastAsia="Arial" w:hAnsi="Arial"/>
          <w:sz w:val="24"/>
          <w:szCs w:val="24"/>
        </w:rPr>
        <w:t xml:space="preserve">Ensembl VEP (splice-site prediction, isoform mapping)</w:t>
      </w:r>
    </w:p>
    <w:p>
      <w:pPr>
        <w:pStyle w:val="ListParagraph"/>
        <w:numPr>
          <w:ilvl w:val="0"/>
          <w:numId w:val="2"/>
        </w:numPr>
        <w:spacing w:after="100" w:line="360"/>
      </w:pPr>
      <w:r>
        <w:rPr>
          <w:rFonts w:ascii="Arial" w:cs="Arial" w:eastAsia="Arial" w:hAnsi="Arial"/>
          <w:sz w:val="24"/>
          <w:szCs w:val="24"/>
        </w:rPr>
        <w:t xml:space="preserve">NCBI Gene (HTT transcripts, exon coordinates)</w:t>
      </w:r>
    </w:p>
    <w:p>
      <w:pPr>
        <w:pStyle w:val="ListParagraph"/>
        <w:numPr>
          <w:ilvl w:val="0"/>
          <w:numId w:val="2"/>
        </w:numPr>
        <w:spacing w:after="100" w:line="360"/>
      </w:pPr>
      <w:r>
        <w:rPr>
          <w:rFonts w:ascii="Arial" w:cs="Arial" w:eastAsia="Arial" w:hAnsi="Arial"/>
          <w:sz w:val="24"/>
          <w:szCs w:val="24"/>
        </w:rPr>
        <w:t xml:space="preserve">Custom HTT CAG-repeat genotyper (triplet repeat expansion database)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HTT transcript isoforms are most abundant in human striatum and carry the CAG expansion?</w:t>
      </w:r>
    </w:p>
    <w:p>
      <w:pPr>
        <w:pStyle w:val="ListParagraph"/>
        <w:numPr>
          <w:ilvl w:val="0"/>
          <w:numId w:val="2"/>
        </w:numPr>
        <w:spacing w:after="100" w:line="360"/>
      </w:pPr>
      <w:r>
        <w:rPr>
          <w:rFonts w:ascii="Arial" w:cs="Arial" w:eastAsia="Arial" w:hAnsi="Arial"/>
          <w:sz w:val="24"/>
          <w:szCs w:val="24"/>
        </w:rPr>
        <w:t xml:space="preserve">Identify 3–5 cis-SNPs in HTT that are polymorphic in HD patient populations and flank the CAG repeat.</w:t>
      </w:r>
    </w:p>
    <w:p>
      <w:pPr>
        <w:pStyle w:val="ListParagraph"/>
        <w:numPr>
          <w:ilvl w:val="0"/>
          <w:numId w:val="2"/>
        </w:numPr>
        <w:spacing w:after="100" w:line="360"/>
      </w:pPr>
      <w:r>
        <w:rPr>
          <w:rFonts w:ascii="Arial" w:cs="Arial" w:eastAsia="Arial" w:hAnsi="Arial"/>
          <w:sz w:val="24"/>
          <w:szCs w:val="24"/>
        </w:rPr>
        <w:t xml:space="preserve">What is the linkage disequilibrium pattern around the CAG repeat in affected vs. unaffected alleles?</w:t>
      </w:r>
    </w:p>
    <w:p>
      <w:pPr>
        <w:pStyle w:val="ListParagraph"/>
        <w:numPr>
          <w:ilvl w:val="0"/>
          <w:numId w:val="2"/>
        </w:numPr>
        <w:spacing w:after="100" w:line="360"/>
      </w:pPr>
      <w:r>
        <w:rPr>
          <w:rFonts w:ascii="Arial" w:cs="Arial" w:eastAsia="Arial" w:hAnsi="Arial"/>
          <w:sz w:val="24"/>
          <w:szCs w:val="24"/>
        </w:rPr>
        <w:t xml:space="preserve">Map exon-intron boundaries and alternative splice sites in HTT to prioritize isoforms.</w:t>
      </w:r>
    </w:p>
    <w:p>
      <w:pPr>
        <w:pStyle w:val="ListParagraph"/>
        <w:numPr>
          <w:ilvl w:val="0"/>
          <w:numId w:val="2"/>
        </w:numPr>
        <w:spacing w:after="100" w:line="360"/>
      </w:pPr>
      <w:r>
        <w:rPr>
          <w:rFonts w:ascii="Arial" w:cs="Arial" w:eastAsia="Arial" w:hAnsi="Arial"/>
          <w:sz w:val="24"/>
          <w:szCs w:val="24"/>
        </w:rPr>
        <w:t xml:space="preserve">Compare HTT isoforms across species (human, mouse, NHP) to identify conserved 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HTT transcript isoform table with CAG repeat presence and SNP marker locations</w:t>
      </w:r>
    </w:p>
    <w:p>
      <w:pPr>
        <w:pStyle w:val="ListParagraph"/>
        <w:numPr>
          <w:ilvl w:val="0"/>
          <w:numId w:val="2"/>
        </w:numPr>
        <w:spacing w:after="100" w:line="360"/>
      </w:pPr>
      <w:r>
        <w:rPr>
          <w:rFonts w:ascii="Arial" w:cs="Arial" w:eastAsia="Arial" w:hAnsi="Arial"/>
          <w:sz w:val="24"/>
          <w:szCs w:val="24"/>
        </w:rPr>
        <w:t xml:space="preserve">Allele-specific SNP haplotype map (affected vs. wild-type)</w:t>
      </w:r>
    </w:p>
    <w:p>
      <w:pPr>
        <w:pStyle w:val="ListParagraph"/>
        <w:numPr>
          <w:ilvl w:val="0"/>
          <w:numId w:val="2"/>
        </w:numPr>
        <w:spacing w:after="100" w:line="360"/>
      </w:pPr>
      <w:r>
        <w:rPr>
          <w:rFonts w:ascii="Arial" w:cs="Arial" w:eastAsia="Arial" w:hAnsi="Arial"/>
          <w:sz w:val="24"/>
          <w:szCs w:val="24"/>
        </w:rPr>
        <w:t xml:space="preserve">Predicted CAG expansion size and stability metrics</w:t>
      </w:r>
    </w:p>
    <w:p>
      <w:pPr>
        <w:pStyle w:val="ListParagraph"/>
        <w:numPr>
          <w:ilvl w:val="0"/>
          <w:numId w:val="2"/>
        </w:numPr>
        <w:spacing w:after="100" w:line="360"/>
      </w:pPr>
      <w:r>
        <w:rPr>
          <w:rFonts w:ascii="Arial" w:cs="Arial" w:eastAsia="Arial" w:hAnsi="Arial"/>
          <w:sz w:val="24"/>
          <w:szCs w:val="24"/>
        </w:rPr>
        <w:t xml:space="preserve">HTT splicing variant diagram with exon-level detail</w:t>
      </w:r>
    </w:p>
    <w:p>
      <w:pPr>
        <w:pStyle w:val="ListParagraph"/>
        <w:numPr>
          <w:ilvl w:val="0"/>
          <w:numId w:val="2"/>
        </w:numPr>
        <w:spacing w:after="100" w:line="360"/>
      </w:pPr>
      <w:r>
        <w:rPr>
          <w:rFonts w:ascii="Arial" w:cs="Arial" w:eastAsia="Arial" w:hAnsi="Arial"/>
          <w:sz w:val="24"/>
          <w:szCs w:val="24"/>
        </w:rPr>
        <w:t xml:space="preserve">Cis-SNP frequencies and linkage phase in HD populations</w:t>
      </w:r>
    </w:p>
    <w:p>
      <w:pPr>
        <w:pStyle w:val="ListParagraph"/>
        <w:numPr>
          <w:ilvl w:val="0"/>
          <w:numId w:val="2"/>
        </w:numPr>
        <w:spacing w:after="100" w:line="360"/>
      </w:pPr>
      <w:r>
        <w:rPr>
          <w:rFonts w:ascii="Arial" w:cs="Arial" w:eastAsia="Arial" w:hAnsi="Arial"/>
          <w:sz w:val="24"/>
          <w:szCs w:val="24"/>
        </w:rPr>
        <w:t xml:space="preserve">Conservation alignment (human-mouse-NHP) of target regions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data table (Excel/TSV) + genomic annotation GFF + haplotype phase diagram</w:t>
      </w:r>
    </w:p>
    <w:p>
      <w:pPr>
        <w:pStyle w:val="Heading2"/>
        <w:spacing w:after="200" w:before="200" w:line="360"/>
      </w:pPr>
      <w:r>
        <w:rPr>
          <w:rFonts w:ascii="Arial" w:cs="Arial" w:eastAsia="Arial" w:hAnsi="Arial"/>
          <w:b/>
          <w:bCs/>
          <w:sz w:val="28"/>
          <w:szCs w:val="28"/>
        </w:rPr>
        <w:t xml:space="preserve">Stage 2: SNP-Discriminated ASO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 sequences that exploit cis-SNPs to selectively target mutant HTT while avoiding wild-type allele binding.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candidate cis-SNPs and their haplotype phase</w:t>
      </w:r>
    </w:p>
    <w:p>
      <w:pPr>
        <w:pStyle w:val="ListParagraph"/>
        <w:numPr>
          <w:ilvl w:val="0"/>
          <w:numId w:val="2"/>
        </w:numPr>
        <w:spacing w:after="100" w:line="360"/>
      </w:pPr>
      <w:r>
        <w:rPr>
          <w:rFonts w:ascii="Arial" w:cs="Arial" w:eastAsia="Arial" w:hAnsi="Arial"/>
          <w:sz w:val="24"/>
          <w:szCs w:val="24"/>
        </w:rPr>
        <w:t xml:space="preserve">HTT isoform sequences (including CAG repeat region)</w:t>
      </w:r>
    </w:p>
    <w:p>
      <w:pPr>
        <w:pStyle w:val="ListParagraph"/>
        <w:numPr>
          <w:ilvl w:val="0"/>
          <w:numId w:val="2"/>
        </w:numPr>
        <w:spacing w:after="100" w:line="360"/>
      </w:pPr>
      <w:r>
        <w:rPr>
          <w:rFonts w:ascii="Arial" w:cs="Arial" w:eastAsia="Arial" w:hAnsi="Arial"/>
          <w:sz w:val="24"/>
          <w:szCs w:val="24"/>
        </w:rPr>
        <w:t xml:space="preserve">Thermodynamic parameters for RNA-DNA hybrids (dG, Tm prediction models)</w:t>
      </w:r>
    </w:p>
    <w:p>
      <w:pPr>
        <w:pStyle w:val="ListParagraph"/>
        <w:numPr>
          <w:ilvl w:val="0"/>
          <w:numId w:val="2"/>
        </w:numPr>
        <w:spacing w:after="100" w:line="360"/>
      </w:pPr>
      <w:r>
        <w:rPr>
          <w:rFonts w:ascii="Arial" w:cs="Arial" w:eastAsia="Arial" w:hAnsi="Arial"/>
          <w:sz w:val="24"/>
          <w:szCs w:val="24"/>
        </w:rPr>
        <w:t xml:space="preserve">Off-target sequence database (whole human exome, transcriptome)</w:t>
      </w:r>
    </w:p>
    <w:p>
      <w:pPr>
        <w:pStyle w:val="ListParagraph"/>
        <w:numPr>
          <w:ilvl w:val="0"/>
          <w:numId w:val="2"/>
        </w:numPr>
        <w:spacing w:after="100" w:line="360"/>
      </w:pPr>
      <w:r>
        <w:rPr>
          <w:rFonts w:ascii="Arial" w:cs="Arial" w:eastAsia="Arial" w:hAnsi="Arial"/>
          <w:sz w:val="24"/>
          <w:szCs w:val="24"/>
        </w:rPr>
        <w:t xml:space="preserve">ASO length constraints (18–30 nt) and chemical modification rules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Geneious (ASO design, Tm prediction, constraint enforcement)</w:t>
      </w:r>
    </w:p>
    <w:p>
      <w:pPr>
        <w:pStyle w:val="ListParagraph"/>
        <w:numPr>
          <w:ilvl w:val="0"/>
          <w:numId w:val="2"/>
        </w:numPr>
        <w:spacing w:after="100" w:line="360"/>
      </w:pPr>
      <w:r>
        <w:rPr>
          <w:rFonts w:ascii="Arial" w:cs="Arial" w:eastAsia="Arial" w:hAnsi="Arial"/>
          <w:sz w:val="24"/>
          <w:szCs w:val="24"/>
        </w:rPr>
        <w:t xml:space="preserve">BLAST-N (off-target screening, mismatch tolerance)</w:t>
      </w:r>
    </w:p>
    <w:p>
      <w:pPr>
        <w:pStyle w:val="ListParagraph"/>
        <w:numPr>
          <w:ilvl w:val="0"/>
          <w:numId w:val="2"/>
        </w:numPr>
        <w:spacing w:after="100" w:line="360"/>
      </w:pPr>
      <w:r>
        <w:rPr>
          <w:rFonts w:ascii="Arial" w:cs="Arial" w:eastAsia="Arial" w:hAnsi="Arial"/>
          <w:sz w:val="24"/>
          <w:szCs w:val="24"/>
        </w:rPr>
        <w:t xml:space="preserve">ViennaRNA (secondary structure, accessibility prediction)</w:t>
      </w:r>
    </w:p>
    <w:p>
      <w:pPr>
        <w:pStyle w:val="ListParagraph"/>
        <w:numPr>
          <w:ilvl w:val="0"/>
          <w:numId w:val="2"/>
        </w:numPr>
        <w:spacing w:after="100" w:line="360"/>
      </w:pPr>
      <w:r>
        <w:rPr>
          <w:rFonts w:ascii="Arial" w:cs="Arial" w:eastAsia="Arial" w:hAnsi="Arial"/>
          <w:sz w:val="24"/>
          <w:szCs w:val="24"/>
        </w:rPr>
        <w:t xml:space="preserve">OligoCalc (oligonucleotide properties, Tm calculation)</w:t>
      </w:r>
    </w:p>
    <w:p>
      <w:pPr>
        <w:pStyle w:val="ListParagraph"/>
        <w:numPr>
          <w:ilvl w:val="0"/>
          <w:numId w:val="2"/>
        </w:numPr>
        <w:spacing w:after="100" w:line="360"/>
      </w:pPr>
      <w:r>
        <w:rPr>
          <w:rFonts w:ascii="Arial" w:cs="Arial" w:eastAsia="Arial" w:hAnsi="Arial"/>
          <w:sz w:val="24"/>
          <w:szCs w:val="24"/>
        </w:rPr>
        <w:t xml:space="preserve">SnapGene (plasmid/sequence simulation, annotation)</w:t>
      </w:r>
    </w:p>
    <w:p>
      <w:pPr>
        <w:pStyle w:val="ListParagraph"/>
        <w:numPr>
          <w:ilvl w:val="0"/>
          <w:numId w:val="2"/>
        </w:numPr>
        <w:spacing w:after="100" w:line="360"/>
      </w:pPr>
      <w:r>
        <w:rPr>
          <w:rFonts w:ascii="Arial" w:cs="Arial" w:eastAsia="Arial" w:hAnsi="Arial"/>
          <w:sz w:val="24"/>
          <w:szCs w:val="24"/>
        </w:rPr>
        <w:t xml:space="preserve">Custom SNP-weighted design algorithm (mismatch penalty function)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ASOs that bind strongly to mutant HTT SNP allele but have ≥3 mismatches to wild-type SNP.</w:t>
      </w:r>
    </w:p>
    <w:p>
      <w:pPr>
        <w:pStyle w:val="ListParagraph"/>
        <w:numPr>
          <w:ilvl w:val="0"/>
          <w:numId w:val="2"/>
        </w:numPr>
        <w:spacing w:after="100" w:line="360"/>
      </w:pPr>
      <w:r>
        <w:rPr>
          <w:rFonts w:ascii="Arial" w:cs="Arial" w:eastAsia="Arial" w:hAnsi="Arial"/>
          <w:sz w:val="24"/>
          <w:szCs w:val="24"/>
        </w:rPr>
        <w:t xml:space="preserve">Predict the thermodynamic stability difference (dG) between ASO-mutant and ASO-wild-type duplexes.</w:t>
      </w:r>
    </w:p>
    <w:p>
      <w:pPr>
        <w:pStyle w:val="ListParagraph"/>
        <w:numPr>
          <w:ilvl w:val="0"/>
          <w:numId w:val="2"/>
        </w:numPr>
        <w:spacing w:after="100" w:line="360"/>
      </w:pPr>
      <w:r>
        <w:rPr>
          <w:rFonts w:ascii="Arial" w:cs="Arial" w:eastAsia="Arial" w:hAnsi="Arial"/>
          <w:sz w:val="24"/>
          <w:szCs w:val="24"/>
        </w:rPr>
        <w:t xml:space="preserve">Screen ASO candidates against 50,000 off-target sequences; report BLAST alignments with ≤2 mismatches.</w:t>
      </w:r>
    </w:p>
    <w:p>
      <w:pPr>
        <w:pStyle w:val="ListParagraph"/>
        <w:numPr>
          <w:ilvl w:val="0"/>
          <w:numId w:val="2"/>
        </w:numPr>
        <w:spacing w:after="100" w:line="360"/>
      </w:pPr>
      <w:r>
        <w:rPr>
          <w:rFonts w:ascii="Arial" w:cs="Arial" w:eastAsia="Arial" w:hAnsi="Arial"/>
          <w:sz w:val="24"/>
          <w:szCs w:val="24"/>
        </w:rPr>
        <w:t xml:space="preserve">Model secondary structure of HTT target region ± ASO binding to assess RNA accessibility.</w:t>
      </w:r>
    </w:p>
    <w:p>
      <w:pPr>
        <w:pStyle w:val="ListParagraph"/>
        <w:numPr>
          <w:ilvl w:val="0"/>
          <w:numId w:val="2"/>
        </w:numPr>
        <w:spacing w:after="100" w:line="360"/>
      </w:pPr>
      <w:r>
        <w:rPr>
          <w:rFonts w:ascii="Arial" w:cs="Arial" w:eastAsia="Arial" w:hAnsi="Arial"/>
          <w:sz w:val="24"/>
          <w:szCs w:val="24"/>
        </w:rPr>
        <w:t xml:space="preserve">Optimize ASO length (20–28 nt) to maximize selectivity while maintaining knockdown potency.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 allele-selective ASO candidates with sequences</w:t>
      </w:r>
    </w:p>
    <w:p>
      <w:pPr>
        <w:pStyle w:val="ListParagraph"/>
        <w:numPr>
          <w:ilvl w:val="0"/>
          <w:numId w:val="2"/>
        </w:numPr>
        <w:spacing w:after="100" w:line="360"/>
      </w:pPr>
      <w:r>
        <w:rPr>
          <w:rFonts w:ascii="Arial" w:cs="Arial" w:eastAsia="Arial" w:hAnsi="Arial"/>
          <w:sz w:val="24"/>
          <w:szCs w:val="24"/>
        </w:rPr>
        <w:t xml:space="preserve">Selectivity ratio table (Tm mutant - Tm wild-type, in °C)</w:t>
      </w:r>
    </w:p>
    <w:p>
      <w:pPr>
        <w:pStyle w:val="ListParagraph"/>
        <w:numPr>
          <w:ilvl w:val="0"/>
          <w:numId w:val="2"/>
        </w:numPr>
        <w:spacing w:after="100" w:line="360"/>
      </w:pPr>
      <w:r>
        <w:rPr>
          <w:rFonts w:ascii="Arial" w:cs="Arial" w:eastAsia="Arial" w:hAnsi="Arial"/>
          <w:sz w:val="24"/>
          <w:szCs w:val="24"/>
        </w:rPr>
        <w:t xml:space="preserve">Off-target alignment report (count of sequences with ≤2 mismatches)</w:t>
      </w:r>
    </w:p>
    <w:p>
      <w:pPr>
        <w:pStyle w:val="ListParagraph"/>
        <w:numPr>
          <w:ilvl w:val="0"/>
          <w:numId w:val="2"/>
        </w:numPr>
        <w:spacing w:after="100" w:line="360"/>
      </w:pPr>
      <w:r>
        <w:rPr>
          <w:rFonts w:ascii="Arial" w:cs="Arial" w:eastAsia="Arial" w:hAnsi="Arial"/>
          <w:sz w:val="24"/>
          <w:szCs w:val="24"/>
        </w:rPr>
        <w:t xml:space="preserve">Secondary structure accessibility scores for target and flanking regions</w:t>
      </w:r>
    </w:p>
    <w:p>
      <w:pPr>
        <w:pStyle w:val="ListParagraph"/>
        <w:numPr>
          <w:ilvl w:val="0"/>
          <w:numId w:val="2"/>
        </w:numPr>
        <w:spacing w:after="100" w:line="360"/>
      </w:pPr>
      <w:r>
        <w:rPr>
          <w:rFonts w:ascii="Arial" w:cs="Arial" w:eastAsia="Arial" w:hAnsi="Arial"/>
          <w:sz w:val="24"/>
          <w:szCs w:val="24"/>
        </w:rPr>
        <w:t xml:space="preserve">Thermodynamic prediction data (dG, Tm, mismatch penalty scoring)</w:t>
      </w:r>
    </w:p>
    <w:p>
      <w:pPr>
        <w:pStyle w:val="ListParagraph"/>
        <w:numPr>
          <w:ilvl w:val="0"/>
          <w:numId w:val="2"/>
        </w:numPr>
        <w:spacing w:after="100" w:line="360"/>
      </w:pPr>
      <w:r>
        <w:rPr>
          <w:rFonts w:ascii="Arial" w:cs="Arial" w:eastAsia="Arial" w:hAnsi="Arial"/>
          <w:sz w:val="24"/>
          <w:szCs w:val="24"/>
        </w:rPr>
        <w:t xml:space="preserve">ASO length vs. selectivity trade-off analysis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sequences + selectivity scorecard + off-target alignment table + thermal stability curves</w:t>
      </w:r>
    </w:p>
    <w:p>
      <w:pPr>
        <w:pStyle w:val="Heading2"/>
        <w:spacing w:after="200" w:before="200" w:line="360"/>
      </w:pPr>
      <w:r>
        <w:rPr>
          <w:rFonts w:ascii="Arial" w:cs="Arial" w:eastAsia="Arial" w:hAnsi="Arial"/>
          <w:b/>
          <w:bCs/>
          <w:sz w:val="28"/>
          <w:szCs w:val="28"/>
        </w:rPr>
        <w:t xml:space="preserve">Stage 3: Chemical Modification &amp; Stability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Select and optimize chemical modifications (PS backbone, 2'-O-methyl, LNA, MOE) to maximize CNS penetration and striatal cell uptake.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allele-selective ASO lead sequences</w:t>
      </w:r>
    </w:p>
    <w:p>
      <w:pPr>
        <w:pStyle w:val="ListParagraph"/>
        <w:numPr>
          <w:ilvl w:val="0"/>
          <w:numId w:val="2"/>
        </w:numPr>
        <w:spacing w:after="100" w:line="360"/>
      </w:pPr>
      <w:r>
        <w:rPr>
          <w:rFonts w:ascii="Arial" w:cs="Arial" w:eastAsia="Arial" w:hAnsi="Arial"/>
          <w:sz w:val="24"/>
          <w:szCs w:val="24"/>
        </w:rPr>
        <w:t xml:space="preserve">Chemical modification compatibility rules (LNA ≤50%, PS on all internucleosides)</w:t>
      </w:r>
    </w:p>
    <w:p>
      <w:pPr>
        <w:pStyle w:val="ListParagraph"/>
        <w:numPr>
          <w:ilvl w:val="0"/>
          <w:numId w:val="2"/>
        </w:numPr>
        <w:spacing w:after="100" w:line="360"/>
      </w:pPr>
      <w:r>
        <w:rPr>
          <w:rFonts w:ascii="Arial" w:cs="Arial" w:eastAsia="Arial" w:hAnsi="Arial"/>
          <w:sz w:val="24"/>
          <w:szCs w:val="24"/>
        </w:rPr>
        <w:t xml:space="preserve">In vitro striatal cell uptake and RNase H activity data (literature/in-house)</w:t>
      </w:r>
    </w:p>
    <w:p>
      <w:pPr>
        <w:pStyle w:val="ListParagraph"/>
        <w:numPr>
          <w:ilvl w:val="0"/>
          <w:numId w:val="2"/>
        </w:numPr>
        <w:spacing w:after="100" w:line="360"/>
      </w:pPr>
      <w:r>
        <w:rPr>
          <w:rFonts w:ascii="Arial" w:cs="Arial" w:eastAsia="Arial" w:hAnsi="Arial"/>
          <w:sz w:val="24"/>
          <w:szCs w:val="24"/>
        </w:rPr>
        <w:t xml:space="preserve">Pharmacokinetic models for CNS penetration (BBB transport, CSF clearance)</w:t>
      </w:r>
    </w:p>
    <w:p>
      <w:pPr>
        <w:pStyle w:val="ListParagraph"/>
        <w:numPr>
          <w:ilvl w:val="0"/>
          <w:numId w:val="2"/>
        </w:numPr>
        <w:spacing w:after="100" w:line="360"/>
      </w:pPr>
      <w:r>
        <w:rPr>
          <w:rFonts w:ascii="Arial" w:cs="Arial" w:eastAsia="Arial" w:hAnsi="Arial"/>
          <w:sz w:val="24"/>
          <w:szCs w:val="24"/>
        </w:rPr>
        <w:t xml:space="preserve">Thermostability requirements (37°C serum, pH 7.4)</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Integrated Biotech ASODESIGN tool (modification recommendation engine)</w:t>
      </w:r>
    </w:p>
    <w:p>
      <w:pPr>
        <w:pStyle w:val="ListParagraph"/>
        <w:numPr>
          <w:ilvl w:val="0"/>
          <w:numId w:val="2"/>
        </w:numPr>
        <w:spacing w:after="100" w:line="360"/>
      </w:pPr>
      <w:r>
        <w:rPr>
          <w:rFonts w:ascii="Arial" w:cs="Arial" w:eastAsia="Arial" w:hAnsi="Arial"/>
          <w:sz w:val="24"/>
          <w:szCs w:val="24"/>
        </w:rPr>
        <w:t xml:space="preserve">ChemDraw/MOE (2D structure visualization, logP prediction)</w:t>
      </w:r>
    </w:p>
    <w:p>
      <w:pPr>
        <w:pStyle w:val="ListParagraph"/>
        <w:numPr>
          <w:ilvl w:val="0"/>
          <w:numId w:val="2"/>
        </w:numPr>
        <w:spacing w:after="100" w:line="360"/>
      </w:pPr>
      <w:r>
        <w:rPr>
          <w:rFonts w:ascii="Arial" w:cs="Arial" w:eastAsia="Arial" w:hAnsi="Arial"/>
          <w:sz w:val="24"/>
          <w:szCs w:val="24"/>
        </w:rPr>
        <w:t xml:space="preserve">Autodock (binding affinity prediction for striatal neuronal uptake receptors)</w:t>
      </w:r>
    </w:p>
    <w:p>
      <w:pPr>
        <w:pStyle w:val="ListParagraph"/>
        <w:numPr>
          <w:ilvl w:val="0"/>
          <w:numId w:val="2"/>
        </w:numPr>
        <w:spacing w:after="100" w:line="360"/>
      </w:pPr>
      <w:r>
        <w:rPr>
          <w:rFonts w:ascii="Arial" w:cs="Arial" w:eastAsia="Arial" w:hAnsi="Arial"/>
          <w:sz w:val="24"/>
          <w:szCs w:val="24"/>
        </w:rPr>
        <w:t xml:space="preserve">PREDMD (molecular dynamics, modified ASO stability)</w:t>
      </w:r>
    </w:p>
    <w:p>
      <w:pPr>
        <w:pStyle w:val="ListParagraph"/>
        <w:numPr>
          <w:ilvl w:val="0"/>
          <w:numId w:val="2"/>
        </w:numPr>
        <w:spacing w:after="100" w:line="360"/>
      </w:pPr>
      <w:r>
        <w:rPr>
          <w:rFonts w:ascii="Arial" w:cs="Arial" w:eastAsia="Arial" w:hAnsi="Arial"/>
          <w:sz w:val="24"/>
          <w:szCs w:val="24"/>
        </w:rPr>
        <w:t xml:space="preserve">Exiqon/LNA design tool (LNA positioning and Tm effects)</w:t>
      </w:r>
    </w:p>
    <w:p>
      <w:pPr>
        <w:pStyle w:val="ListParagraph"/>
        <w:numPr>
          <w:ilvl w:val="0"/>
          <w:numId w:val="2"/>
        </w:numPr>
        <w:spacing w:after="100" w:line="360"/>
      </w:pPr>
      <w:r>
        <w:rPr>
          <w:rFonts w:ascii="Arial" w:cs="Arial" w:eastAsia="Arial" w:hAnsi="Arial"/>
          <w:sz w:val="24"/>
          <w:szCs w:val="24"/>
        </w:rPr>
        <w:t xml:space="preserve">Proprietary RNase H activity predictor (chemistry-specific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ASO lead, propose a 2'MOE + PS + LNA modification pattern to maximize RNase H recruitment.</w:t>
      </w:r>
    </w:p>
    <w:p>
      <w:pPr>
        <w:pStyle w:val="ListParagraph"/>
        <w:numPr>
          <w:ilvl w:val="0"/>
          <w:numId w:val="2"/>
        </w:numPr>
        <w:spacing w:after="100" w:line="360"/>
      </w:pPr>
      <w:r>
        <w:rPr>
          <w:rFonts w:ascii="Arial" w:cs="Arial" w:eastAsia="Arial" w:hAnsi="Arial"/>
          <w:sz w:val="24"/>
          <w:szCs w:val="24"/>
        </w:rPr>
        <w:t xml:space="preserve">Predict the Tm increase from LNA modifications and assess optimal spacing.</w:t>
      </w:r>
    </w:p>
    <w:p>
      <w:pPr>
        <w:pStyle w:val="ListParagraph"/>
        <w:numPr>
          <w:ilvl w:val="0"/>
          <w:numId w:val="2"/>
        </w:numPr>
        <w:spacing w:after="100" w:line="360"/>
      </w:pPr>
      <w:r>
        <w:rPr>
          <w:rFonts w:ascii="Arial" w:cs="Arial" w:eastAsia="Arial" w:hAnsi="Arial"/>
          <w:sz w:val="24"/>
          <w:szCs w:val="24"/>
        </w:rPr>
        <w:t xml:space="preserve">Model CNS blood-brain barrier penetration for modified ASOs using logP and charge state.</w:t>
      </w:r>
    </w:p>
    <w:p>
      <w:pPr>
        <w:pStyle w:val="ListParagraph"/>
        <w:numPr>
          <w:ilvl w:val="0"/>
          <w:numId w:val="2"/>
        </w:numPr>
        <w:spacing w:after="100" w:line="360"/>
      </w:pPr>
      <w:r>
        <w:rPr>
          <w:rFonts w:ascii="Arial" w:cs="Arial" w:eastAsia="Arial" w:hAnsi="Arial"/>
          <w:sz w:val="24"/>
          <w:szCs w:val="24"/>
        </w:rPr>
        <w:t xml:space="preserve">Conduct in vitro RNase H cleavage assays on HTT target RNA with each modified ASO.</w:t>
      </w:r>
    </w:p>
    <w:p>
      <w:pPr>
        <w:pStyle w:val="ListParagraph"/>
        <w:numPr>
          <w:ilvl w:val="0"/>
          <w:numId w:val="2"/>
        </w:numPr>
        <w:spacing w:after="100" w:line="360"/>
      </w:pPr>
      <w:r>
        <w:rPr>
          <w:rFonts w:ascii="Arial" w:cs="Arial" w:eastAsia="Arial" w:hAnsi="Arial"/>
          <w:sz w:val="24"/>
          <w:szCs w:val="24"/>
        </w:rPr>
        <w:t xml:space="preserve">Estimate serum half-life and striatal retention time for each modification scheme.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Modified ASO sequences with full chemical annotation (positions, modification types)</w:t>
      </w:r>
    </w:p>
    <w:p>
      <w:pPr>
        <w:pStyle w:val="ListParagraph"/>
        <w:numPr>
          <w:ilvl w:val="0"/>
          <w:numId w:val="2"/>
        </w:numPr>
        <w:spacing w:after="100" w:line="360"/>
      </w:pPr>
      <w:r>
        <w:rPr>
          <w:rFonts w:ascii="Arial" w:cs="Arial" w:eastAsia="Arial" w:hAnsi="Arial"/>
          <w:sz w:val="24"/>
          <w:szCs w:val="24"/>
        </w:rPr>
        <w:t xml:space="preserve">Tm and thermostability prediction (37°C, serum, pH variations)</w:t>
      </w:r>
    </w:p>
    <w:p>
      <w:pPr>
        <w:pStyle w:val="ListParagraph"/>
        <w:numPr>
          <w:ilvl w:val="0"/>
          <w:numId w:val="2"/>
        </w:numPr>
        <w:spacing w:after="100" w:line="360"/>
      </w:pPr>
      <w:r>
        <w:rPr>
          <w:rFonts w:ascii="Arial" w:cs="Arial" w:eastAsia="Arial" w:hAnsi="Arial"/>
          <w:sz w:val="24"/>
          <w:szCs w:val="24"/>
        </w:rPr>
        <w:t xml:space="preserve">Predicted CNS penetration score and striatal uptake efficiency</w:t>
      </w:r>
    </w:p>
    <w:p>
      <w:pPr>
        <w:pStyle w:val="ListParagraph"/>
        <w:numPr>
          <w:ilvl w:val="0"/>
          <w:numId w:val="2"/>
        </w:numPr>
        <w:spacing w:after="100" w:line="360"/>
      </w:pPr>
      <w:r>
        <w:rPr>
          <w:rFonts w:ascii="Arial" w:cs="Arial" w:eastAsia="Arial" w:hAnsi="Arial"/>
          <w:sz w:val="24"/>
          <w:szCs w:val="24"/>
        </w:rPr>
        <w:t xml:space="preserve">RNase H activity prediction per modification pattern</w:t>
      </w:r>
    </w:p>
    <w:p>
      <w:pPr>
        <w:pStyle w:val="ListParagraph"/>
        <w:numPr>
          <w:ilvl w:val="0"/>
          <w:numId w:val="2"/>
        </w:numPr>
        <w:spacing w:after="100" w:line="360"/>
      </w:pPr>
      <w:r>
        <w:rPr>
          <w:rFonts w:ascii="Arial" w:cs="Arial" w:eastAsia="Arial" w:hAnsi="Arial"/>
          <w:sz w:val="24"/>
          <w:szCs w:val="24"/>
        </w:rPr>
        <w:t xml:space="preserve">Serum stability and in vivo half-life estimates</w:t>
      </w:r>
    </w:p>
    <w:p>
      <w:pPr>
        <w:pStyle w:val="ListParagraph"/>
        <w:numPr>
          <w:ilvl w:val="0"/>
          <w:numId w:val="2"/>
        </w:numPr>
        <w:spacing w:after="100" w:line="360"/>
      </w:pPr>
      <w:r>
        <w:rPr>
          <w:rFonts w:ascii="Arial" w:cs="Arial" w:eastAsia="Arial" w:hAnsi="Arial"/>
          <w:sz w:val="24"/>
          <w:szCs w:val="24"/>
        </w:rPr>
        <w:t xml:space="preserve">Recommendation table (top 2 modified ASOs with rationale)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Modified sequence notation + thermal stability graphs + pharmacokinetic prediction summary</w:t>
      </w:r>
    </w:p>
    <w:p>
      <w:pPr>
        <w:pStyle w:val="Heading2"/>
        <w:spacing w:after="200" w:before="200" w:line="360"/>
      </w:pPr>
      <w:r>
        <w:rPr>
          <w:rFonts w:ascii="Arial" w:cs="Arial" w:eastAsia="Arial" w:hAnsi="Arial"/>
          <w:b/>
          <w:bCs/>
          <w:sz w:val="28"/>
          <w:szCs w:val="28"/>
        </w:rPr>
        <w:t xml:space="preserve">Stage 4: Ex Vivo &amp; In Vitro Validation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experiments to validate allele selectivity, knockdown efficiency, and mechanism in HD patient-derived cells.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 chemically optimized allele-selective ASOs</w:t>
      </w:r>
    </w:p>
    <w:p>
      <w:pPr>
        <w:pStyle w:val="ListParagraph"/>
        <w:numPr>
          <w:ilvl w:val="0"/>
          <w:numId w:val="2"/>
        </w:numPr>
        <w:spacing w:after="100" w:line="360"/>
      </w:pPr>
      <w:r>
        <w:rPr>
          <w:rFonts w:ascii="Arial" w:cs="Arial" w:eastAsia="Arial" w:hAnsi="Arial"/>
          <w:sz w:val="24"/>
          <w:szCs w:val="24"/>
        </w:rPr>
        <w:t xml:space="preserve">HD patient fibroblast and iPS cell panel (with documented HTT genotypes)</w:t>
      </w:r>
    </w:p>
    <w:p>
      <w:pPr>
        <w:pStyle w:val="ListParagraph"/>
        <w:numPr>
          <w:ilvl w:val="0"/>
          <w:numId w:val="2"/>
        </w:numPr>
        <w:spacing w:after="100" w:line="360"/>
      </w:pPr>
      <w:r>
        <w:rPr>
          <w:rFonts w:ascii="Arial" w:cs="Arial" w:eastAsia="Arial" w:hAnsi="Arial"/>
          <w:sz w:val="24"/>
          <w:szCs w:val="24"/>
        </w:rPr>
        <w:t xml:space="preserve">Target knockdown range (60–85% mutant HTT, &lt;10% wild-type reduction)</w:t>
      </w:r>
    </w:p>
    <w:p>
      <w:pPr>
        <w:pStyle w:val="ListParagraph"/>
        <w:numPr>
          <w:ilvl w:val="0"/>
          <w:numId w:val="2"/>
        </w:numPr>
        <w:spacing w:after="100" w:line="360"/>
      </w:pPr>
      <w:r>
        <w:rPr>
          <w:rFonts w:ascii="Arial" w:cs="Arial" w:eastAsia="Arial" w:hAnsi="Arial"/>
          <w:sz w:val="24"/>
          <w:szCs w:val="24"/>
        </w:rPr>
        <w:t xml:space="preserve">Control ASO references (scrambled, non-selective HTT ASO)</w:t>
      </w:r>
    </w:p>
    <w:p>
      <w:pPr>
        <w:pStyle w:val="ListParagraph"/>
        <w:numPr>
          <w:ilvl w:val="0"/>
          <w:numId w:val="2"/>
        </w:numPr>
        <w:spacing w:after="100" w:line="360"/>
      </w:pPr>
      <w:r>
        <w:rPr>
          <w:rFonts w:ascii="Arial" w:cs="Arial" w:eastAsia="Arial" w:hAnsi="Arial"/>
          <w:sz w:val="24"/>
          <w:szCs w:val="24"/>
        </w:rPr>
        <w:t xml:space="preserve">Detection methods: qPCR, Western blot, immunofluorescence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CellProfiler (high-content imaging, phenotype analysis)</w:t>
      </w:r>
    </w:p>
    <w:p>
      <w:pPr>
        <w:pStyle w:val="ListParagraph"/>
        <w:numPr>
          <w:ilvl w:val="0"/>
          <w:numId w:val="2"/>
        </w:numPr>
        <w:spacing w:after="100" w:line="360"/>
      </w:pPr>
      <w:r>
        <w:rPr>
          <w:rFonts w:ascii="Arial" w:cs="Arial" w:eastAsia="Arial" w:hAnsi="Arial"/>
          <w:sz w:val="24"/>
          <w:szCs w:val="24"/>
        </w:rPr>
        <w:t xml:space="preserve">QIAGEN QuantiTect RT-qPCR (HTT isoform-specific primer design)</w:t>
      </w:r>
    </w:p>
    <w:p>
      <w:pPr>
        <w:pStyle w:val="ListParagraph"/>
        <w:numPr>
          <w:ilvl w:val="0"/>
          <w:numId w:val="2"/>
        </w:numPr>
        <w:spacing w:after="100" w:line="360"/>
      </w:pPr>
      <w:r>
        <w:rPr>
          <w:rFonts w:ascii="Arial" w:cs="Arial" w:eastAsia="Arial" w:hAnsi="Arial"/>
          <w:sz w:val="24"/>
          <w:szCs w:val="24"/>
        </w:rPr>
        <w:t xml:space="preserve">Protein quantification software (ImageJ, densitometry)</w:t>
      </w:r>
    </w:p>
    <w:p>
      <w:pPr>
        <w:pStyle w:val="ListParagraph"/>
        <w:numPr>
          <w:ilvl w:val="0"/>
          <w:numId w:val="2"/>
        </w:numPr>
        <w:spacing w:after="100" w:line="360"/>
      </w:pPr>
      <w:r>
        <w:rPr>
          <w:rFonts w:ascii="Arial" w:cs="Arial" w:eastAsia="Arial" w:hAnsi="Arial"/>
          <w:sz w:val="24"/>
          <w:szCs w:val="24"/>
        </w:rPr>
        <w:t xml:space="preserve">Flow cytometry analysis tools (FCS Express, gating strategy optimization)</w:t>
      </w:r>
    </w:p>
    <w:p>
      <w:pPr>
        <w:pStyle w:val="ListParagraph"/>
        <w:numPr>
          <w:ilvl w:val="0"/>
          <w:numId w:val="2"/>
        </w:numPr>
        <w:spacing w:after="100" w:line="360"/>
      </w:pPr>
      <w:r>
        <w:rPr>
          <w:rFonts w:ascii="Arial" w:cs="Arial" w:eastAsia="Arial" w:hAnsi="Arial"/>
          <w:sz w:val="24"/>
          <w:szCs w:val="24"/>
        </w:rPr>
        <w:t xml:space="preserve">Statistics package (R, JMP; allele-specific dosing and selectivity)</w:t>
      </w:r>
    </w:p>
    <w:p>
      <w:pPr>
        <w:pStyle w:val="ListParagraph"/>
        <w:numPr>
          <w:ilvl w:val="0"/>
          <w:numId w:val="2"/>
        </w:numPr>
        <w:spacing w:after="100" w:line="360"/>
      </w:pPr>
      <w:r>
        <w:rPr>
          <w:rFonts w:ascii="Arial" w:cs="Arial" w:eastAsia="Arial" w:hAnsi="Arial"/>
          <w:sz w:val="24"/>
          <w:szCs w:val="24"/>
        </w:rPr>
        <w:t xml:space="preserve">Luminex/multiplex cytokine assay (innate immunity markers)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qPCR assays with allele-specific probes to distinguish mutant vs. wild-type HTT knockdown.</w:t>
      </w:r>
    </w:p>
    <w:p>
      <w:pPr>
        <w:pStyle w:val="ListParagraph"/>
        <w:numPr>
          <w:ilvl w:val="0"/>
          <w:numId w:val="2"/>
        </w:numPr>
        <w:spacing w:after="100" w:line="360"/>
      </w:pPr>
      <w:r>
        <w:rPr>
          <w:rFonts w:ascii="Arial" w:cs="Arial" w:eastAsia="Arial" w:hAnsi="Arial"/>
          <w:sz w:val="24"/>
          <w:szCs w:val="24"/>
        </w:rPr>
        <w:t xml:space="preserve">Propose dose-response curves (0.1–10 µM ASO) in HD patient fibroblasts; target EC50 and selectivity.</w:t>
      </w:r>
    </w:p>
    <w:p>
      <w:pPr>
        <w:pStyle w:val="ListParagraph"/>
        <w:numPr>
          <w:ilvl w:val="0"/>
          <w:numId w:val="2"/>
        </w:numPr>
        <w:spacing w:after="100" w:line="360"/>
      </w:pPr>
      <w:r>
        <w:rPr>
          <w:rFonts w:ascii="Arial" w:cs="Arial" w:eastAsia="Arial" w:hAnsi="Arial"/>
          <w:sz w:val="24"/>
          <w:szCs w:val="24"/>
        </w:rPr>
        <w:t xml:space="preserve">Predict off-target gene knockdown using RNA-seq on ASO-treated vs. control cells.</w:t>
      </w:r>
    </w:p>
    <w:p>
      <w:pPr>
        <w:pStyle w:val="ListParagraph"/>
        <w:numPr>
          <w:ilvl w:val="0"/>
          <w:numId w:val="2"/>
        </w:numPr>
        <w:spacing w:after="100" w:line="360"/>
      </w:pPr>
      <w:r>
        <w:rPr>
          <w:rFonts w:ascii="Arial" w:cs="Arial" w:eastAsia="Arial" w:hAnsi="Arial"/>
          <w:sz w:val="24"/>
          <w:szCs w:val="24"/>
        </w:rPr>
        <w:t xml:space="preserve">Design immunofluorescence experiment to visualize HTT protein localization and aggregation in treated cells.</w:t>
      </w:r>
    </w:p>
    <w:p>
      <w:pPr>
        <w:pStyle w:val="ListParagraph"/>
        <w:numPr>
          <w:ilvl w:val="0"/>
          <w:numId w:val="2"/>
        </w:numPr>
        <w:spacing w:after="100" w:line="360"/>
      </w:pPr>
      <w:r>
        <w:rPr>
          <w:rFonts w:ascii="Arial" w:cs="Arial" w:eastAsia="Arial" w:hAnsi="Arial"/>
          <w:sz w:val="24"/>
          <w:szCs w:val="24"/>
        </w:rPr>
        <w:t xml:space="preserve">Establish biomarker panels (cytokines, splicing, autophagy markers) sensitive to HTT reduction.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Detailed experimental protocol (ASO transfection, cell culture, dosing regimen)</w:t>
      </w:r>
    </w:p>
    <w:p>
      <w:pPr>
        <w:pStyle w:val="ListParagraph"/>
        <w:numPr>
          <w:ilvl w:val="0"/>
          <w:numId w:val="2"/>
        </w:numPr>
        <w:spacing w:after="100" w:line="360"/>
      </w:pPr>
      <w:r>
        <w:rPr>
          <w:rFonts w:ascii="Arial" w:cs="Arial" w:eastAsia="Arial" w:hAnsi="Arial"/>
          <w:sz w:val="24"/>
          <w:szCs w:val="24"/>
        </w:rPr>
        <w:t xml:space="preserve">Allele-specific qPCR primer/probe design with validation</w:t>
      </w:r>
    </w:p>
    <w:p>
      <w:pPr>
        <w:pStyle w:val="ListParagraph"/>
        <w:numPr>
          <w:ilvl w:val="0"/>
          <w:numId w:val="2"/>
        </w:numPr>
        <w:spacing w:after="100" w:line="360"/>
      </w:pPr>
      <w:r>
        <w:rPr>
          <w:rFonts w:ascii="Arial" w:cs="Arial" w:eastAsia="Arial" w:hAnsi="Arial"/>
          <w:sz w:val="24"/>
          <w:szCs w:val="24"/>
        </w:rPr>
        <w:t xml:space="preserve">Expected knockdown values by allele (mutant &gt;60%, wild-type &lt;10%)</w:t>
      </w:r>
    </w:p>
    <w:p>
      <w:pPr>
        <w:pStyle w:val="ListParagraph"/>
        <w:numPr>
          <w:ilvl w:val="0"/>
          <w:numId w:val="2"/>
        </w:numPr>
        <w:spacing w:after="100" w:line="360"/>
      </w:pPr>
      <w:r>
        <w:rPr>
          <w:rFonts w:ascii="Arial" w:cs="Arial" w:eastAsia="Arial" w:hAnsi="Arial"/>
          <w:sz w:val="24"/>
          <w:szCs w:val="24"/>
        </w:rPr>
        <w:t xml:space="preserve">RNA-seq prediction of off-target effects (top 10 genes)</w:t>
      </w:r>
    </w:p>
    <w:p>
      <w:pPr>
        <w:pStyle w:val="ListParagraph"/>
        <w:numPr>
          <w:ilvl w:val="0"/>
          <w:numId w:val="2"/>
        </w:numPr>
        <w:spacing w:after="100" w:line="360"/>
      </w:pPr>
      <w:r>
        <w:rPr>
          <w:rFonts w:ascii="Arial" w:cs="Arial" w:eastAsia="Arial" w:hAnsi="Arial"/>
          <w:sz w:val="24"/>
          <w:szCs w:val="24"/>
        </w:rPr>
        <w:t xml:space="preserve">Immunofluorescence imaging strategy and quantification approach</w:t>
      </w:r>
    </w:p>
    <w:p>
      <w:pPr>
        <w:pStyle w:val="ListParagraph"/>
        <w:numPr>
          <w:ilvl w:val="0"/>
          <w:numId w:val="2"/>
        </w:numPr>
        <w:spacing w:after="100" w:line="360"/>
      </w:pPr>
      <w:r>
        <w:rPr>
          <w:rFonts w:ascii="Arial" w:cs="Arial" w:eastAsia="Arial" w:hAnsi="Arial"/>
          <w:sz w:val="24"/>
          <w:szCs w:val="24"/>
        </w:rPr>
        <w:t xml:space="preserve">Biomarker readout plan and statistical power analysis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Experimental protocol document + primer design sheet + imaging protocol + statistical analysis plan</w:t>
      </w:r>
    </w:p>
    <w:p>
      <w:pPr>
        <w:pStyle w:val="Heading2"/>
        <w:spacing w:after="200" w:before="200" w:line="360"/>
      </w:pPr>
      <w:r>
        <w:rPr>
          <w:rFonts w:ascii="Arial" w:cs="Arial" w:eastAsia="Arial" w:hAnsi="Arial"/>
          <w:b/>
          <w:bCs/>
          <w:sz w:val="28"/>
          <w:szCs w:val="28"/>
        </w:rPr>
        <w:t xml:space="preserve">Stage 5: Striatal Neuronal Phenotype &amp; Rescue Assays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ASO-mediated rescue of striatal neuron excitability and HTT aggregation phenotypes in patient-derived cells.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HD patient iPSC-derived striatal neurons (with known HTT genotype)</w:t>
      </w:r>
    </w:p>
    <w:p>
      <w:pPr>
        <w:pStyle w:val="ListParagraph"/>
        <w:numPr>
          <w:ilvl w:val="0"/>
          <w:numId w:val="2"/>
        </w:numPr>
        <w:spacing w:after="100" w:line="360"/>
      </w:pPr>
      <w:r>
        <w:rPr>
          <w:rFonts w:ascii="Arial" w:cs="Arial" w:eastAsia="Arial" w:hAnsi="Arial"/>
          <w:sz w:val="24"/>
          <w:szCs w:val="24"/>
        </w:rPr>
        <w:t xml:space="preserve">Mature striatal neuron characterization (electrophysiology baseline, morphology)</w:t>
      </w:r>
    </w:p>
    <w:p>
      <w:pPr>
        <w:pStyle w:val="ListParagraph"/>
        <w:numPr>
          <w:ilvl w:val="0"/>
          <w:numId w:val="2"/>
        </w:numPr>
        <w:spacing w:after="100" w:line="360"/>
      </w:pPr>
      <w:r>
        <w:rPr>
          <w:rFonts w:ascii="Arial" w:cs="Arial" w:eastAsia="Arial" w:hAnsi="Arial"/>
          <w:sz w:val="24"/>
          <w:szCs w:val="24"/>
        </w:rPr>
        <w:t xml:space="preserve">HTT aggregation assay readouts (immunofluorescence, FRAP, filter trap)</w:t>
      </w:r>
    </w:p>
    <w:p>
      <w:pPr>
        <w:pStyle w:val="ListParagraph"/>
        <w:numPr>
          <w:ilvl w:val="0"/>
          <w:numId w:val="2"/>
        </w:numPr>
        <w:spacing w:after="100" w:line="360"/>
      </w:pPr>
      <w:r>
        <w:rPr>
          <w:rFonts w:ascii="Arial" w:cs="Arial" w:eastAsia="Arial" w:hAnsi="Arial"/>
          <w:sz w:val="24"/>
          <w:szCs w:val="24"/>
        </w:rPr>
        <w:t xml:space="preserve">Neuronal hyperexcitability markers (calcium imaging, patch-clamp recordings)</w:t>
      </w:r>
    </w:p>
    <w:p>
      <w:pPr>
        <w:pStyle w:val="ListParagraph"/>
        <w:numPr>
          <w:ilvl w:val="0"/>
          <w:numId w:val="2"/>
        </w:numPr>
        <w:spacing w:after="100" w:line="360"/>
      </w:pPr>
      <w:r>
        <w:rPr>
          <w:rFonts w:ascii="Arial" w:cs="Arial" w:eastAsia="Arial" w:hAnsi="Arial"/>
          <w:sz w:val="24"/>
          <w:szCs w:val="24"/>
        </w:rPr>
        <w:t xml:space="preserve">Apoptosis/autophagy biomarkers (caspase activity, LC3-II, p62)</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Patch-clamp electrophysiology rig (whole-cell recording, action potential analysis)</w:t>
      </w:r>
    </w:p>
    <w:p>
      <w:pPr>
        <w:pStyle w:val="ListParagraph"/>
        <w:numPr>
          <w:ilvl w:val="0"/>
          <w:numId w:val="2"/>
        </w:numPr>
        <w:spacing w:after="100" w:line="360"/>
      </w:pPr>
      <w:r>
        <w:rPr>
          <w:rFonts w:ascii="Arial" w:cs="Arial" w:eastAsia="Arial" w:hAnsi="Arial"/>
          <w:sz w:val="24"/>
          <w:szCs w:val="24"/>
        </w:rPr>
        <w:t xml:space="preserve">Fluo-4 calcium imaging + ImageJ/Fiji (neuronal excitability phenotyping)</w:t>
      </w:r>
    </w:p>
    <w:p>
      <w:pPr>
        <w:pStyle w:val="ListParagraph"/>
        <w:numPr>
          <w:ilvl w:val="0"/>
          <w:numId w:val="2"/>
        </w:numPr>
        <w:spacing w:after="100" w:line="360"/>
      </w:pPr>
      <w:r>
        <w:rPr>
          <w:rFonts w:ascii="Arial" w:cs="Arial" w:eastAsia="Arial" w:hAnsi="Arial"/>
          <w:sz w:val="24"/>
          <w:szCs w:val="24"/>
        </w:rPr>
        <w:t xml:space="preserve">EVOS/high-content screening microscope (aggregation quantification, morphometry)</w:t>
      </w:r>
    </w:p>
    <w:p>
      <w:pPr>
        <w:pStyle w:val="ListParagraph"/>
        <w:numPr>
          <w:ilvl w:val="0"/>
          <w:numId w:val="2"/>
        </w:numPr>
        <w:spacing w:after="100" w:line="360"/>
      </w:pPr>
      <w:r>
        <w:rPr>
          <w:rFonts w:ascii="Arial" w:cs="Arial" w:eastAsia="Arial" w:hAnsi="Arial"/>
          <w:sz w:val="24"/>
          <w:szCs w:val="24"/>
        </w:rPr>
        <w:t xml:space="preserve">Flow cytometry (caspase activity, FACS-based apoptosis assay)</w:t>
      </w:r>
    </w:p>
    <w:p>
      <w:pPr>
        <w:pStyle w:val="ListParagraph"/>
        <w:numPr>
          <w:ilvl w:val="0"/>
          <w:numId w:val="2"/>
        </w:numPr>
        <w:spacing w:after="100" w:line="360"/>
      </w:pPr>
      <w:r>
        <w:rPr>
          <w:rFonts w:ascii="Arial" w:cs="Arial" w:eastAsia="Arial" w:hAnsi="Arial"/>
          <w:sz w:val="24"/>
          <w:szCs w:val="24"/>
        </w:rPr>
        <w:t xml:space="preserve">Automated spine analysis tool (morphology 3D reconstruction)</w:t>
      </w:r>
    </w:p>
    <w:p>
      <w:pPr>
        <w:pStyle w:val="ListParagraph"/>
        <w:numPr>
          <w:ilvl w:val="0"/>
          <w:numId w:val="2"/>
        </w:numPr>
        <w:spacing w:after="100" w:line="360"/>
      </w:pPr>
      <w:r>
        <w:rPr>
          <w:rFonts w:ascii="Arial" w:cs="Arial" w:eastAsia="Arial" w:hAnsi="Arial"/>
          <w:sz w:val="24"/>
          <w:szCs w:val="24"/>
        </w:rPr>
        <w:t xml:space="preserve">Custom MATLAB scripts (spike frequency, phase-plane trajectory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resting membrane potential, input resistance, and repetitive firing rate in untreated vs. ASO-treated neurons.</w:t>
      </w:r>
    </w:p>
    <w:p>
      <w:pPr>
        <w:pStyle w:val="ListParagraph"/>
        <w:numPr>
          <w:ilvl w:val="0"/>
          <w:numId w:val="2"/>
        </w:numPr>
        <w:spacing w:after="100" w:line="360"/>
      </w:pPr>
      <w:r>
        <w:rPr>
          <w:rFonts w:ascii="Arial" w:cs="Arial" w:eastAsia="Arial" w:hAnsi="Arial"/>
          <w:sz w:val="24"/>
          <w:szCs w:val="24"/>
        </w:rPr>
        <w:t xml:space="preserve">Quantify HTT-positive aggregates by immunofluorescence; assess effect of allele-selective ASO on aggregate burden.</w:t>
      </w:r>
    </w:p>
    <w:p>
      <w:pPr>
        <w:pStyle w:val="ListParagraph"/>
        <w:numPr>
          <w:ilvl w:val="0"/>
          <w:numId w:val="2"/>
        </w:numPr>
        <w:spacing w:after="100" w:line="360"/>
      </w:pPr>
      <w:r>
        <w:rPr>
          <w:rFonts w:ascii="Arial" w:cs="Arial" w:eastAsia="Arial" w:hAnsi="Arial"/>
          <w:sz w:val="24"/>
          <w:szCs w:val="24"/>
        </w:rPr>
        <w:t xml:space="preserve">Perform calcium imaging (Fluo-4) to assess evoked excitability; predict rescue of hyperexcitability phenotype.</w:t>
      </w:r>
    </w:p>
    <w:p>
      <w:pPr>
        <w:pStyle w:val="ListParagraph"/>
        <w:numPr>
          <w:ilvl w:val="0"/>
          <w:numId w:val="2"/>
        </w:numPr>
        <w:spacing w:after="100" w:line="360"/>
      </w:pPr>
      <w:r>
        <w:rPr>
          <w:rFonts w:ascii="Arial" w:cs="Arial" w:eastAsia="Arial" w:hAnsi="Arial"/>
          <w:sz w:val="24"/>
          <w:szCs w:val="24"/>
        </w:rPr>
        <w:t xml:space="preserve">Measure caspase-3/7 activity and LC3-II levels to assess apoptosis and autophagy flux with ASO treatment.</w:t>
      </w:r>
    </w:p>
    <w:p>
      <w:pPr>
        <w:pStyle w:val="ListParagraph"/>
        <w:numPr>
          <w:ilvl w:val="0"/>
          <w:numId w:val="2"/>
        </w:numPr>
        <w:spacing w:after="100" w:line="360"/>
      </w:pPr>
      <w:r>
        <w:rPr>
          <w:rFonts w:ascii="Arial" w:cs="Arial" w:eastAsia="Arial" w:hAnsi="Arial"/>
          <w:sz w:val="24"/>
          <w:szCs w:val="24"/>
        </w:rPr>
        <w:t xml:space="preserve">Compare neurite outgrowth and spine density in HTT-mutant vs. HTT-corrected striatal neurons.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Electrophysiology data (V-m, action potential waveforms, firing frequency histograms)</w:t>
      </w:r>
    </w:p>
    <w:p>
      <w:pPr>
        <w:pStyle w:val="ListParagraph"/>
        <w:numPr>
          <w:ilvl w:val="0"/>
          <w:numId w:val="2"/>
        </w:numPr>
        <w:spacing w:after="100" w:line="360"/>
      </w:pPr>
      <w:r>
        <w:rPr>
          <w:rFonts w:ascii="Arial" w:cs="Arial" w:eastAsia="Arial" w:hAnsi="Arial"/>
          <w:sz w:val="24"/>
          <w:szCs w:val="24"/>
        </w:rPr>
        <w:t xml:space="preserve">HTT aggregation quantification (% cells with visible aggregates, aggregate area distribution)</w:t>
      </w:r>
    </w:p>
    <w:p>
      <w:pPr>
        <w:pStyle w:val="ListParagraph"/>
        <w:numPr>
          <w:ilvl w:val="0"/>
          <w:numId w:val="2"/>
        </w:numPr>
        <w:spacing w:after="100" w:line="360"/>
      </w:pPr>
      <w:r>
        <w:rPr>
          <w:rFonts w:ascii="Arial" w:cs="Arial" w:eastAsia="Arial" w:hAnsi="Arial"/>
          <w:sz w:val="24"/>
          <w:szCs w:val="24"/>
        </w:rPr>
        <w:t xml:space="preserve">Calcium imaging time-series and frequency analysis (spontaneous and evoked firing)</w:t>
      </w:r>
    </w:p>
    <w:p>
      <w:pPr>
        <w:pStyle w:val="ListParagraph"/>
        <w:numPr>
          <w:ilvl w:val="0"/>
          <w:numId w:val="2"/>
        </w:numPr>
        <w:spacing w:after="100" w:line="360"/>
      </w:pPr>
      <w:r>
        <w:rPr>
          <w:rFonts w:ascii="Arial" w:cs="Arial" w:eastAsia="Arial" w:hAnsi="Arial"/>
          <w:sz w:val="24"/>
          <w:szCs w:val="24"/>
        </w:rPr>
        <w:t xml:space="preserve">Caspase activity and autophagy flux measurements (fold-change from control)</w:t>
      </w:r>
    </w:p>
    <w:p>
      <w:pPr>
        <w:pStyle w:val="ListParagraph"/>
        <w:numPr>
          <w:ilvl w:val="0"/>
          <w:numId w:val="2"/>
        </w:numPr>
        <w:spacing w:after="100" w:line="360"/>
      </w:pPr>
      <w:r>
        <w:rPr>
          <w:rFonts w:ascii="Arial" w:cs="Arial" w:eastAsia="Arial" w:hAnsi="Arial"/>
          <w:sz w:val="24"/>
          <w:szCs w:val="24"/>
        </w:rPr>
        <w:t xml:space="preserve">Morphological phenotyping (neurite length, branch points, spine density)</w:t>
      </w:r>
    </w:p>
    <w:p>
      <w:pPr>
        <w:pStyle w:val="ListParagraph"/>
        <w:numPr>
          <w:ilvl w:val="0"/>
          <w:numId w:val="2"/>
        </w:numPr>
        <w:spacing w:after="100" w:line="360"/>
      </w:pPr>
      <w:r>
        <w:rPr>
          <w:rFonts w:ascii="Arial" w:cs="Arial" w:eastAsia="Arial" w:hAnsi="Arial"/>
          <w:sz w:val="24"/>
          <w:szCs w:val="24"/>
        </w:rPr>
        <w:t xml:space="preserve">Summary: % rescue of each phenotype (electrophysiology, aggregation, survival)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Electrophysiology waveform plots + immunofluorescence image montage + calcium traces + quantitative summary table</w:t>
      </w:r>
    </w:p>
    <w:p>
      <w:pPr>
        <w:pStyle w:val="Heading2"/>
        <w:spacing w:after="200" w:before="200" w:line="360"/>
      </w:pPr>
      <w:r>
        <w:rPr>
          <w:rFonts w:ascii="Arial" w:cs="Arial" w:eastAsia="Arial" w:hAnsi="Arial"/>
          <w:b/>
          <w:bCs/>
          <w:sz w:val="28"/>
          <w:szCs w:val="28"/>
        </w:rPr>
        <w:t xml:space="preserve">Stage 6: In Vivo Efficacy &amp; Biodistribution Planning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in vivo studies to validate allele-selective knockdown, CNS biodistribution, and behavioral rescue in HD mouse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 validated allele-selective ASOs from ex vivo studies</w:t>
      </w:r>
    </w:p>
    <w:p>
      <w:pPr>
        <w:pStyle w:val="ListParagraph"/>
        <w:numPr>
          <w:ilvl w:val="0"/>
          <w:numId w:val="2"/>
        </w:numPr>
        <w:spacing w:after="100" w:line="360"/>
      </w:pPr>
      <w:r>
        <w:rPr>
          <w:rFonts w:ascii="Arial" w:cs="Arial" w:eastAsia="Arial" w:hAnsi="Arial"/>
          <w:sz w:val="24"/>
          <w:szCs w:val="24"/>
        </w:rPr>
        <w:t xml:space="preserve">HD transgenic mouse model selection (R6/2, HdhQ150, Q175 or similar CAG-repeat model)</w:t>
      </w:r>
    </w:p>
    <w:p>
      <w:pPr>
        <w:pStyle w:val="ListParagraph"/>
        <w:numPr>
          <w:ilvl w:val="0"/>
          <w:numId w:val="2"/>
        </w:numPr>
        <w:spacing w:after="100" w:line="360"/>
      </w:pPr>
      <w:r>
        <w:rPr>
          <w:rFonts w:ascii="Arial" w:cs="Arial" w:eastAsia="Arial" w:hAnsi="Arial"/>
          <w:sz w:val="24"/>
          <w:szCs w:val="24"/>
        </w:rPr>
        <w:t xml:space="preserve">Delivery route selection (ICV, intrathecal, antisense oligonucleotide conjugate, AAV vector)</w:t>
      </w:r>
    </w:p>
    <w:p>
      <w:pPr>
        <w:pStyle w:val="ListParagraph"/>
        <w:numPr>
          <w:ilvl w:val="0"/>
          <w:numId w:val="2"/>
        </w:numPr>
        <w:spacing w:after="100" w:line="360"/>
      </w:pPr>
      <w:r>
        <w:rPr>
          <w:rFonts w:ascii="Arial" w:cs="Arial" w:eastAsia="Arial" w:hAnsi="Arial"/>
          <w:sz w:val="24"/>
          <w:szCs w:val="24"/>
        </w:rPr>
        <w:t xml:space="preserve">Dosing regimen (single vs. repeated; 0.1–10 µmol/kg based on model)</w:t>
      </w:r>
    </w:p>
    <w:p>
      <w:pPr>
        <w:pStyle w:val="ListParagraph"/>
        <w:numPr>
          <w:ilvl w:val="0"/>
          <w:numId w:val="2"/>
        </w:numPr>
        <w:spacing w:after="100" w:line="360"/>
      </w:pPr>
      <w:r>
        <w:rPr>
          <w:rFonts w:ascii="Arial" w:cs="Arial" w:eastAsia="Arial" w:hAnsi="Arial"/>
          <w:sz w:val="24"/>
          <w:szCs w:val="24"/>
        </w:rPr>
        <w:t xml:space="preserve">Efficacy endpoints (HTT mRNA levels, HTT protein levels, motor behavior, survival)</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ARRIVE guidelines &amp; in vivo study design tool (power analysis, group size estimation)</w:t>
      </w:r>
    </w:p>
    <w:p>
      <w:pPr>
        <w:pStyle w:val="ListParagraph"/>
        <w:numPr>
          <w:ilvl w:val="0"/>
          <w:numId w:val="2"/>
        </w:numPr>
        <w:spacing w:after="100" w:line="360"/>
      </w:pPr>
      <w:r>
        <w:rPr>
          <w:rFonts w:ascii="Arial" w:cs="Arial" w:eastAsia="Arial" w:hAnsi="Arial"/>
          <w:sz w:val="24"/>
          <w:szCs w:val="24"/>
        </w:rPr>
        <w:t xml:space="preserve">Precise imaging and tracking (PET, SPECT for striatal quantification if radiolabeled ASO)</w:t>
      </w:r>
    </w:p>
    <w:p>
      <w:pPr>
        <w:pStyle w:val="ListParagraph"/>
        <w:numPr>
          <w:ilvl w:val="0"/>
          <w:numId w:val="2"/>
        </w:numPr>
        <w:spacing w:after="100" w:line="360"/>
      </w:pPr>
      <w:r>
        <w:rPr>
          <w:rFonts w:ascii="Arial" w:cs="Arial" w:eastAsia="Arial" w:hAnsi="Arial"/>
          <w:sz w:val="24"/>
          <w:szCs w:val="24"/>
        </w:rPr>
        <w:t xml:space="preserve">qPCR and digital droplet PCR (allele-specific HTT knockdown in tissue)</w:t>
      </w:r>
    </w:p>
    <w:p>
      <w:pPr>
        <w:pStyle w:val="ListParagraph"/>
        <w:numPr>
          <w:ilvl w:val="0"/>
          <w:numId w:val="2"/>
        </w:numPr>
        <w:spacing w:after="100" w:line="360"/>
      </w:pPr>
      <w:r>
        <w:rPr>
          <w:rFonts w:ascii="Arial" w:cs="Arial" w:eastAsia="Arial" w:hAnsi="Arial"/>
          <w:sz w:val="24"/>
          <w:szCs w:val="24"/>
        </w:rPr>
        <w:t xml:space="preserve">Immunohistochemistry quantification (striatal HTT, aggregate burden, neuroinflammation)</w:t>
      </w:r>
    </w:p>
    <w:p>
      <w:pPr>
        <w:pStyle w:val="ListParagraph"/>
        <w:numPr>
          <w:ilvl w:val="0"/>
          <w:numId w:val="2"/>
        </w:numPr>
        <w:spacing w:after="100" w:line="360"/>
      </w:pPr>
      <w:r>
        <w:rPr>
          <w:rFonts w:ascii="Arial" w:cs="Arial" w:eastAsia="Arial" w:hAnsi="Arial"/>
          <w:sz w:val="24"/>
          <w:szCs w:val="24"/>
        </w:rPr>
        <w:t xml:space="preserve">Behavioral analysis suite (rotarod, open field, clasping score, video tracking)</w:t>
      </w:r>
    </w:p>
    <w:p>
      <w:pPr>
        <w:pStyle w:val="ListParagraph"/>
        <w:numPr>
          <w:ilvl w:val="0"/>
          <w:numId w:val="2"/>
        </w:numPr>
        <w:spacing w:after="100" w:line="360"/>
      </w:pPr>
      <w:r>
        <w:rPr>
          <w:rFonts w:ascii="Arial" w:cs="Arial" w:eastAsia="Arial" w:hAnsi="Arial"/>
          <w:sz w:val="24"/>
          <w:szCs w:val="24"/>
        </w:rPr>
        <w:t xml:space="preserve">Pharmacokinetic compartmental modeling (NONMEM, WinNonlin)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a power analysis for in vivo HTT knockdown; assume 40% inter-animal variability in striatal uptake.</w:t>
      </w:r>
    </w:p>
    <w:p>
      <w:pPr>
        <w:pStyle w:val="ListParagraph"/>
        <w:numPr>
          <w:ilvl w:val="0"/>
          <w:numId w:val="2"/>
        </w:numPr>
        <w:spacing w:after="100" w:line="360"/>
      </w:pPr>
      <w:r>
        <w:rPr>
          <w:rFonts w:ascii="Arial" w:cs="Arial" w:eastAsia="Arial" w:hAnsi="Arial"/>
          <w:sz w:val="24"/>
          <w:szCs w:val="24"/>
        </w:rPr>
        <w:t xml:space="preserve">Plan biodistribution study with tissue sampling at 24 h, 7 d, 14 d post-injection to establish CNS half-life.</w:t>
      </w:r>
    </w:p>
    <w:p>
      <w:pPr>
        <w:pStyle w:val="ListParagraph"/>
        <w:numPr>
          <w:ilvl w:val="0"/>
          <w:numId w:val="2"/>
        </w:numPr>
        <w:spacing w:after="100" w:line="360"/>
      </w:pPr>
      <w:r>
        <w:rPr>
          <w:rFonts w:ascii="Arial" w:cs="Arial" w:eastAsia="Arial" w:hAnsi="Arial"/>
          <w:sz w:val="24"/>
          <w:szCs w:val="24"/>
        </w:rPr>
        <w:t xml:space="preserve">Propose dosing escalation study (0.5, 2, 5 µmol/kg ICV) to identify therapeutic window and MTD.</w:t>
      </w:r>
    </w:p>
    <w:p>
      <w:pPr>
        <w:pStyle w:val="ListParagraph"/>
        <w:numPr>
          <w:ilvl w:val="0"/>
          <w:numId w:val="2"/>
        </w:numPr>
        <w:spacing w:after="100" w:line="360"/>
      </w:pPr>
      <w:r>
        <w:rPr>
          <w:rFonts w:ascii="Arial" w:cs="Arial" w:eastAsia="Arial" w:hAnsi="Arial"/>
          <w:sz w:val="24"/>
          <w:szCs w:val="24"/>
        </w:rPr>
        <w:t xml:space="preserve">Develop behavioral battery to assess striatal dysfunction: rotarod (motor coordination), open field (hypokinesia), clasping.</w:t>
      </w:r>
    </w:p>
    <w:p>
      <w:pPr>
        <w:pStyle w:val="ListParagraph"/>
        <w:numPr>
          <w:ilvl w:val="0"/>
          <w:numId w:val="2"/>
        </w:numPr>
        <w:spacing w:after="100" w:line="360"/>
      </w:pPr>
      <w:r>
        <w:rPr>
          <w:rFonts w:ascii="Arial" w:cs="Arial" w:eastAsia="Arial" w:hAnsi="Arial"/>
          <w:sz w:val="24"/>
          <w:szCs w:val="24"/>
        </w:rPr>
        <w:t xml:space="preserve">Design post-mortem analysis: striatal HTT levels (qPCR + Western), histopathology (aggregation burden, neuroinflammation markers).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 vivo study protocol (animal model, dosing, route, sampling schedule)</w:t>
      </w:r>
    </w:p>
    <w:p>
      <w:pPr>
        <w:pStyle w:val="ListParagraph"/>
        <w:numPr>
          <w:ilvl w:val="0"/>
          <w:numId w:val="2"/>
        </w:numPr>
        <w:spacing w:after="100" w:line="360"/>
      </w:pPr>
      <w:r>
        <w:rPr>
          <w:rFonts w:ascii="Arial" w:cs="Arial" w:eastAsia="Arial" w:hAnsi="Arial"/>
          <w:sz w:val="24"/>
          <w:szCs w:val="24"/>
        </w:rPr>
        <w:t xml:space="preserve">Biodistribution prediction and tissue sampling timepoints</w:t>
      </w:r>
    </w:p>
    <w:p>
      <w:pPr>
        <w:pStyle w:val="ListParagraph"/>
        <w:numPr>
          <w:ilvl w:val="0"/>
          <w:numId w:val="2"/>
        </w:numPr>
        <w:spacing w:after="100" w:line="360"/>
      </w:pPr>
      <w:r>
        <w:rPr>
          <w:rFonts w:ascii="Arial" w:cs="Arial" w:eastAsia="Arial" w:hAnsi="Arial"/>
          <w:sz w:val="24"/>
          <w:szCs w:val="24"/>
        </w:rPr>
        <w:t xml:space="preserve">Expected knockdown magnitude (striatum &gt;50% mutant HTT reduction, liver &lt;20%)</w:t>
      </w:r>
    </w:p>
    <w:p>
      <w:pPr>
        <w:pStyle w:val="ListParagraph"/>
        <w:numPr>
          <w:ilvl w:val="0"/>
          <w:numId w:val="2"/>
        </w:numPr>
        <w:spacing w:after="100" w:line="360"/>
      </w:pPr>
      <w:r>
        <w:rPr>
          <w:rFonts w:ascii="Arial" w:cs="Arial" w:eastAsia="Arial" w:hAnsi="Arial"/>
          <w:sz w:val="24"/>
          <w:szCs w:val="24"/>
        </w:rPr>
        <w:t xml:space="preserve">Behavioral assessment readouts (rotarod performance, open-field trajectory, clasping frequency)</w:t>
      </w:r>
    </w:p>
    <w:p>
      <w:pPr>
        <w:pStyle w:val="ListParagraph"/>
        <w:numPr>
          <w:ilvl w:val="0"/>
          <w:numId w:val="2"/>
        </w:numPr>
        <w:spacing w:after="100" w:line="360"/>
      </w:pPr>
      <w:r>
        <w:rPr>
          <w:rFonts w:ascii="Arial" w:cs="Arial" w:eastAsia="Arial" w:hAnsi="Arial"/>
          <w:sz w:val="24"/>
          <w:szCs w:val="24"/>
        </w:rPr>
        <w:t xml:space="preserve">Post-mortem analysis plan (tissue sampling, qPCR panels, histology staining)</w:t>
      </w:r>
    </w:p>
    <w:p>
      <w:pPr>
        <w:pStyle w:val="ListParagraph"/>
        <w:numPr>
          <w:ilvl w:val="0"/>
          <w:numId w:val="2"/>
        </w:numPr>
        <w:spacing w:after="100" w:line="360"/>
      </w:pPr>
      <w:r>
        <w:rPr>
          <w:rFonts w:ascii="Arial" w:cs="Arial" w:eastAsia="Arial" w:hAnsi="Arial"/>
          <w:sz w:val="24"/>
          <w:szCs w:val="24"/>
        </w:rPr>
        <w:t xml:space="preserve">Regulatory pathway recommendation (IND-enabling toxicology and safety pharmacology study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Study protocol document + dose-response curve predictions + behavioral endpoint specifications + regulatory compliance checklist</w:t>
      </w:r>
    </w:p>
    <w:p>
      <w:pPr>
        <w:pStyle w:val="Heading2"/>
        <w:spacing w:after="200" w:before="200" w:line="36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reference, conservation tracks, regulatory elements)</w:t>
      </w:r>
    </w:p>
    <w:p>
      <w:pPr>
        <w:pStyle w:val="ListParagraph"/>
        <w:numPr>
          <w:ilvl w:val="0"/>
          <w:numId w:val="2"/>
        </w:numPr>
        <w:spacing w:after="100" w:line="360"/>
      </w:pPr>
      <w:r>
        <w:rPr>
          <w:rFonts w:ascii="Arial" w:cs="Arial" w:eastAsia="Arial" w:hAnsi="Arial"/>
          <w:sz w:val="24"/>
          <w:szCs w:val="24"/>
        </w:rPr>
        <w:t xml:space="preserve">gnomAD variant database (population allele frequencies, loss-of-function constraints)</w:t>
      </w:r>
    </w:p>
    <w:p>
      <w:pPr>
        <w:pStyle w:val="ListParagraph"/>
        <w:numPr>
          <w:ilvl w:val="0"/>
          <w:numId w:val="2"/>
        </w:numPr>
        <w:spacing w:after="100" w:line="360"/>
      </w:pPr>
      <w:r>
        <w:rPr>
          <w:rFonts w:ascii="Arial" w:cs="Arial" w:eastAsia="Arial" w:hAnsi="Arial"/>
          <w:sz w:val="24"/>
          <w:szCs w:val="24"/>
        </w:rPr>
        <w:t xml:space="preserve">ENCODE/Roadmap Epigenomics (histone modifications, DNA methylation, chromatin accessibility)</w:t>
      </w:r>
    </w:p>
    <w:p>
      <w:pPr>
        <w:pStyle w:val="ListParagraph"/>
        <w:numPr>
          <w:ilvl w:val="0"/>
          <w:numId w:val="2"/>
        </w:numPr>
        <w:spacing w:after="100" w:line="360"/>
      </w:pPr>
      <w:r>
        <w:rPr>
          <w:rFonts w:ascii="Arial" w:cs="Arial" w:eastAsia="Arial" w:hAnsi="Arial"/>
          <w:sz w:val="24"/>
          <w:szCs w:val="24"/>
        </w:rPr>
        <w:t xml:space="preserve">STRING/BioGRID (protein-protein interaction networks, pathway analysis)</w:t>
      </w:r>
    </w:p>
    <w:p>
      <w:pPr>
        <w:pStyle w:val="ListParagraph"/>
        <w:numPr>
          <w:ilvl w:val="0"/>
          <w:numId w:val="2"/>
        </w:numPr>
        <w:spacing w:after="100" w:line="360"/>
      </w:pPr>
      <w:r>
        <w:rPr>
          <w:rFonts w:ascii="Arial" w:cs="Arial" w:eastAsia="Arial" w:hAnsi="Arial"/>
          <w:sz w:val="24"/>
          <w:szCs w:val="24"/>
        </w:rPr>
        <w:t xml:space="preserve">Geneious Pro (sequence analysis, alignment, ASO design)</w:t>
      </w:r>
    </w:p>
    <w:p>
      <w:pPr>
        <w:pStyle w:val="ListParagraph"/>
        <w:numPr>
          <w:ilvl w:val="0"/>
          <w:numId w:val="2"/>
        </w:numPr>
        <w:spacing w:after="100" w:line="360"/>
      </w:pPr>
      <w:r>
        <w:rPr>
          <w:rFonts w:ascii="Arial" w:cs="Arial" w:eastAsia="Arial" w:hAnsi="Arial"/>
          <w:sz w:val="24"/>
          <w:szCs w:val="24"/>
        </w:rPr>
        <w:t xml:space="preserve">ViennaRNA (RNA secondary structure prediction, accessibility modeling)</w:t>
      </w:r>
    </w:p>
    <w:p>
      <w:pPr>
        <w:pStyle w:val="ListParagraph"/>
        <w:numPr>
          <w:ilvl w:val="0"/>
          <w:numId w:val="2"/>
        </w:numPr>
        <w:spacing w:after="100" w:line="360"/>
      </w:pPr>
      <w:r>
        <w:rPr>
          <w:rFonts w:ascii="Arial" w:cs="Arial" w:eastAsia="Arial" w:hAnsi="Arial"/>
          <w:sz w:val="24"/>
          <w:szCs w:val="24"/>
        </w:rPr>
        <w:t xml:space="preserve">BLAST (sequence homology, off-target screening, species conservation)</w:t>
      </w:r>
    </w:p>
    <w:p>
      <w:pPr>
        <w:pStyle w:val="ListParagraph"/>
        <w:numPr>
          <w:ilvl w:val="0"/>
          <w:numId w:val="2"/>
        </w:numPr>
        <w:spacing w:after="100" w:line="360"/>
      </w:pPr>
      <w:r>
        <w:rPr>
          <w:rFonts w:ascii="Arial" w:cs="Arial" w:eastAsia="Arial" w:hAnsi="Arial"/>
          <w:sz w:val="24"/>
          <w:szCs w:val="24"/>
        </w:rPr>
        <w:t xml:space="preserve">MaxEnt splice site predictor (splicing outcome prediction, branch point analysis)</w:t>
      </w:r>
    </w:p>
    <w:p>
      <w:pPr>
        <w:pStyle w:val="ListParagraph"/>
        <w:numPr>
          <w:ilvl w:val="0"/>
          <w:numId w:val="2"/>
        </w:numPr>
        <w:spacing w:after="100" w:line="360"/>
      </w:pPr>
      <w:r>
        <w:rPr>
          <w:rFonts w:ascii="Arial" w:cs="Arial" w:eastAsia="Arial" w:hAnsi="Arial"/>
          <w:sz w:val="24"/>
          <w:szCs w:val="24"/>
        </w:rPr>
        <w:t xml:space="preserve">Patch-clamp electrophysiology rig (whole-cell recording, network electrode arrays)</w:t>
      </w:r>
    </w:p>
    <w:p>
      <w:pPr>
        <w:pStyle w:val="ListParagraph"/>
        <w:numPr>
          <w:ilvl w:val="0"/>
          <w:numId w:val="2"/>
        </w:numPr>
        <w:spacing w:after="100" w:line="360"/>
      </w:pPr>
      <w:r>
        <w:rPr>
          <w:rFonts w:ascii="Arial" w:cs="Arial" w:eastAsia="Arial" w:hAnsi="Arial"/>
          <w:sz w:val="24"/>
          <w:szCs w:val="24"/>
        </w:rPr>
        <w:t xml:space="preserve">High-content imaging systems (automated quantification, phenotype analysis)</w:t>
      </w:r>
    </w:p>
    <w:p>
      <w:pPr>
        <w:pStyle w:val="ListParagraph"/>
        <w:numPr>
          <w:ilvl w:val="0"/>
          <w:numId w:val="2"/>
        </w:numPr>
        <w:spacing w:after="100" w:line="360"/>
      </w:pPr>
      <w:r>
        <w:rPr>
          <w:rFonts w:ascii="Arial" w:cs="Arial" w:eastAsia="Arial" w:hAnsi="Arial"/>
          <w:sz w:val="24"/>
          <w:szCs w:val="24"/>
        </w:rPr>
        <w:t xml:space="preserve">RNA-seq and long-read Nanopore sequencing (transcript profiling, isoform identification)</w:t>
      </w:r>
    </w:p>
    <w:p>
      <w:pPr>
        <w:pStyle w:val="ListParagraph"/>
        <w:numPr>
          <w:ilvl w:val="0"/>
          <w:numId w:val="2"/>
        </w:numPr>
        <w:spacing w:after="100" w:line="360"/>
      </w:pPr>
      <w:r>
        <w:rPr>
          <w:rFonts w:ascii="Arial" w:cs="Arial" w:eastAsia="Arial" w:hAnsi="Arial"/>
          <w:sz w:val="24"/>
          <w:szCs w:val="24"/>
        </w:rPr>
        <w:t xml:space="preserve">Mass spectrometry (protein identification, post-translational modification analysis)</w:t>
      </w:r>
    </w:p>
    <w:p>
      <w:pPr>
        <w:pStyle w:val="ListParagraph"/>
        <w:numPr>
          <w:ilvl w:val="0"/>
          <w:numId w:val="2"/>
        </w:numPr>
        <w:spacing w:after="100" w:line="360"/>
      </w:pPr>
      <w:r>
        <w:rPr>
          <w:rFonts w:ascii="Arial" w:cs="Arial" w:eastAsia="Arial" w:hAnsi="Arial"/>
          <w:sz w:val="24"/>
          <w:szCs w:val="24"/>
        </w:rPr>
        <w:t xml:space="preserve">Multiplex cytokine assays (Luminex, Bioplex; immune activation quantification)</w:t>
      </w:r>
    </w:p>
    <w:p>
      <w:pPr>
        <w:pStyle w:val="ListParagraph"/>
        <w:numPr>
          <w:ilvl w:val="0"/>
          <w:numId w:val="2"/>
        </w:numPr>
        <w:spacing w:after="100" w:line="360"/>
      </w:pPr>
      <w:r>
        <w:rPr>
          <w:rFonts w:ascii="Arial" w:cs="Arial" w:eastAsia="Arial" w:hAnsi="Arial"/>
          <w:sz w:val="24"/>
          <w:szCs w:val="24"/>
        </w:rPr>
        <w:t xml:space="preserve">Multi-electrode array (MEA) recording (network activity, burst analysis)</w:t>
      </w:r>
    </w:p>
    <w:p>
      <w:pPr>
        <w:pStyle w:val="ListParagraph"/>
        <w:numPr>
          <w:ilvl w:val="0"/>
          <w:numId w:val="2"/>
        </w:numPr>
        <w:spacing w:after="100" w:line="360"/>
      </w:pPr>
      <w:r>
        <w:rPr>
          <w:rFonts w:ascii="Arial" w:cs="Arial" w:eastAsia="Arial" w:hAnsi="Arial"/>
          <w:sz w:val="24"/>
          <w:szCs w:val="24"/>
        </w:rPr>
        <w:t xml:space="preserve">In vivo imaging (PET, SPECT, MRI; biodistribution and efficacy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2026-03-04T19:57:16.437Z</dcterms:created>
  <dcterms:modified xsi:type="dcterms:W3CDTF">2026-03-04T19:57:16.438Z</dcterms:modified>
</cp:coreProperties>
</file>

<file path=docProps/custom.xml><?xml version="1.0" encoding="utf-8"?>
<Properties xmlns="http://schemas.openxmlformats.org/officeDocument/2006/custom-properties" xmlns:vt="http://schemas.openxmlformats.org/officeDocument/2006/docPropsVTypes"/>
</file>