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rPr>
          <w:rFonts w:ascii="Arial" w:cs="Arial" w:eastAsia="Arial" w:hAnsi="Arial"/>
          <w:b/>
          <w:bCs/>
          <w:sz w:val="32"/>
          <w:szCs w:val="32"/>
        </w:rPr>
        <w:t xml:space="preserve">Sapphire Pipeline Workflow: MAPT Tau ASO Preserving Microtubule Stability</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ASOs targeting MAPT (tau) that reduce pathogenic isoform expression but preserve total tau needed for microtubule stability.</w:t>
      </w:r>
    </w:p>
    <w:p>
      <w:pPr>
        <w:spacing w:after="200" w:line="360"/>
      </w:pPr>
      <w:r>
        <w:rPr>
          <w:rFonts w:ascii="Arial" w:cs="Arial" w:eastAsia="Arial" w:hAnsi="Arial"/>
          <w:sz w:val="24"/>
          <w:szCs w:val="24"/>
        </w:rPr>
        <w:t xml:space="preserve">This comprehensive Sapphire Pipeline outlines a systematic, stage-gated approach to mapt tau aso preserving microtubule stability. The workflow integrates cutting-edge genomic analysis, rational ASO design, chemical optimization, and rigorous functional validation.</w:t>
      </w:r>
    </w:p>
    <w:p>
      <w:pPr>
        <w:spacing w:after="200" w:line="360"/>
      </w:pPr>
      <w:r>
        <w:rPr>
          <w:rFonts w:ascii="Arial" w:cs="Arial" w:eastAsia="Arial" w:hAnsi="Arial"/>
          <w:sz w:val="24"/>
          <w:szCs w:val="24"/>
        </w:rPr>
        <w:t xml:space="preserve">Each stage builds upon previous results, incorporating feedback loops and iterative refinement. This structured approach maximizes the probability of identifying effective, safe, and translatable therapeutic candidates.</w:t>
      </w:r>
    </w:p>
    <w:p>
      <w:pPr>
        <w:pStyle w:val="Heading2"/>
        <w:spacing w:after="200" w:before="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consists of 6 interdependent stages designed to guide ASO discovery and validation from initial target selection through clinical readiness. Each stage delivers specific outputs that directly feed into downstream analyses, ensuring data continuity and risk mitigation.</w:t>
      </w:r>
    </w:p>
    <w:p>
      <w:pPr>
        <w:spacing w:after="200" w:line="360"/>
      </w:pPr>
      <w:r>
        <w:rPr>
          <w:rFonts w:ascii="Arial" w:cs="Arial" w:eastAsia="Arial" w:hAnsi="Arial"/>
          <w:sz w:val="24"/>
          <w:szCs w:val="24"/>
        </w:rPr>
        <w:t xml:space="preserve">The integrated approach combines genomic data mining, functional prediction, chemical optimization, and experimental validation. Success at each stage is defined by clear metrics, with go/no-go criteria to prioritize the most promising candidates forward.</w:t>
      </w:r>
    </w:p>
    <w:p>
      <w:pPr>
        <w:pStyle w:val="Heading2"/>
        <w:spacing w:after="200" w:before="200" w:line="360"/>
      </w:pPr>
      <w:r>
        <w:rPr>
          <w:rFonts w:ascii="Arial" w:cs="Arial" w:eastAsia="Arial" w:hAnsi="Arial"/>
          <w:b/>
          <w:bCs/>
          <w:sz w:val="28"/>
          <w:szCs w:val="28"/>
        </w:rPr>
        <w:t xml:space="preserve">Stage 1: MAPT Isoform &amp; Splicing Architecture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MAPT transcript isoforms, map exon 10 alternative splicing, and identify splicing regulators for isoform-selective targeting.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MAPT genomic sequence (chr17:44,907,152-44,938,230, GRCh38) and exon structure</w:t>
      </w:r>
    </w:p>
    <w:p>
      <w:pPr>
        <w:pStyle w:val="ListParagraph"/>
        <w:numPr>
          <w:ilvl w:val="0"/>
          <w:numId w:val="2"/>
        </w:numPr>
        <w:spacing w:after="100" w:line="360"/>
      </w:pPr>
      <w:r>
        <w:rPr>
          <w:rFonts w:ascii="Arial" w:cs="Arial" w:eastAsia="Arial" w:hAnsi="Arial"/>
          <w:sz w:val="24"/>
          <w:szCs w:val="24"/>
        </w:rPr>
        <w:t xml:space="preserve">MAPT isoform expression data (brain region-specific, developmental stages, disease states)</w:t>
      </w:r>
    </w:p>
    <w:p>
      <w:pPr>
        <w:pStyle w:val="ListParagraph"/>
        <w:numPr>
          <w:ilvl w:val="0"/>
          <w:numId w:val="2"/>
        </w:numPr>
        <w:spacing w:after="100" w:line="360"/>
      </w:pPr>
      <w:r>
        <w:rPr>
          <w:rFonts w:ascii="Arial" w:cs="Arial" w:eastAsia="Arial" w:hAnsi="Arial"/>
          <w:sz w:val="24"/>
          <w:szCs w:val="24"/>
        </w:rPr>
        <w:t xml:space="preserve">Exon 10 splicing regulatory elements (exonic/intronic splicing enhancers and silencers)</w:t>
      </w:r>
    </w:p>
    <w:p>
      <w:pPr>
        <w:pStyle w:val="ListParagraph"/>
        <w:numPr>
          <w:ilvl w:val="0"/>
          <w:numId w:val="2"/>
        </w:numPr>
        <w:spacing w:after="100" w:line="360"/>
      </w:pPr>
      <w:r>
        <w:rPr>
          <w:rFonts w:ascii="Arial" w:cs="Arial" w:eastAsia="Arial" w:hAnsi="Arial"/>
          <w:sz w:val="24"/>
          <w:szCs w:val="24"/>
        </w:rPr>
        <w:t xml:space="preserve">Splicing factor binding sites (SRSF, hnRNP, other RBP motifs) in MAPT pre-mRNA</w:t>
      </w:r>
    </w:p>
    <w:p>
      <w:pPr>
        <w:pStyle w:val="ListParagraph"/>
        <w:numPr>
          <w:ilvl w:val="0"/>
          <w:numId w:val="2"/>
        </w:numPr>
        <w:spacing w:after="100" w:line="360"/>
      </w:pPr>
      <w:r>
        <w:rPr>
          <w:rFonts w:ascii="Arial" w:cs="Arial" w:eastAsia="Arial" w:hAnsi="Arial"/>
          <w:sz w:val="24"/>
          <w:szCs w:val="24"/>
        </w:rPr>
        <w:t xml:space="preserve">Human tau isoform nomenclature (0N3R, 1N3R, 2N3R, 0N4R, 1N4R, 2N4R)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UCSC/Ensembl MAPT transcript browser (all 6 isoforms, exon coordinates)</w:t>
      </w:r>
    </w:p>
    <w:p>
      <w:pPr>
        <w:pStyle w:val="ListParagraph"/>
        <w:numPr>
          <w:ilvl w:val="0"/>
          <w:numId w:val="2"/>
        </w:numPr>
        <w:spacing w:after="100" w:line="360"/>
      </w:pPr>
      <w:r>
        <w:rPr>
          <w:rFonts w:ascii="Arial" w:cs="Arial" w:eastAsia="Arial" w:hAnsi="Arial"/>
          <w:sz w:val="24"/>
          <w:szCs w:val="24"/>
        </w:rPr>
        <w:t xml:space="preserve">SpliceAI (exon 10 splicing prediction, effect of sequence variants)</w:t>
      </w:r>
    </w:p>
    <w:p>
      <w:pPr>
        <w:pStyle w:val="ListParagraph"/>
        <w:numPr>
          <w:ilvl w:val="0"/>
          <w:numId w:val="2"/>
        </w:numPr>
        <w:spacing w:after="100" w:line="360"/>
      </w:pPr>
      <w:r>
        <w:rPr>
          <w:rFonts w:ascii="Arial" w:cs="Arial" w:eastAsia="Arial" w:hAnsi="Arial"/>
          <w:sz w:val="24"/>
          <w:szCs w:val="24"/>
        </w:rPr>
        <w:t xml:space="preserve">RBPmap (RNA-binding protein site prediction in MAPT pre-mRNA)</w:t>
      </w:r>
    </w:p>
    <w:p>
      <w:pPr>
        <w:pStyle w:val="ListParagraph"/>
        <w:numPr>
          <w:ilvl w:val="0"/>
          <w:numId w:val="2"/>
        </w:numPr>
        <w:spacing w:after="100" w:line="360"/>
      </w:pPr>
      <w:r>
        <w:rPr>
          <w:rFonts w:ascii="Arial" w:cs="Arial" w:eastAsia="Arial" w:hAnsi="Arial"/>
          <w:sz w:val="24"/>
          <w:szCs w:val="24"/>
        </w:rPr>
        <w:t xml:space="preserve">dbEST/SRA (tissue-specific MAPT isoform expression patterns)</w:t>
      </w:r>
    </w:p>
    <w:p>
      <w:pPr>
        <w:pStyle w:val="ListParagraph"/>
        <w:numPr>
          <w:ilvl w:val="0"/>
          <w:numId w:val="2"/>
        </w:numPr>
        <w:spacing w:after="100" w:line="360"/>
      </w:pPr>
      <w:r>
        <w:rPr>
          <w:rFonts w:ascii="Arial" w:cs="Arial" w:eastAsia="Arial" w:hAnsi="Arial"/>
          <w:sz w:val="24"/>
          <w:szCs w:val="24"/>
        </w:rPr>
        <w:t xml:space="preserve">SELEX/ENCODE (splicing factor motifs, hnRNP A1/A2 binding models)</w:t>
      </w:r>
    </w:p>
    <w:p>
      <w:pPr>
        <w:pStyle w:val="ListParagraph"/>
        <w:numPr>
          <w:ilvl w:val="0"/>
          <w:numId w:val="2"/>
        </w:numPr>
        <w:spacing w:after="100" w:line="360"/>
      </w:pPr>
      <w:r>
        <w:rPr>
          <w:rFonts w:ascii="Arial" w:cs="Arial" w:eastAsia="Arial" w:hAnsi="Arial"/>
          <w:sz w:val="24"/>
          <w:szCs w:val="24"/>
        </w:rPr>
        <w:t xml:space="preserve">ViennaRNA (secondary structure of MAPT exon 10 and flanking introns)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Map the prevalence of each MAPT isoform (3R vs. 4R) across healthy brain and tauopathy tissues.</w:t>
      </w:r>
    </w:p>
    <w:p>
      <w:pPr>
        <w:pStyle w:val="ListParagraph"/>
        <w:numPr>
          <w:ilvl w:val="0"/>
          <w:numId w:val="2"/>
        </w:numPr>
        <w:spacing w:after="100" w:line="360"/>
      </w:pPr>
      <w:r>
        <w:rPr>
          <w:rFonts w:ascii="Arial" w:cs="Arial" w:eastAsia="Arial" w:hAnsi="Arial"/>
          <w:sz w:val="24"/>
          <w:szCs w:val="24"/>
        </w:rPr>
        <w:t xml:space="preserve">Identify the exon 10 splicing enhancers and silencers; list binding sites for SRSF1, hnRNP A1, and PTB.</w:t>
      </w:r>
    </w:p>
    <w:p>
      <w:pPr>
        <w:pStyle w:val="ListParagraph"/>
        <w:numPr>
          <w:ilvl w:val="0"/>
          <w:numId w:val="2"/>
        </w:numPr>
        <w:spacing w:after="100" w:line="360"/>
      </w:pPr>
      <w:r>
        <w:rPr>
          <w:rFonts w:ascii="Arial" w:cs="Arial" w:eastAsia="Arial" w:hAnsi="Arial"/>
          <w:sz w:val="24"/>
          <w:szCs w:val="24"/>
        </w:rPr>
        <w:t xml:space="preserve">Which splicing factors are dysregulated in tau-pathology diseases (Alzheimer's, FTD, PSP)?</w:t>
      </w:r>
    </w:p>
    <w:p>
      <w:pPr>
        <w:pStyle w:val="ListParagraph"/>
        <w:numPr>
          <w:ilvl w:val="0"/>
          <w:numId w:val="2"/>
        </w:numPr>
        <w:spacing w:after="100" w:line="360"/>
      </w:pPr>
      <w:r>
        <w:rPr>
          <w:rFonts w:ascii="Arial" w:cs="Arial" w:eastAsia="Arial" w:hAnsi="Arial"/>
          <w:sz w:val="24"/>
          <w:szCs w:val="24"/>
        </w:rPr>
        <w:t xml:space="preserve">Predict the effect of 20–30 nt deletions in exon 10 flanking regions on splicing kinetics.</w:t>
      </w:r>
    </w:p>
    <w:p>
      <w:pPr>
        <w:pStyle w:val="ListParagraph"/>
        <w:numPr>
          <w:ilvl w:val="0"/>
          <w:numId w:val="2"/>
        </w:numPr>
        <w:spacing w:after="100" w:line="360"/>
      </w:pPr>
      <w:r>
        <w:rPr>
          <w:rFonts w:ascii="Arial" w:cs="Arial" w:eastAsia="Arial" w:hAnsi="Arial"/>
          <w:sz w:val="24"/>
          <w:szCs w:val="24"/>
        </w:rPr>
        <w:t xml:space="preserve">Compare MAPT isoform ratios across post-mortem brain tissue from controls vs. tauopathy patients.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MAPT isoform expression matrix (brain region, age, disease state)</w:t>
      </w:r>
    </w:p>
    <w:p>
      <w:pPr>
        <w:pStyle w:val="ListParagraph"/>
        <w:numPr>
          <w:ilvl w:val="0"/>
          <w:numId w:val="2"/>
        </w:numPr>
        <w:spacing w:after="100" w:line="360"/>
      </w:pPr>
      <w:r>
        <w:rPr>
          <w:rFonts w:ascii="Arial" w:cs="Arial" w:eastAsia="Arial" w:hAnsi="Arial"/>
          <w:sz w:val="24"/>
          <w:szCs w:val="24"/>
        </w:rPr>
        <w:t xml:space="preserve">Exon 10 splicing map with regulatory element annotations (ESE, ESS, ISE, ISS)</w:t>
      </w:r>
    </w:p>
    <w:p>
      <w:pPr>
        <w:pStyle w:val="ListParagraph"/>
        <w:numPr>
          <w:ilvl w:val="0"/>
          <w:numId w:val="2"/>
        </w:numPr>
        <w:spacing w:after="100" w:line="360"/>
      </w:pPr>
      <w:r>
        <w:rPr>
          <w:rFonts w:ascii="Arial" w:cs="Arial" w:eastAsia="Arial" w:hAnsi="Arial"/>
          <w:sz w:val="24"/>
          <w:szCs w:val="24"/>
        </w:rPr>
        <w:t xml:space="preserve">RNA-binding protein motif predictions (SRSF, hnRNP, RBFOX family)</w:t>
      </w:r>
    </w:p>
    <w:p>
      <w:pPr>
        <w:pStyle w:val="ListParagraph"/>
        <w:numPr>
          <w:ilvl w:val="0"/>
          <w:numId w:val="2"/>
        </w:numPr>
        <w:spacing w:after="100" w:line="360"/>
      </w:pPr>
      <w:r>
        <w:rPr>
          <w:rFonts w:ascii="Arial" w:cs="Arial" w:eastAsia="Arial" w:hAnsi="Arial"/>
          <w:sz w:val="24"/>
          <w:szCs w:val="24"/>
        </w:rPr>
        <w:t xml:space="preserve">Disease-specific isoform dysregulation summary (3R vs. 4R ratio in pathology)</w:t>
      </w:r>
    </w:p>
    <w:p>
      <w:pPr>
        <w:pStyle w:val="ListParagraph"/>
        <w:numPr>
          <w:ilvl w:val="0"/>
          <w:numId w:val="2"/>
        </w:numPr>
        <w:spacing w:after="100" w:line="360"/>
      </w:pPr>
      <w:r>
        <w:rPr>
          <w:rFonts w:ascii="Arial" w:cs="Arial" w:eastAsia="Arial" w:hAnsi="Arial"/>
          <w:sz w:val="24"/>
          <w:szCs w:val="24"/>
        </w:rPr>
        <w:t xml:space="preserve">Secondary structure prediction of exon 10 and branch point regions</w:t>
      </w:r>
    </w:p>
    <w:p>
      <w:pPr>
        <w:pStyle w:val="ListParagraph"/>
        <w:numPr>
          <w:ilvl w:val="0"/>
          <w:numId w:val="2"/>
        </w:numPr>
        <w:spacing w:after="100" w:line="360"/>
      </w:pPr>
      <w:r>
        <w:rPr>
          <w:rFonts w:ascii="Arial" w:cs="Arial" w:eastAsia="Arial" w:hAnsi="Arial"/>
          <w:sz w:val="24"/>
          <w:szCs w:val="24"/>
        </w:rPr>
        <w:t xml:space="preserve">Isoform-specific exon junctions and unique sequence features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Exon structure diagram + splicing map with RBP sites annotated + isoform expression heatmap + secondary structure models</w:t>
      </w:r>
    </w:p>
    <w:p>
      <w:pPr>
        <w:pStyle w:val="Heading2"/>
        <w:spacing w:after="200" w:before="200" w:line="360"/>
      </w:pPr>
      <w:r>
        <w:rPr>
          <w:rFonts w:ascii="Arial" w:cs="Arial" w:eastAsia="Arial" w:hAnsi="Arial"/>
          <w:b/>
          <w:bCs/>
          <w:sz w:val="28"/>
          <w:szCs w:val="28"/>
        </w:rPr>
        <w:t xml:space="preserve">Stage 2: Pathogenic Isoform Discrimination &amp; ASO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 sequences that selectively block splicing of pathogenic isoforms (e.g., 4R tau in PSP/CBD) while preserving 3R isoforms.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Target disease isoform profile (e.g., 4R accumulation in PSP, 3R in Pick's disease)</w:t>
      </w:r>
    </w:p>
    <w:p>
      <w:pPr>
        <w:pStyle w:val="ListParagraph"/>
        <w:numPr>
          <w:ilvl w:val="0"/>
          <w:numId w:val="2"/>
        </w:numPr>
        <w:spacing w:after="100" w:line="360"/>
      </w:pPr>
      <w:r>
        <w:rPr>
          <w:rFonts w:ascii="Arial" w:cs="Arial" w:eastAsia="Arial" w:hAnsi="Arial"/>
          <w:sz w:val="24"/>
          <w:szCs w:val="24"/>
        </w:rPr>
        <w:t xml:space="preserve">Exon 10 splice site sequences and branch point predictions</w:t>
      </w:r>
    </w:p>
    <w:p>
      <w:pPr>
        <w:pStyle w:val="ListParagraph"/>
        <w:numPr>
          <w:ilvl w:val="0"/>
          <w:numId w:val="2"/>
        </w:numPr>
        <w:spacing w:after="100" w:line="360"/>
      </w:pPr>
      <w:r>
        <w:rPr>
          <w:rFonts w:ascii="Arial" w:cs="Arial" w:eastAsia="Arial" w:hAnsi="Arial"/>
          <w:sz w:val="24"/>
          <w:szCs w:val="24"/>
        </w:rPr>
        <w:t xml:space="preserve">MAPT UTR and coding region conservation (human, mouse, non-human primate)</w:t>
      </w:r>
    </w:p>
    <w:p>
      <w:pPr>
        <w:pStyle w:val="ListParagraph"/>
        <w:numPr>
          <w:ilvl w:val="0"/>
          <w:numId w:val="2"/>
        </w:numPr>
        <w:spacing w:after="100" w:line="360"/>
      </w:pPr>
      <w:r>
        <w:rPr>
          <w:rFonts w:ascii="Arial" w:cs="Arial" w:eastAsia="Arial" w:hAnsi="Arial"/>
          <w:sz w:val="24"/>
          <w:szCs w:val="24"/>
        </w:rPr>
        <w:t xml:space="preserve">Splicing enhancer/silencer motifs specific to pathogenic vs. non-pathogenic isoforms</w:t>
      </w:r>
    </w:p>
    <w:p>
      <w:pPr>
        <w:pStyle w:val="ListParagraph"/>
        <w:numPr>
          <w:ilvl w:val="0"/>
          <w:numId w:val="2"/>
        </w:numPr>
        <w:spacing w:after="100" w:line="360"/>
      </w:pPr>
      <w:r>
        <w:rPr>
          <w:rFonts w:ascii="Arial" w:cs="Arial" w:eastAsia="Arial" w:hAnsi="Arial"/>
          <w:sz w:val="24"/>
          <w:szCs w:val="24"/>
        </w:rPr>
        <w:t xml:space="preserve">ASO design constraints (20–28 nt, specificity window)</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MaxEnt splicing score prediction tool (splice site strength before/after ASO blocking)</w:t>
      </w:r>
    </w:p>
    <w:p>
      <w:pPr>
        <w:pStyle w:val="ListParagraph"/>
        <w:numPr>
          <w:ilvl w:val="0"/>
          <w:numId w:val="2"/>
        </w:numPr>
        <w:spacing w:after="100" w:line="360"/>
      </w:pPr>
      <w:r>
        <w:rPr>
          <w:rFonts w:ascii="Arial" w:cs="Arial" w:eastAsia="Arial" w:hAnsi="Arial"/>
          <w:sz w:val="24"/>
          <w:szCs w:val="24"/>
        </w:rPr>
        <w:t xml:space="preserve">ASOD/ASPC (antisense oligonucleotide splicing design database)</w:t>
      </w:r>
    </w:p>
    <w:p>
      <w:pPr>
        <w:pStyle w:val="ListParagraph"/>
        <w:numPr>
          <w:ilvl w:val="0"/>
          <w:numId w:val="2"/>
        </w:numPr>
        <w:spacing w:after="100" w:line="360"/>
      </w:pPr>
      <w:r>
        <w:rPr>
          <w:rFonts w:ascii="Arial" w:cs="Arial" w:eastAsia="Arial" w:hAnsi="Arial"/>
          <w:sz w:val="24"/>
          <w:szCs w:val="24"/>
        </w:rPr>
        <w:t xml:space="preserve">Geneious (MAPT isoform sequence alignment, exon 10 region detail)</w:t>
      </w:r>
    </w:p>
    <w:p>
      <w:pPr>
        <w:pStyle w:val="ListParagraph"/>
        <w:numPr>
          <w:ilvl w:val="0"/>
          <w:numId w:val="2"/>
        </w:numPr>
        <w:spacing w:after="100" w:line="360"/>
      </w:pPr>
      <w:r>
        <w:rPr>
          <w:rFonts w:ascii="Arial" w:cs="Arial" w:eastAsia="Arial" w:hAnsi="Arial"/>
          <w:sz w:val="24"/>
          <w:szCs w:val="24"/>
        </w:rPr>
        <w:t xml:space="preserve">Custom splicing prediction algorithm (neural network model of 3R vs. 4R exon inclusion)</w:t>
      </w:r>
    </w:p>
    <w:p>
      <w:pPr>
        <w:pStyle w:val="ListParagraph"/>
        <w:numPr>
          <w:ilvl w:val="0"/>
          <w:numId w:val="2"/>
        </w:numPr>
        <w:spacing w:after="100" w:line="360"/>
      </w:pPr>
      <w:r>
        <w:rPr>
          <w:rFonts w:ascii="Arial" w:cs="Arial" w:eastAsia="Arial" w:hAnsi="Arial"/>
          <w:sz w:val="24"/>
          <w:szCs w:val="24"/>
        </w:rPr>
        <w:t xml:space="preserve">ViennaRNA (exon 10 accessibility, branch-point region structure)</w:t>
      </w:r>
    </w:p>
    <w:p>
      <w:pPr>
        <w:pStyle w:val="ListParagraph"/>
        <w:numPr>
          <w:ilvl w:val="0"/>
          <w:numId w:val="2"/>
        </w:numPr>
        <w:spacing w:after="100" w:line="360"/>
      </w:pPr>
      <w:r>
        <w:rPr>
          <w:rFonts w:ascii="Arial" w:cs="Arial" w:eastAsia="Arial" w:hAnsi="Arial"/>
          <w:sz w:val="24"/>
          <w:szCs w:val="24"/>
        </w:rPr>
        <w:t xml:space="preserve">BLAST (off-target screening across MAPT pseudogenes and paralogs)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ASOs that block exon 10 inclusion to reduce 4R tau; predict impact on 3R isoform splicing.</w:t>
      </w:r>
    </w:p>
    <w:p>
      <w:pPr>
        <w:pStyle w:val="ListParagraph"/>
        <w:numPr>
          <w:ilvl w:val="0"/>
          <w:numId w:val="2"/>
        </w:numPr>
        <w:spacing w:after="100" w:line="360"/>
      </w:pPr>
      <w:r>
        <w:rPr>
          <w:rFonts w:ascii="Arial" w:cs="Arial" w:eastAsia="Arial" w:hAnsi="Arial"/>
          <w:sz w:val="24"/>
          <w:szCs w:val="24"/>
        </w:rPr>
        <w:t xml:space="preserve">For ASO targeting exon 10 branch point: estimate ΔMaxEnt score; verify ≥3 nt difference from exon 9/11 branch points.</w:t>
      </w:r>
    </w:p>
    <w:p>
      <w:pPr>
        <w:pStyle w:val="ListParagraph"/>
        <w:numPr>
          <w:ilvl w:val="0"/>
          <w:numId w:val="2"/>
        </w:numPr>
        <w:spacing w:after="100" w:line="360"/>
      </w:pPr>
      <w:r>
        <w:rPr>
          <w:rFonts w:ascii="Arial" w:cs="Arial" w:eastAsia="Arial" w:hAnsi="Arial"/>
          <w:sz w:val="24"/>
          <w:szCs w:val="24"/>
        </w:rPr>
        <w:t xml:space="preserve">Rank 5 candidate ASO sequences by predicted specificity for 4R-suppressing vs. 3R-preserving outcome.</w:t>
      </w:r>
    </w:p>
    <w:p>
      <w:pPr>
        <w:pStyle w:val="ListParagraph"/>
        <w:numPr>
          <w:ilvl w:val="0"/>
          <w:numId w:val="2"/>
        </w:numPr>
        <w:spacing w:after="100" w:line="360"/>
      </w:pPr>
      <w:r>
        <w:rPr>
          <w:rFonts w:ascii="Arial" w:cs="Arial" w:eastAsia="Arial" w:hAnsi="Arial"/>
          <w:sz w:val="24"/>
          <w:szCs w:val="24"/>
        </w:rPr>
        <w:t xml:space="preserve">Model secondary structure of exon 10 ± ASO binding; assess RNA accessibility in isolated exon vs. full-length pre-mRNA.</w:t>
      </w:r>
    </w:p>
    <w:p>
      <w:pPr>
        <w:pStyle w:val="ListParagraph"/>
        <w:numPr>
          <w:ilvl w:val="0"/>
          <w:numId w:val="2"/>
        </w:numPr>
        <w:spacing w:after="100" w:line="360"/>
      </w:pPr>
      <w:r>
        <w:rPr>
          <w:rFonts w:ascii="Arial" w:cs="Arial" w:eastAsia="Arial" w:hAnsi="Arial"/>
          <w:sz w:val="24"/>
          <w:szCs w:val="24"/>
        </w:rPr>
        <w:t xml:space="preserve">Screen for off-target splicing effects on tau interacting proteins (DCTN1, MAP1B, MAP2 exon 10 analogs).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ASO candidates targeting exon 10 (5 sequences, prioritized by isoform selectivity)</w:t>
      </w:r>
    </w:p>
    <w:p>
      <w:pPr>
        <w:pStyle w:val="ListParagraph"/>
        <w:numPr>
          <w:ilvl w:val="0"/>
          <w:numId w:val="2"/>
        </w:numPr>
        <w:spacing w:after="100" w:line="360"/>
      </w:pPr>
      <w:r>
        <w:rPr>
          <w:rFonts w:ascii="Arial" w:cs="Arial" w:eastAsia="Arial" w:hAnsi="Arial"/>
          <w:sz w:val="24"/>
          <w:szCs w:val="24"/>
        </w:rPr>
        <w:t xml:space="preserve">MaxEnt splice site score predictions (wild-type vs. ASO-blocked)</w:t>
      </w:r>
    </w:p>
    <w:p>
      <w:pPr>
        <w:pStyle w:val="ListParagraph"/>
        <w:numPr>
          <w:ilvl w:val="0"/>
          <w:numId w:val="2"/>
        </w:numPr>
        <w:spacing w:after="100" w:line="360"/>
      </w:pPr>
      <w:r>
        <w:rPr>
          <w:rFonts w:ascii="Arial" w:cs="Arial" w:eastAsia="Arial" w:hAnsi="Arial"/>
          <w:sz w:val="24"/>
          <w:szCs w:val="24"/>
        </w:rPr>
        <w:t xml:space="preserve">Splicing outcome predictions (% exon 10 inclusion with/without ASO)</w:t>
      </w:r>
    </w:p>
    <w:p>
      <w:pPr>
        <w:pStyle w:val="ListParagraph"/>
        <w:numPr>
          <w:ilvl w:val="0"/>
          <w:numId w:val="2"/>
        </w:numPr>
        <w:spacing w:after="100" w:line="360"/>
      </w:pPr>
      <w:r>
        <w:rPr>
          <w:rFonts w:ascii="Arial" w:cs="Arial" w:eastAsia="Arial" w:hAnsi="Arial"/>
          <w:sz w:val="24"/>
          <w:szCs w:val="24"/>
        </w:rPr>
        <w:t xml:space="preserve">Off-target transcript analysis (related genes with exon 10 analogs)</w:t>
      </w:r>
    </w:p>
    <w:p>
      <w:pPr>
        <w:pStyle w:val="ListParagraph"/>
        <w:numPr>
          <w:ilvl w:val="0"/>
          <w:numId w:val="2"/>
        </w:numPr>
        <w:spacing w:after="100" w:line="360"/>
      </w:pPr>
      <w:r>
        <w:rPr>
          <w:rFonts w:ascii="Arial" w:cs="Arial" w:eastAsia="Arial" w:hAnsi="Arial"/>
          <w:sz w:val="24"/>
          <w:szCs w:val="24"/>
        </w:rPr>
        <w:t xml:space="preserve">Secondary structure models of target region and branch point</w:t>
      </w:r>
    </w:p>
    <w:p>
      <w:pPr>
        <w:pStyle w:val="ListParagraph"/>
        <w:numPr>
          <w:ilvl w:val="0"/>
          <w:numId w:val="2"/>
        </w:numPr>
        <w:spacing w:after="100" w:line="360"/>
      </w:pPr>
      <w:r>
        <w:rPr>
          <w:rFonts w:ascii="Arial" w:cs="Arial" w:eastAsia="Arial" w:hAnsi="Arial"/>
          <w:sz w:val="24"/>
          <w:szCs w:val="24"/>
        </w:rPr>
        <w:t xml:space="preserve">Selectivity ratio for isoform-specific outcomes (4R suppression / 3R preservation)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ASO sequence list with splicing prediction scores + MaxEnt comparison tables + secondary structure diagrams + isoform outcome predictions</w:t>
      </w:r>
    </w:p>
    <w:p>
      <w:pPr>
        <w:pStyle w:val="Heading2"/>
        <w:spacing w:after="200" w:before="200" w:line="360"/>
      </w:pPr>
      <w:r>
        <w:rPr>
          <w:rFonts w:ascii="Arial" w:cs="Arial" w:eastAsia="Arial" w:hAnsi="Arial"/>
          <w:b/>
          <w:bCs/>
          <w:sz w:val="28"/>
          <w:szCs w:val="28"/>
        </w:rPr>
        <w:t xml:space="preserve">Stage 3: Chemical Modification &amp; CNS Delivery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Optimize chemical modifications for BBB penetration, neuronal uptake, and preservation of tau-MAPT binding capacity.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Lead pathogenic isoform-selective ASOs (2–3 candidates)</w:t>
      </w:r>
    </w:p>
    <w:p>
      <w:pPr>
        <w:pStyle w:val="ListParagraph"/>
        <w:numPr>
          <w:ilvl w:val="0"/>
          <w:numId w:val="2"/>
        </w:numPr>
        <w:spacing w:after="100" w:line="360"/>
      </w:pPr>
      <w:r>
        <w:rPr>
          <w:rFonts w:ascii="Arial" w:cs="Arial" w:eastAsia="Arial" w:hAnsi="Arial"/>
          <w:sz w:val="24"/>
          <w:szCs w:val="24"/>
        </w:rPr>
        <w:t xml:space="preserve">Target knockdown level for 4R: 40–60%; preservation target for 3R: &lt;20% reduction</w:t>
      </w:r>
    </w:p>
    <w:p>
      <w:pPr>
        <w:pStyle w:val="ListParagraph"/>
        <w:numPr>
          <w:ilvl w:val="0"/>
          <w:numId w:val="2"/>
        </w:numPr>
        <w:spacing w:after="100" w:line="360"/>
      </w:pPr>
      <w:r>
        <w:rPr>
          <w:rFonts w:ascii="Arial" w:cs="Arial" w:eastAsia="Arial" w:hAnsi="Arial"/>
          <w:sz w:val="24"/>
          <w:szCs w:val="24"/>
        </w:rPr>
        <w:t xml:space="preserve">Neuronal uptake receptor profiles (SR-BI, LDL-R, heparan sulfate proteoglycans)</w:t>
      </w:r>
    </w:p>
    <w:p>
      <w:pPr>
        <w:pStyle w:val="ListParagraph"/>
        <w:numPr>
          <w:ilvl w:val="0"/>
          <w:numId w:val="2"/>
        </w:numPr>
        <w:spacing w:after="100" w:line="360"/>
      </w:pPr>
      <w:r>
        <w:rPr>
          <w:rFonts w:ascii="Arial" w:cs="Arial" w:eastAsia="Arial" w:hAnsi="Arial"/>
          <w:sz w:val="24"/>
          <w:szCs w:val="24"/>
        </w:rPr>
        <w:t xml:space="preserve">Stability requirement: minimize neuroinflammation (no excessive PS backbone in CNS)</w:t>
      </w:r>
    </w:p>
    <w:p>
      <w:pPr>
        <w:pStyle w:val="ListParagraph"/>
        <w:numPr>
          <w:ilvl w:val="0"/>
          <w:numId w:val="2"/>
        </w:numPr>
        <w:spacing w:after="100" w:line="360"/>
      </w:pPr>
      <w:r>
        <w:rPr>
          <w:rFonts w:ascii="Arial" w:cs="Arial" w:eastAsia="Arial" w:hAnsi="Arial"/>
          <w:sz w:val="24"/>
          <w:szCs w:val="24"/>
        </w:rPr>
        <w:t xml:space="preserve">Tau-microtubule binding kinetics (tau binding does not require splicing; total tau level critical)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Integrated Biotech ASODESIGN chemical modification engine</w:t>
      </w:r>
    </w:p>
    <w:p>
      <w:pPr>
        <w:pStyle w:val="ListParagraph"/>
        <w:numPr>
          <w:ilvl w:val="0"/>
          <w:numId w:val="2"/>
        </w:numPr>
        <w:spacing w:after="100" w:line="360"/>
      </w:pPr>
      <w:r>
        <w:rPr>
          <w:rFonts w:ascii="Arial" w:cs="Arial" w:eastAsia="Arial" w:hAnsi="Arial"/>
          <w:sz w:val="24"/>
          <w:szCs w:val="24"/>
        </w:rPr>
        <w:t xml:space="preserve">LogP &amp; charge predictor (BBB penetration for modified ASOs)</w:t>
      </w:r>
    </w:p>
    <w:p>
      <w:pPr>
        <w:pStyle w:val="ListParagraph"/>
        <w:numPr>
          <w:ilvl w:val="0"/>
          <w:numId w:val="2"/>
        </w:numPr>
        <w:spacing w:after="100" w:line="360"/>
      </w:pPr>
      <w:r>
        <w:rPr>
          <w:rFonts w:ascii="Arial" w:cs="Arial" w:eastAsia="Arial" w:hAnsi="Arial"/>
          <w:sz w:val="24"/>
          <w:szCs w:val="24"/>
        </w:rPr>
        <w:t xml:space="preserve">Receptor-ligand docking (SR-BI, LDL-R binding with ASO conjugates)</w:t>
      </w:r>
    </w:p>
    <w:p>
      <w:pPr>
        <w:pStyle w:val="ListParagraph"/>
        <w:numPr>
          <w:ilvl w:val="0"/>
          <w:numId w:val="2"/>
        </w:numPr>
        <w:spacing w:after="100" w:line="360"/>
      </w:pPr>
      <w:r>
        <w:rPr>
          <w:rFonts w:ascii="Arial" w:cs="Arial" w:eastAsia="Arial" w:hAnsi="Arial"/>
          <w:sz w:val="24"/>
          <w:szCs w:val="24"/>
        </w:rPr>
        <w:t xml:space="preserve">Inflammatory cytokine predictor (PS backbone vs. immune activation in CNS)</w:t>
      </w:r>
    </w:p>
    <w:p>
      <w:pPr>
        <w:pStyle w:val="ListParagraph"/>
        <w:numPr>
          <w:ilvl w:val="0"/>
          <w:numId w:val="2"/>
        </w:numPr>
        <w:spacing w:after="100" w:line="360"/>
      </w:pPr>
      <w:r>
        <w:rPr>
          <w:rFonts w:ascii="Arial" w:cs="Arial" w:eastAsia="Arial" w:hAnsi="Arial"/>
          <w:sz w:val="24"/>
          <w:szCs w:val="24"/>
        </w:rPr>
        <w:t xml:space="preserve">RNase H activity optimization (2'MOE, LNA, PS combination effects)</w:t>
      </w:r>
    </w:p>
    <w:p>
      <w:pPr>
        <w:pStyle w:val="ListParagraph"/>
        <w:numPr>
          <w:ilvl w:val="0"/>
          <w:numId w:val="2"/>
        </w:numPr>
        <w:spacing w:after="100" w:line="360"/>
      </w:pPr>
      <w:r>
        <w:rPr>
          <w:rFonts w:ascii="Arial" w:cs="Arial" w:eastAsia="Arial" w:hAnsi="Arial"/>
          <w:sz w:val="24"/>
          <w:szCs w:val="24"/>
        </w:rPr>
        <w:t xml:space="preserve">Biodegradation kinetics model (ASO stability in CSF)</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Propose a chemical modification scheme (2'MOE/PS/LNA) that maintains RNase H activity while reducing neuroinflammation.</w:t>
      </w:r>
    </w:p>
    <w:p>
      <w:pPr>
        <w:pStyle w:val="ListParagraph"/>
        <w:numPr>
          <w:ilvl w:val="0"/>
          <w:numId w:val="2"/>
        </w:numPr>
        <w:spacing w:after="100" w:line="360"/>
      </w:pPr>
      <w:r>
        <w:rPr>
          <w:rFonts w:ascii="Arial" w:cs="Arial" w:eastAsia="Arial" w:hAnsi="Arial"/>
          <w:sz w:val="24"/>
          <w:szCs w:val="24"/>
        </w:rPr>
        <w:t xml:space="preserve">Design a MAPT-targeting ASO with minimal PS content (e.g., PS at terminal 4–6 nucleotides only).</w:t>
      </w:r>
    </w:p>
    <w:p>
      <w:pPr>
        <w:pStyle w:val="ListParagraph"/>
        <w:numPr>
          <w:ilvl w:val="0"/>
          <w:numId w:val="2"/>
        </w:numPr>
        <w:spacing w:after="100" w:line="360"/>
      </w:pPr>
      <w:r>
        <w:rPr>
          <w:rFonts w:ascii="Arial" w:cs="Arial" w:eastAsia="Arial" w:hAnsi="Arial"/>
          <w:sz w:val="24"/>
          <w:szCs w:val="24"/>
        </w:rPr>
        <w:t xml:space="preserve">Predict BBB penetration efficiency for modified ASO with conjugated cell-penetrating peptide (CPP) vs. unconjugated.</w:t>
      </w:r>
    </w:p>
    <w:p>
      <w:pPr>
        <w:pStyle w:val="ListParagraph"/>
        <w:numPr>
          <w:ilvl w:val="0"/>
          <w:numId w:val="2"/>
        </w:numPr>
        <w:spacing w:after="100" w:line="360"/>
      </w:pPr>
      <w:r>
        <w:rPr>
          <w:rFonts w:ascii="Arial" w:cs="Arial" w:eastAsia="Arial" w:hAnsi="Arial"/>
          <w:sz w:val="24"/>
          <w:szCs w:val="24"/>
        </w:rPr>
        <w:t xml:space="preserve">Model tau-microtubule binding affinity (dissociation constant) to ensure ASO modifications do not sterically interfere.</w:t>
      </w:r>
    </w:p>
    <w:p>
      <w:pPr>
        <w:pStyle w:val="ListParagraph"/>
        <w:numPr>
          <w:ilvl w:val="0"/>
          <w:numId w:val="2"/>
        </w:numPr>
        <w:spacing w:after="100" w:line="360"/>
      </w:pPr>
      <w:r>
        <w:rPr>
          <w:rFonts w:ascii="Arial" w:cs="Arial" w:eastAsia="Arial" w:hAnsi="Arial"/>
          <w:sz w:val="24"/>
          <w:szCs w:val="24"/>
        </w:rPr>
        <w:t xml:space="preserve">Estimate CNS half-life and striatal/hippocampal retention for each modification scheme (target &gt;7 days).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Optimized ASO sequences with full chemical annotation (2'MOE, PS, LNA positions)</w:t>
      </w:r>
    </w:p>
    <w:p>
      <w:pPr>
        <w:pStyle w:val="ListParagraph"/>
        <w:numPr>
          <w:ilvl w:val="0"/>
          <w:numId w:val="2"/>
        </w:numPr>
        <w:spacing w:after="100" w:line="360"/>
      </w:pPr>
      <w:r>
        <w:rPr>
          <w:rFonts w:ascii="Arial" w:cs="Arial" w:eastAsia="Arial" w:hAnsi="Arial"/>
          <w:sz w:val="24"/>
          <w:szCs w:val="24"/>
        </w:rPr>
        <w:t xml:space="preserve">BBB penetration score and neuronal uptake efficiency prediction</w:t>
      </w:r>
    </w:p>
    <w:p>
      <w:pPr>
        <w:pStyle w:val="ListParagraph"/>
        <w:numPr>
          <w:ilvl w:val="0"/>
          <w:numId w:val="2"/>
        </w:numPr>
        <w:spacing w:after="100" w:line="360"/>
      </w:pPr>
      <w:r>
        <w:rPr>
          <w:rFonts w:ascii="Arial" w:cs="Arial" w:eastAsia="Arial" w:hAnsi="Arial"/>
          <w:sz w:val="24"/>
          <w:szCs w:val="24"/>
        </w:rPr>
        <w:t xml:space="preserve">RNase H cleavage efficiency (% cleavage per modification pattern)</w:t>
      </w:r>
    </w:p>
    <w:p>
      <w:pPr>
        <w:pStyle w:val="ListParagraph"/>
        <w:numPr>
          <w:ilvl w:val="0"/>
          <w:numId w:val="2"/>
        </w:numPr>
        <w:spacing w:after="100" w:line="360"/>
      </w:pPr>
      <w:r>
        <w:rPr>
          <w:rFonts w:ascii="Arial" w:cs="Arial" w:eastAsia="Arial" w:hAnsi="Arial"/>
          <w:sz w:val="24"/>
          <w:szCs w:val="24"/>
        </w:rPr>
        <w:t xml:space="preserve">Predicted immune activation signature (cytokine profiles)</w:t>
      </w:r>
    </w:p>
    <w:p>
      <w:pPr>
        <w:pStyle w:val="ListParagraph"/>
        <w:numPr>
          <w:ilvl w:val="0"/>
          <w:numId w:val="2"/>
        </w:numPr>
        <w:spacing w:after="100" w:line="360"/>
      </w:pPr>
      <w:r>
        <w:rPr>
          <w:rFonts w:ascii="Arial" w:cs="Arial" w:eastAsia="Arial" w:hAnsi="Arial"/>
          <w:sz w:val="24"/>
          <w:szCs w:val="24"/>
        </w:rPr>
        <w:t xml:space="preserve">CNS stability and CSF half-life estimates</w:t>
      </w:r>
    </w:p>
    <w:p>
      <w:pPr>
        <w:pStyle w:val="ListParagraph"/>
        <w:numPr>
          <w:ilvl w:val="0"/>
          <w:numId w:val="2"/>
        </w:numPr>
        <w:spacing w:after="100" w:line="360"/>
      </w:pPr>
      <w:r>
        <w:rPr>
          <w:rFonts w:ascii="Arial" w:cs="Arial" w:eastAsia="Arial" w:hAnsi="Arial"/>
          <w:sz w:val="24"/>
          <w:szCs w:val="24"/>
        </w:rPr>
        <w:t xml:space="preserve">Recommendation: top 2 modifications with risk-benefit summary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Modified sequence notation + pharmacokinetic predictions + immunogenicity risk profile + delivery efficiency report</w:t>
      </w:r>
    </w:p>
    <w:p>
      <w:pPr>
        <w:pStyle w:val="Heading2"/>
        <w:spacing w:after="200" w:before="200" w:line="360"/>
      </w:pPr>
      <w:r>
        <w:rPr>
          <w:rFonts w:ascii="Arial" w:cs="Arial" w:eastAsia="Arial" w:hAnsi="Arial"/>
          <w:b/>
          <w:bCs/>
          <w:sz w:val="28"/>
          <w:szCs w:val="28"/>
        </w:rPr>
        <w:t xml:space="preserve">Stage 4: Ex Vivo Isoform-Selective Knockdown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isoform-selective splicing modulation and functional preservation of total tau levels in patient neurons.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Tauopathy patient iPSC-derived neurons (documented MAPT genotype)</w:t>
      </w:r>
    </w:p>
    <w:p>
      <w:pPr>
        <w:pStyle w:val="ListParagraph"/>
        <w:numPr>
          <w:ilvl w:val="0"/>
          <w:numId w:val="2"/>
        </w:numPr>
        <w:spacing w:after="100" w:line="360"/>
      </w:pPr>
      <w:r>
        <w:rPr>
          <w:rFonts w:ascii="Arial" w:cs="Arial" w:eastAsia="Arial" w:hAnsi="Arial"/>
          <w:sz w:val="24"/>
          <w:szCs w:val="24"/>
        </w:rPr>
        <w:t xml:space="preserve">Control isoform reference panel (immortalized cell lines expressing 0N3R, 2N4R, etc.)</w:t>
      </w:r>
    </w:p>
    <w:p>
      <w:pPr>
        <w:pStyle w:val="ListParagraph"/>
        <w:numPr>
          <w:ilvl w:val="0"/>
          <w:numId w:val="2"/>
        </w:numPr>
        <w:spacing w:after="100" w:line="360"/>
      </w:pPr>
      <w:r>
        <w:rPr>
          <w:rFonts w:ascii="Arial" w:cs="Arial" w:eastAsia="Arial" w:hAnsi="Arial"/>
          <w:sz w:val="24"/>
          <w:szCs w:val="24"/>
        </w:rPr>
        <w:t xml:space="preserve">Splice variant detection methods (RT-PCR, digital droplet PCR, long-read RNA-seq)</w:t>
      </w:r>
    </w:p>
    <w:p>
      <w:pPr>
        <w:pStyle w:val="ListParagraph"/>
        <w:numPr>
          <w:ilvl w:val="0"/>
          <w:numId w:val="2"/>
        </w:numPr>
        <w:spacing w:after="100" w:line="360"/>
      </w:pPr>
      <w:r>
        <w:rPr>
          <w:rFonts w:ascii="Arial" w:cs="Arial" w:eastAsia="Arial" w:hAnsi="Arial"/>
          <w:sz w:val="24"/>
          <w:szCs w:val="24"/>
        </w:rPr>
        <w:t xml:space="preserve">Tau protein quantification (total tau ELISA, isoform-specific Western blot)</w:t>
      </w:r>
    </w:p>
    <w:p>
      <w:pPr>
        <w:pStyle w:val="ListParagraph"/>
        <w:numPr>
          <w:ilvl w:val="0"/>
          <w:numId w:val="2"/>
        </w:numPr>
        <w:spacing w:after="100" w:line="360"/>
      </w:pPr>
      <w:r>
        <w:rPr>
          <w:rFonts w:ascii="Arial" w:cs="Arial" w:eastAsia="Arial" w:hAnsi="Arial"/>
          <w:sz w:val="24"/>
          <w:szCs w:val="24"/>
        </w:rPr>
        <w:t xml:space="preserve">Functional assays: tau-microtubule binding, tau phosphorylation, aggregation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Nanopore long-read RNA-seq (full-length MAPT isoform identification and quantification)</w:t>
      </w:r>
    </w:p>
    <w:p>
      <w:pPr>
        <w:pStyle w:val="ListParagraph"/>
        <w:numPr>
          <w:ilvl w:val="0"/>
          <w:numId w:val="2"/>
        </w:numPr>
        <w:spacing w:after="100" w:line="360"/>
      </w:pPr>
      <w:r>
        <w:rPr>
          <w:rFonts w:ascii="Arial" w:cs="Arial" w:eastAsia="Arial" w:hAnsi="Arial"/>
          <w:sz w:val="24"/>
          <w:szCs w:val="24"/>
        </w:rPr>
        <w:t xml:space="preserve">Digital droplet PCR with isoform-specific probes (3R vs. 4R quantification, copy number)</w:t>
      </w:r>
    </w:p>
    <w:p>
      <w:pPr>
        <w:pStyle w:val="ListParagraph"/>
        <w:numPr>
          <w:ilvl w:val="0"/>
          <w:numId w:val="2"/>
        </w:numPr>
        <w:spacing w:after="100" w:line="360"/>
      </w:pPr>
      <w:r>
        <w:rPr>
          <w:rFonts w:ascii="Arial" w:cs="Arial" w:eastAsia="Arial" w:hAnsi="Arial"/>
          <w:sz w:val="24"/>
          <w:szCs w:val="24"/>
        </w:rPr>
        <w:t xml:space="preserve">Tau protein purification and characterization (SDS-PAGE, mass spectrometry for PTM analysis)</w:t>
      </w:r>
    </w:p>
    <w:p>
      <w:pPr>
        <w:pStyle w:val="ListParagraph"/>
        <w:numPr>
          <w:ilvl w:val="0"/>
          <w:numId w:val="2"/>
        </w:numPr>
        <w:spacing w:after="100" w:line="360"/>
      </w:pPr>
      <w:r>
        <w:rPr>
          <w:rFonts w:ascii="Arial" w:cs="Arial" w:eastAsia="Arial" w:hAnsi="Arial"/>
          <w:sz w:val="24"/>
          <w:szCs w:val="24"/>
        </w:rPr>
        <w:t xml:space="preserve">Microtubule co-sedimentation assay (tau binding and stabilization)</w:t>
      </w:r>
    </w:p>
    <w:p>
      <w:pPr>
        <w:pStyle w:val="ListParagraph"/>
        <w:numPr>
          <w:ilvl w:val="0"/>
          <w:numId w:val="2"/>
        </w:numPr>
        <w:spacing w:after="100" w:line="360"/>
      </w:pPr>
      <w:r>
        <w:rPr>
          <w:rFonts w:ascii="Arial" w:cs="Arial" w:eastAsia="Arial" w:hAnsi="Arial"/>
          <w:sz w:val="24"/>
          <w:szCs w:val="24"/>
        </w:rPr>
        <w:t xml:space="preserve">Phospho-tau immunoassays (site-specific phosphorylation: pS396, pT181, pS202)</w:t>
      </w:r>
    </w:p>
    <w:p>
      <w:pPr>
        <w:pStyle w:val="ListParagraph"/>
        <w:numPr>
          <w:ilvl w:val="0"/>
          <w:numId w:val="2"/>
        </w:numPr>
        <w:spacing w:after="100" w:line="360"/>
      </w:pPr>
      <w:r>
        <w:rPr>
          <w:rFonts w:ascii="Arial" w:cs="Arial" w:eastAsia="Arial" w:hAnsi="Arial"/>
          <w:sz w:val="24"/>
          <w:szCs w:val="24"/>
        </w:rPr>
        <w:t xml:space="preserve">Filter trap assay (tau oligomerization and aggregation kinetics)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RT-qPCR assays to quantify 3R and 4R isoforms separately with exon 10-specific probes.</w:t>
      </w:r>
    </w:p>
    <w:p>
      <w:pPr>
        <w:pStyle w:val="ListParagraph"/>
        <w:numPr>
          <w:ilvl w:val="0"/>
          <w:numId w:val="2"/>
        </w:numPr>
        <w:spacing w:after="100" w:line="360"/>
      </w:pPr>
      <w:r>
        <w:rPr>
          <w:rFonts w:ascii="Arial" w:cs="Arial" w:eastAsia="Arial" w:hAnsi="Arial"/>
          <w:sz w:val="24"/>
          <w:szCs w:val="24"/>
        </w:rPr>
        <w:t xml:space="preserve">Predict the effect of exon 10-targeting ASO on isoform ratio change (e.g., 4R reduction from 60% to 20%).</w:t>
      </w:r>
    </w:p>
    <w:p>
      <w:pPr>
        <w:pStyle w:val="ListParagraph"/>
        <w:numPr>
          <w:ilvl w:val="0"/>
          <w:numId w:val="2"/>
        </w:numPr>
        <w:spacing w:after="100" w:line="360"/>
      </w:pPr>
      <w:r>
        <w:rPr>
          <w:rFonts w:ascii="Arial" w:cs="Arial" w:eastAsia="Arial" w:hAnsi="Arial"/>
          <w:sz w:val="24"/>
          <w:szCs w:val="24"/>
        </w:rPr>
        <w:t xml:space="preserve">Conduct long-read sequencing to validate full-length MAPT isoforms produced with ASO treatment.</w:t>
      </w:r>
    </w:p>
    <w:p>
      <w:pPr>
        <w:pStyle w:val="ListParagraph"/>
        <w:numPr>
          <w:ilvl w:val="0"/>
          <w:numId w:val="2"/>
        </w:numPr>
        <w:spacing w:after="100" w:line="360"/>
      </w:pPr>
      <w:r>
        <w:rPr>
          <w:rFonts w:ascii="Arial" w:cs="Arial" w:eastAsia="Arial" w:hAnsi="Arial"/>
          <w:sz w:val="24"/>
          <w:szCs w:val="24"/>
        </w:rPr>
        <w:t xml:space="preserve">Measure total tau protein levels (ELISA) to ensure preservation of total tau needed for microtubule function.</w:t>
      </w:r>
    </w:p>
    <w:p>
      <w:pPr>
        <w:pStyle w:val="ListParagraph"/>
        <w:numPr>
          <w:ilvl w:val="0"/>
          <w:numId w:val="2"/>
        </w:numPr>
        <w:spacing w:after="100" w:line="360"/>
      </w:pPr>
      <w:r>
        <w:rPr>
          <w:rFonts w:ascii="Arial" w:cs="Arial" w:eastAsia="Arial" w:hAnsi="Arial"/>
          <w:sz w:val="24"/>
          <w:szCs w:val="24"/>
        </w:rPr>
        <w:t xml:space="preserve">Assess tau-microtubule binding kinetics (co-sedimentation assay) to confirm functional tau preservation.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Isoform-specific RT-qPCR data (3R and 4R copy numbers, fold-change with ASO)</w:t>
      </w:r>
    </w:p>
    <w:p>
      <w:pPr>
        <w:pStyle w:val="ListParagraph"/>
        <w:numPr>
          <w:ilvl w:val="0"/>
          <w:numId w:val="2"/>
        </w:numPr>
        <w:spacing w:after="100" w:line="360"/>
      </w:pPr>
      <w:r>
        <w:rPr>
          <w:rFonts w:ascii="Arial" w:cs="Arial" w:eastAsia="Arial" w:hAnsi="Arial"/>
          <w:sz w:val="24"/>
          <w:szCs w:val="24"/>
        </w:rPr>
        <w:t xml:space="preserve">Long-read RNA-seq results (isoform junction reads, full-length transcript confirmation)</w:t>
      </w:r>
    </w:p>
    <w:p>
      <w:pPr>
        <w:pStyle w:val="ListParagraph"/>
        <w:numPr>
          <w:ilvl w:val="0"/>
          <w:numId w:val="2"/>
        </w:numPr>
        <w:spacing w:after="100" w:line="360"/>
      </w:pPr>
      <w:r>
        <w:rPr>
          <w:rFonts w:ascii="Arial" w:cs="Arial" w:eastAsia="Arial" w:hAnsi="Arial"/>
          <w:sz w:val="24"/>
          <w:szCs w:val="24"/>
        </w:rPr>
        <w:t xml:space="preserve">Total tau protein quantification (ng/µg protein, Western blot densitometry)</w:t>
      </w:r>
    </w:p>
    <w:p>
      <w:pPr>
        <w:pStyle w:val="ListParagraph"/>
        <w:numPr>
          <w:ilvl w:val="0"/>
          <w:numId w:val="2"/>
        </w:numPr>
        <w:spacing w:after="100" w:line="360"/>
      </w:pPr>
      <w:r>
        <w:rPr>
          <w:rFonts w:ascii="Arial" w:cs="Arial" w:eastAsia="Arial" w:hAnsi="Arial"/>
          <w:sz w:val="24"/>
          <w:szCs w:val="24"/>
        </w:rPr>
        <w:t xml:space="preserve">Tau-microtubule binding data (co-sedimentation pelleting, binding kinetics)</w:t>
      </w:r>
    </w:p>
    <w:p>
      <w:pPr>
        <w:pStyle w:val="ListParagraph"/>
        <w:numPr>
          <w:ilvl w:val="0"/>
          <w:numId w:val="2"/>
        </w:numPr>
        <w:spacing w:after="100" w:line="360"/>
      </w:pPr>
      <w:r>
        <w:rPr>
          <w:rFonts w:ascii="Arial" w:cs="Arial" w:eastAsia="Arial" w:hAnsi="Arial"/>
          <w:sz w:val="24"/>
          <w:szCs w:val="24"/>
        </w:rPr>
        <w:t xml:space="preserve">Phosphorylation status (phospho-tau at key sites normalized to total tau)</w:t>
      </w:r>
    </w:p>
    <w:p>
      <w:pPr>
        <w:pStyle w:val="ListParagraph"/>
        <w:numPr>
          <w:ilvl w:val="0"/>
          <w:numId w:val="2"/>
        </w:numPr>
        <w:spacing w:after="100" w:line="360"/>
      </w:pPr>
      <w:r>
        <w:rPr>
          <w:rFonts w:ascii="Arial" w:cs="Arial" w:eastAsia="Arial" w:hAnsi="Arial"/>
          <w:sz w:val="24"/>
          <w:szCs w:val="24"/>
        </w:rPr>
        <w:t xml:space="preserve">Tau oligomerization quantification (filter trap, dimers + higher-order species)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RT-qPCR isoform ratio plots + long-read RNA-seq transcript diagram + tau protein quantification graphs + microtubule binding kinetics curves</w:t>
      </w:r>
    </w:p>
    <w:p>
      <w:pPr>
        <w:pStyle w:val="Heading2"/>
        <w:spacing w:after="200" w:before="200" w:line="360"/>
      </w:pPr>
      <w:r>
        <w:rPr>
          <w:rFonts w:ascii="Arial" w:cs="Arial" w:eastAsia="Arial" w:hAnsi="Arial"/>
          <w:b/>
          <w:bCs/>
          <w:sz w:val="28"/>
          <w:szCs w:val="28"/>
        </w:rPr>
        <w:t xml:space="preserve">Stage 5: Tau Aggregation &amp; Propagation Rescue Assays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ASO-mediated reduction in tau aggregation and prion-like propagation in tauopathy disease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Tauopathy patient brain homogenate or recombinant tau aggregates (seed material)</w:t>
      </w:r>
    </w:p>
    <w:p>
      <w:pPr>
        <w:pStyle w:val="ListParagraph"/>
        <w:numPr>
          <w:ilvl w:val="0"/>
          <w:numId w:val="2"/>
        </w:numPr>
        <w:spacing w:after="100" w:line="360"/>
      </w:pPr>
      <w:r>
        <w:rPr>
          <w:rFonts w:ascii="Arial" w:cs="Arial" w:eastAsia="Arial" w:hAnsi="Arial"/>
          <w:sz w:val="24"/>
          <w:szCs w:val="24"/>
        </w:rPr>
        <w:t xml:space="preserve">Tau aggregation-prone neuron model (overexpression or patient-derived)</w:t>
      </w:r>
    </w:p>
    <w:p>
      <w:pPr>
        <w:pStyle w:val="ListParagraph"/>
        <w:numPr>
          <w:ilvl w:val="0"/>
          <w:numId w:val="2"/>
        </w:numPr>
        <w:spacing w:after="100" w:line="360"/>
      </w:pPr>
      <w:r>
        <w:rPr>
          <w:rFonts w:ascii="Arial" w:cs="Arial" w:eastAsia="Arial" w:hAnsi="Arial"/>
          <w:sz w:val="24"/>
          <w:szCs w:val="24"/>
        </w:rPr>
        <w:t xml:space="preserve">Tau seeding and propagation readouts (immunofluorescence, electron microscopy, biochemical fractionation)</w:t>
      </w:r>
    </w:p>
    <w:p>
      <w:pPr>
        <w:pStyle w:val="ListParagraph"/>
        <w:numPr>
          <w:ilvl w:val="0"/>
          <w:numId w:val="2"/>
        </w:numPr>
        <w:spacing w:after="100" w:line="360"/>
      </w:pPr>
      <w:r>
        <w:rPr>
          <w:rFonts w:ascii="Arial" w:cs="Arial" w:eastAsia="Arial" w:hAnsi="Arial"/>
          <w:sz w:val="24"/>
          <w:szCs w:val="24"/>
        </w:rPr>
        <w:t xml:space="preserve">Phosphorylation state of tau in aggregates (conformational antibodies: pS396, pT181)</w:t>
      </w:r>
    </w:p>
    <w:p>
      <w:pPr>
        <w:pStyle w:val="ListParagraph"/>
        <w:numPr>
          <w:ilvl w:val="0"/>
          <w:numId w:val="2"/>
        </w:numPr>
        <w:spacing w:after="100" w:line="360"/>
      </w:pPr>
      <w:r>
        <w:rPr>
          <w:rFonts w:ascii="Arial" w:cs="Arial" w:eastAsia="Arial" w:hAnsi="Arial"/>
          <w:sz w:val="24"/>
          <w:szCs w:val="24"/>
        </w:rPr>
        <w:t xml:space="preserve">Neuroinflammatory markers linked to tau pathology (TNFα, IL-6, microglial activation)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High-content imaging system (automated quantification of tau aggregates)</w:t>
      </w:r>
    </w:p>
    <w:p>
      <w:pPr>
        <w:pStyle w:val="ListParagraph"/>
        <w:numPr>
          <w:ilvl w:val="0"/>
          <w:numId w:val="2"/>
        </w:numPr>
        <w:spacing w:after="100" w:line="360"/>
      </w:pPr>
      <w:r>
        <w:rPr>
          <w:rFonts w:ascii="Arial" w:cs="Arial" w:eastAsia="Arial" w:hAnsi="Arial"/>
          <w:sz w:val="24"/>
          <w:szCs w:val="24"/>
        </w:rPr>
        <w:t xml:space="preserve">Electron microscopy (tau filament ultrastructure analysis, PHF/SF morphology)</w:t>
      </w:r>
    </w:p>
    <w:p>
      <w:pPr>
        <w:pStyle w:val="ListParagraph"/>
        <w:numPr>
          <w:ilvl w:val="0"/>
          <w:numId w:val="2"/>
        </w:numPr>
        <w:spacing w:after="100" w:line="360"/>
      </w:pPr>
      <w:r>
        <w:rPr>
          <w:rFonts w:ascii="Arial" w:cs="Arial" w:eastAsia="Arial" w:hAnsi="Arial"/>
          <w:sz w:val="24"/>
          <w:szCs w:val="24"/>
        </w:rPr>
        <w:t xml:space="preserve">Sedimentation fractionation (soluble vs. insoluble tau pools)</w:t>
      </w:r>
    </w:p>
    <w:p>
      <w:pPr>
        <w:pStyle w:val="ListParagraph"/>
        <w:numPr>
          <w:ilvl w:val="0"/>
          <w:numId w:val="2"/>
        </w:numPr>
        <w:spacing w:after="100" w:line="360"/>
      </w:pPr>
      <w:r>
        <w:rPr>
          <w:rFonts w:ascii="Arial" w:cs="Arial" w:eastAsia="Arial" w:hAnsi="Arial"/>
          <w:sz w:val="24"/>
          <w:szCs w:val="24"/>
        </w:rPr>
        <w:t xml:space="preserve">Conformational tau antibodies (tau-pSer396, tau-pThr181, anti-AT8 immunoassay)</w:t>
      </w:r>
    </w:p>
    <w:p>
      <w:pPr>
        <w:pStyle w:val="ListParagraph"/>
        <w:numPr>
          <w:ilvl w:val="0"/>
          <w:numId w:val="2"/>
        </w:numPr>
        <w:spacing w:after="100" w:line="360"/>
      </w:pPr>
      <w:r>
        <w:rPr>
          <w:rFonts w:ascii="Arial" w:cs="Arial" w:eastAsia="Arial" w:hAnsi="Arial"/>
          <w:sz w:val="24"/>
          <w:szCs w:val="24"/>
        </w:rPr>
        <w:t xml:space="preserve">Tau seeding propensity assay (in vitro aggregation kinetics, lag phase analysis)</w:t>
      </w:r>
    </w:p>
    <w:p>
      <w:pPr>
        <w:pStyle w:val="ListParagraph"/>
        <w:numPr>
          <w:ilvl w:val="0"/>
          <w:numId w:val="2"/>
        </w:numPr>
        <w:spacing w:after="100" w:line="360"/>
      </w:pPr>
      <w:r>
        <w:rPr>
          <w:rFonts w:ascii="Arial" w:cs="Arial" w:eastAsia="Arial" w:hAnsi="Arial"/>
          <w:sz w:val="24"/>
          <w:szCs w:val="24"/>
        </w:rPr>
        <w:t xml:space="preserve">Neuroinflammation multiplex cytokine analysis (bioplex, Luminex)</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Quantify intracellular tau aggregates in patient neurons ± ASO treatment; report % cells with inclusions.</w:t>
      </w:r>
    </w:p>
    <w:p>
      <w:pPr>
        <w:pStyle w:val="ListParagraph"/>
        <w:numPr>
          <w:ilvl w:val="0"/>
          <w:numId w:val="2"/>
        </w:numPr>
        <w:spacing w:after="100" w:line="360"/>
      </w:pPr>
      <w:r>
        <w:rPr>
          <w:rFonts w:ascii="Arial" w:cs="Arial" w:eastAsia="Arial" w:hAnsi="Arial"/>
          <w:sz w:val="24"/>
          <w:szCs w:val="24"/>
        </w:rPr>
        <w:t xml:space="preserve">Perform seeding assay: pre-aggregate tau species + neurons ± ASO; measure propagation efficiency.</w:t>
      </w:r>
    </w:p>
    <w:p>
      <w:pPr>
        <w:pStyle w:val="ListParagraph"/>
        <w:numPr>
          <w:ilvl w:val="0"/>
          <w:numId w:val="2"/>
        </w:numPr>
        <w:spacing w:after="100" w:line="360"/>
      </w:pPr>
      <w:r>
        <w:rPr>
          <w:rFonts w:ascii="Arial" w:cs="Arial" w:eastAsia="Arial" w:hAnsi="Arial"/>
          <w:sz w:val="24"/>
          <w:szCs w:val="24"/>
        </w:rPr>
        <w:t xml:space="preserve">Analyze tau phosphorylation state in soluble vs. insoluble fractions (Western blot after sedimentation).</w:t>
      </w:r>
    </w:p>
    <w:p>
      <w:pPr>
        <w:pStyle w:val="ListParagraph"/>
        <w:numPr>
          <w:ilvl w:val="0"/>
          <w:numId w:val="2"/>
        </w:numPr>
        <w:spacing w:after="100" w:line="360"/>
      </w:pPr>
      <w:r>
        <w:rPr>
          <w:rFonts w:ascii="Arial" w:cs="Arial" w:eastAsia="Arial" w:hAnsi="Arial"/>
          <w:sz w:val="24"/>
          <w:szCs w:val="24"/>
        </w:rPr>
        <w:t xml:space="preserve">Assess prion-like propagation capacity of tau from ASO-treated vs. control neurons (secondary seeding).</w:t>
      </w:r>
    </w:p>
    <w:p>
      <w:pPr>
        <w:pStyle w:val="ListParagraph"/>
        <w:numPr>
          <w:ilvl w:val="0"/>
          <w:numId w:val="2"/>
        </w:numPr>
        <w:spacing w:after="100" w:line="360"/>
      </w:pPr>
      <w:r>
        <w:rPr>
          <w:rFonts w:ascii="Arial" w:cs="Arial" w:eastAsia="Arial" w:hAnsi="Arial"/>
          <w:sz w:val="24"/>
          <w:szCs w:val="24"/>
        </w:rPr>
        <w:t xml:space="preserve">Measure neuroinflammatory activation (IL-6, TNFα, IFNγ) in neurons exposed to tau aggregates ± ASO.</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Aggregate burden quantification (% cells with tau-positive inclusions, aggregate area distribution)</w:t>
      </w:r>
    </w:p>
    <w:p>
      <w:pPr>
        <w:pStyle w:val="ListParagraph"/>
        <w:numPr>
          <w:ilvl w:val="0"/>
          <w:numId w:val="2"/>
        </w:numPr>
        <w:spacing w:after="100" w:line="360"/>
      </w:pPr>
      <w:r>
        <w:rPr>
          <w:rFonts w:ascii="Arial" w:cs="Arial" w:eastAsia="Arial" w:hAnsi="Arial"/>
          <w:sz w:val="24"/>
          <w:szCs w:val="24"/>
        </w:rPr>
        <w:t xml:space="preserve">Tau seeding propensity data (lag phase, growth rate, plateau level with/without ASO)</w:t>
      </w:r>
    </w:p>
    <w:p>
      <w:pPr>
        <w:pStyle w:val="ListParagraph"/>
        <w:numPr>
          <w:ilvl w:val="0"/>
          <w:numId w:val="2"/>
        </w:numPr>
        <w:spacing w:after="100" w:line="360"/>
      </w:pPr>
      <w:r>
        <w:rPr>
          <w:rFonts w:ascii="Arial" w:cs="Arial" w:eastAsia="Arial" w:hAnsi="Arial"/>
          <w:sz w:val="24"/>
          <w:szCs w:val="24"/>
        </w:rPr>
        <w:t xml:space="preserve">Phospho-tau fraction analysis (soluble vs. insoluble pools, conformational tau species)</w:t>
      </w:r>
    </w:p>
    <w:p>
      <w:pPr>
        <w:pStyle w:val="ListParagraph"/>
        <w:numPr>
          <w:ilvl w:val="0"/>
          <w:numId w:val="2"/>
        </w:numPr>
        <w:spacing w:after="100" w:line="360"/>
      </w:pPr>
      <w:r>
        <w:rPr>
          <w:rFonts w:ascii="Arial" w:cs="Arial" w:eastAsia="Arial" w:hAnsi="Arial"/>
          <w:sz w:val="24"/>
          <w:szCs w:val="24"/>
        </w:rPr>
        <w:t xml:space="preserve">Tau filament morphology (EM images, PHF/SF quantification)</w:t>
      </w:r>
    </w:p>
    <w:p>
      <w:pPr>
        <w:pStyle w:val="ListParagraph"/>
        <w:numPr>
          <w:ilvl w:val="0"/>
          <w:numId w:val="2"/>
        </w:numPr>
        <w:spacing w:after="100" w:line="360"/>
      </w:pPr>
      <w:r>
        <w:rPr>
          <w:rFonts w:ascii="Arial" w:cs="Arial" w:eastAsia="Arial" w:hAnsi="Arial"/>
          <w:sz w:val="24"/>
          <w:szCs w:val="24"/>
        </w:rPr>
        <w:t xml:space="preserve">Secondary propagation efficiency (seeding capacity reduction, fold-change)</w:t>
      </w:r>
    </w:p>
    <w:p>
      <w:pPr>
        <w:pStyle w:val="ListParagraph"/>
        <w:numPr>
          <w:ilvl w:val="0"/>
          <w:numId w:val="2"/>
        </w:numPr>
        <w:spacing w:after="100" w:line="360"/>
      </w:pPr>
      <w:r>
        <w:rPr>
          <w:rFonts w:ascii="Arial" w:cs="Arial" w:eastAsia="Arial" w:hAnsi="Arial"/>
          <w:sz w:val="24"/>
          <w:szCs w:val="24"/>
        </w:rPr>
        <w:t xml:space="preserve">Neuroinflammatory cytokine profiles (fold-change from untreated control)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Aggregate imaging montage + seeding kinetics curves + fractionation Western blots + electron microscopy images + cytokine heatmap</w:t>
      </w:r>
    </w:p>
    <w:p>
      <w:pPr>
        <w:pStyle w:val="Heading2"/>
        <w:spacing w:after="200" w:before="200" w:line="360"/>
      </w:pPr>
      <w:r>
        <w:rPr>
          <w:rFonts w:ascii="Arial" w:cs="Arial" w:eastAsia="Arial" w:hAnsi="Arial"/>
          <w:b/>
          <w:bCs/>
          <w:sz w:val="28"/>
          <w:szCs w:val="28"/>
        </w:rPr>
        <w:t xml:space="preserve">Stage 6: In Vivo Efficacy in Tauopathy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in vivo studies demonstrating isoform-selective tau reduction, pathology rescue, and behavioral improvement in tauopathy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Tauopathy transgenic mouse model selection (P301S, P301L, K369I, or similar tau-pathology model)</w:t>
      </w:r>
    </w:p>
    <w:p>
      <w:pPr>
        <w:pStyle w:val="ListParagraph"/>
        <w:numPr>
          <w:ilvl w:val="0"/>
          <w:numId w:val="2"/>
        </w:numPr>
        <w:spacing w:after="100" w:line="360"/>
      </w:pPr>
      <w:r>
        <w:rPr>
          <w:rFonts w:ascii="Arial" w:cs="Arial" w:eastAsia="Arial" w:hAnsi="Arial"/>
          <w:sz w:val="24"/>
          <w:szCs w:val="24"/>
        </w:rPr>
        <w:t xml:space="preserve">Age for ASO administration (early symptomatic or pre-symptomatic stage)</w:t>
      </w:r>
    </w:p>
    <w:p>
      <w:pPr>
        <w:pStyle w:val="ListParagraph"/>
        <w:numPr>
          <w:ilvl w:val="0"/>
          <w:numId w:val="2"/>
        </w:numPr>
        <w:spacing w:after="100" w:line="360"/>
      </w:pPr>
      <w:r>
        <w:rPr>
          <w:rFonts w:ascii="Arial" w:cs="Arial" w:eastAsia="Arial" w:hAnsi="Arial"/>
          <w:sz w:val="24"/>
          <w:szCs w:val="24"/>
        </w:rPr>
        <w:t xml:space="preserve">Delivery route (ICV, intrathecal, or systemic with BBB-penetrating formulation)</w:t>
      </w:r>
    </w:p>
    <w:p>
      <w:pPr>
        <w:pStyle w:val="ListParagraph"/>
        <w:numPr>
          <w:ilvl w:val="0"/>
          <w:numId w:val="2"/>
        </w:numPr>
        <w:spacing w:after="100" w:line="360"/>
      </w:pPr>
      <w:r>
        <w:rPr>
          <w:rFonts w:ascii="Arial" w:cs="Arial" w:eastAsia="Arial" w:hAnsi="Arial"/>
          <w:sz w:val="24"/>
          <w:szCs w:val="24"/>
        </w:rPr>
        <w:t xml:space="preserve">Dosing regimen (single dose or multiple injections; 1–5 µmol/kg)</w:t>
      </w:r>
    </w:p>
    <w:p>
      <w:pPr>
        <w:pStyle w:val="ListParagraph"/>
        <w:numPr>
          <w:ilvl w:val="0"/>
          <w:numId w:val="2"/>
        </w:numPr>
        <w:spacing w:after="100" w:line="360"/>
      </w:pPr>
      <w:r>
        <w:rPr>
          <w:rFonts w:ascii="Arial" w:cs="Arial" w:eastAsia="Arial" w:hAnsi="Arial"/>
          <w:sz w:val="24"/>
          <w:szCs w:val="24"/>
        </w:rPr>
        <w:t xml:space="preserve">Readout endpoints (tau pathology burden, neurodegeneration markers, behavioral/cognitive function)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Immunohistochemistry quantification (tau phosphorylation, isoform-specific detection)</w:t>
      </w:r>
    </w:p>
    <w:p>
      <w:pPr>
        <w:pStyle w:val="ListParagraph"/>
        <w:numPr>
          <w:ilvl w:val="0"/>
          <w:numId w:val="2"/>
        </w:numPr>
        <w:spacing w:after="100" w:line="360"/>
      </w:pPr>
      <w:r>
        <w:rPr>
          <w:rFonts w:ascii="Arial" w:cs="Arial" w:eastAsia="Arial" w:hAnsi="Arial"/>
          <w:sz w:val="24"/>
          <w:szCs w:val="24"/>
        </w:rPr>
        <w:t xml:space="preserve">Digital pathology image analysis (phospho-tau burden, filament density in brain regions)</w:t>
      </w:r>
    </w:p>
    <w:p>
      <w:pPr>
        <w:pStyle w:val="ListParagraph"/>
        <w:numPr>
          <w:ilvl w:val="0"/>
          <w:numId w:val="2"/>
        </w:numPr>
        <w:spacing w:after="100" w:line="360"/>
      </w:pPr>
      <w:r>
        <w:rPr>
          <w:rFonts w:ascii="Arial" w:cs="Arial" w:eastAsia="Arial" w:hAnsi="Arial"/>
          <w:sz w:val="24"/>
          <w:szCs w:val="24"/>
        </w:rPr>
        <w:t xml:space="preserve">qPCR with isoform-specific probes (3R vs. 4R tau levels in tissue)</w:t>
      </w:r>
    </w:p>
    <w:p>
      <w:pPr>
        <w:pStyle w:val="ListParagraph"/>
        <w:numPr>
          <w:ilvl w:val="0"/>
          <w:numId w:val="2"/>
        </w:numPr>
        <w:spacing w:after="100" w:line="360"/>
      </w:pPr>
      <w:r>
        <w:rPr>
          <w:rFonts w:ascii="Arial" w:cs="Arial" w:eastAsia="Arial" w:hAnsi="Arial"/>
          <w:sz w:val="24"/>
          <w:szCs w:val="24"/>
        </w:rPr>
        <w:t xml:space="preserve">Behavioral phenotyping suite (Morris water maze, T-maze, open field, grip strength)</w:t>
      </w:r>
    </w:p>
    <w:p>
      <w:pPr>
        <w:pStyle w:val="ListParagraph"/>
        <w:numPr>
          <w:ilvl w:val="0"/>
          <w:numId w:val="2"/>
        </w:numPr>
        <w:spacing w:after="100" w:line="360"/>
      </w:pPr>
      <w:r>
        <w:rPr>
          <w:rFonts w:ascii="Arial" w:cs="Arial" w:eastAsia="Arial" w:hAnsi="Arial"/>
          <w:sz w:val="24"/>
          <w:szCs w:val="24"/>
        </w:rPr>
        <w:t xml:space="preserve">Biomarker imaging (PET with tau tracers like [18F]AV1451, MRI for neurodegeneration)</w:t>
      </w:r>
    </w:p>
    <w:p>
      <w:pPr>
        <w:pStyle w:val="ListParagraph"/>
        <w:numPr>
          <w:ilvl w:val="0"/>
          <w:numId w:val="2"/>
        </w:numPr>
        <w:spacing w:after="100" w:line="360"/>
      </w:pPr>
      <w:r>
        <w:rPr>
          <w:rFonts w:ascii="Arial" w:cs="Arial" w:eastAsia="Arial" w:hAnsi="Arial"/>
          <w:sz w:val="24"/>
          <w:szCs w:val="24"/>
        </w:rPr>
        <w:t xml:space="preserve">Survival analysis and disease progression monitoring (video tracking, pathology score)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dose-escalation study in P301S tau mice: dosing (0.5, 2, 5 µmol/kg ICV); endpoint timing (4, 8, 12 weeks).</w:t>
      </w:r>
    </w:p>
    <w:p>
      <w:pPr>
        <w:pStyle w:val="ListParagraph"/>
        <w:numPr>
          <w:ilvl w:val="0"/>
          <w:numId w:val="2"/>
        </w:numPr>
        <w:spacing w:after="100" w:line="360"/>
      </w:pPr>
      <w:r>
        <w:rPr>
          <w:rFonts w:ascii="Arial" w:cs="Arial" w:eastAsia="Arial" w:hAnsi="Arial"/>
          <w:sz w:val="24"/>
          <w:szCs w:val="24"/>
        </w:rPr>
        <w:t xml:space="preserve">Plan biodistribution study to verify isoform-selective knockdown in hippocampus, cortex, and striatum.</w:t>
      </w:r>
    </w:p>
    <w:p>
      <w:pPr>
        <w:pStyle w:val="ListParagraph"/>
        <w:numPr>
          <w:ilvl w:val="0"/>
          <w:numId w:val="2"/>
        </w:numPr>
        <w:spacing w:after="100" w:line="360"/>
      </w:pPr>
      <w:r>
        <w:rPr>
          <w:rFonts w:ascii="Arial" w:cs="Arial" w:eastAsia="Arial" w:hAnsi="Arial"/>
          <w:sz w:val="24"/>
          <w:szCs w:val="24"/>
        </w:rPr>
        <w:t xml:space="preserve">Predict therapeutic window: target 40–60% reduction in pathogenic 4R tau; &lt;20% reduction in 3R.</w:t>
      </w:r>
    </w:p>
    <w:p>
      <w:pPr>
        <w:pStyle w:val="ListParagraph"/>
        <w:numPr>
          <w:ilvl w:val="0"/>
          <w:numId w:val="2"/>
        </w:numPr>
        <w:spacing w:after="100" w:line="360"/>
      </w:pPr>
      <w:r>
        <w:rPr>
          <w:rFonts w:ascii="Arial" w:cs="Arial" w:eastAsia="Arial" w:hAnsi="Arial"/>
          <w:sz w:val="24"/>
          <w:szCs w:val="24"/>
        </w:rPr>
        <w:t xml:space="preserve">Design behavioral testing to detect cognitive improvement (Morris water maze learning, probe trial).</w:t>
      </w:r>
    </w:p>
    <w:p>
      <w:pPr>
        <w:pStyle w:val="ListParagraph"/>
        <w:numPr>
          <w:ilvl w:val="0"/>
          <w:numId w:val="2"/>
        </w:numPr>
        <w:spacing w:after="100" w:line="360"/>
      </w:pPr>
      <w:r>
        <w:rPr>
          <w:rFonts w:ascii="Arial" w:cs="Arial" w:eastAsia="Arial" w:hAnsi="Arial"/>
          <w:sz w:val="24"/>
          <w:szCs w:val="24"/>
        </w:rPr>
        <w:t xml:space="preserve">Establish histopathology read-out: phospho-tau burden (pS396+, pT181+ area %), neurodegeneration (NeuN+ neurons, GFAP+ glia).</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 vivo study protocol (transgenic model, age, dosing, ICV injection technique, sampling schedule)</w:t>
      </w:r>
    </w:p>
    <w:p>
      <w:pPr>
        <w:pStyle w:val="ListParagraph"/>
        <w:numPr>
          <w:ilvl w:val="0"/>
          <w:numId w:val="2"/>
        </w:numPr>
        <w:spacing w:after="100" w:line="360"/>
      </w:pPr>
      <w:r>
        <w:rPr>
          <w:rFonts w:ascii="Arial" w:cs="Arial" w:eastAsia="Arial" w:hAnsi="Arial"/>
          <w:sz w:val="24"/>
          <w:szCs w:val="24"/>
        </w:rPr>
        <w:t xml:space="preserve">Isoform-specific tau knockdown predictions by brain region (qPCR fold-change estimates)</w:t>
      </w:r>
    </w:p>
    <w:p>
      <w:pPr>
        <w:pStyle w:val="ListParagraph"/>
        <w:numPr>
          <w:ilvl w:val="0"/>
          <w:numId w:val="2"/>
        </w:numPr>
        <w:spacing w:after="100" w:line="360"/>
      </w:pPr>
      <w:r>
        <w:rPr>
          <w:rFonts w:ascii="Arial" w:cs="Arial" w:eastAsia="Arial" w:hAnsi="Arial"/>
          <w:sz w:val="24"/>
          <w:szCs w:val="24"/>
        </w:rPr>
        <w:t xml:space="preserve">Tau pathology burden reduction (expected % decrease in phospho-tau immunohistochemistry)</w:t>
      </w:r>
    </w:p>
    <w:p>
      <w:pPr>
        <w:pStyle w:val="ListParagraph"/>
        <w:numPr>
          <w:ilvl w:val="0"/>
          <w:numId w:val="2"/>
        </w:numPr>
        <w:spacing w:after="100" w:line="360"/>
      </w:pPr>
      <w:r>
        <w:rPr>
          <w:rFonts w:ascii="Arial" w:cs="Arial" w:eastAsia="Arial" w:hAnsi="Arial"/>
          <w:sz w:val="24"/>
          <w:szCs w:val="24"/>
        </w:rPr>
        <w:t xml:space="preserve">Behavioral and cognitive outcome predictions (Morris water maze latency, errors)</w:t>
      </w:r>
    </w:p>
    <w:p>
      <w:pPr>
        <w:pStyle w:val="ListParagraph"/>
        <w:numPr>
          <w:ilvl w:val="0"/>
          <w:numId w:val="2"/>
        </w:numPr>
        <w:spacing w:after="100" w:line="360"/>
      </w:pPr>
      <w:r>
        <w:rPr>
          <w:rFonts w:ascii="Arial" w:cs="Arial" w:eastAsia="Arial" w:hAnsi="Arial"/>
          <w:sz w:val="24"/>
          <w:szCs w:val="24"/>
        </w:rPr>
        <w:t xml:space="preserve">Neurodegeneration biomarker plan (neuronal survival markers, glial activation profiles)</w:t>
      </w:r>
    </w:p>
    <w:p>
      <w:pPr>
        <w:pStyle w:val="ListParagraph"/>
        <w:numPr>
          <w:ilvl w:val="0"/>
          <w:numId w:val="2"/>
        </w:numPr>
        <w:spacing w:after="100" w:line="360"/>
      </w:pPr>
      <w:r>
        <w:rPr>
          <w:rFonts w:ascii="Arial" w:cs="Arial" w:eastAsia="Arial" w:hAnsi="Arial"/>
          <w:sz w:val="24"/>
          <w:szCs w:val="24"/>
        </w:rPr>
        <w:t xml:space="preserve">Disease progression delay estimate and lifespan extension projections (based on tau burden reduction)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 vivo study protocol + dose-response predictions + behavioral endpoint specifications + pathology quantification guidelines + regulatory pathway summary</w:t>
      </w:r>
    </w:p>
    <w:p>
      <w:pPr>
        <w:pStyle w:val="Heading2"/>
        <w:spacing w:after="200" w:before="200" w:line="36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reference, conservation tracks, regulatory elements)</w:t>
      </w:r>
    </w:p>
    <w:p>
      <w:pPr>
        <w:pStyle w:val="ListParagraph"/>
        <w:numPr>
          <w:ilvl w:val="0"/>
          <w:numId w:val="2"/>
        </w:numPr>
        <w:spacing w:after="100" w:line="360"/>
      </w:pPr>
      <w:r>
        <w:rPr>
          <w:rFonts w:ascii="Arial" w:cs="Arial" w:eastAsia="Arial" w:hAnsi="Arial"/>
          <w:sz w:val="24"/>
          <w:szCs w:val="24"/>
        </w:rPr>
        <w:t xml:space="preserve">gnomAD variant database (population allele frequencies, loss-of-function constraints)</w:t>
      </w:r>
    </w:p>
    <w:p>
      <w:pPr>
        <w:pStyle w:val="ListParagraph"/>
        <w:numPr>
          <w:ilvl w:val="0"/>
          <w:numId w:val="2"/>
        </w:numPr>
        <w:spacing w:after="100" w:line="360"/>
      </w:pPr>
      <w:r>
        <w:rPr>
          <w:rFonts w:ascii="Arial" w:cs="Arial" w:eastAsia="Arial" w:hAnsi="Arial"/>
          <w:sz w:val="24"/>
          <w:szCs w:val="24"/>
        </w:rPr>
        <w:t xml:space="preserve">ENCODE/Roadmap Epigenomics (histone modifications, DNA methylation, chromatin accessibility)</w:t>
      </w:r>
    </w:p>
    <w:p>
      <w:pPr>
        <w:pStyle w:val="ListParagraph"/>
        <w:numPr>
          <w:ilvl w:val="0"/>
          <w:numId w:val="2"/>
        </w:numPr>
        <w:spacing w:after="100" w:line="360"/>
      </w:pPr>
      <w:r>
        <w:rPr>
          <w:rFonts w:ascii="Arial" w:cs="Arial" w:eastAsia="Arial" w:hAnsi="Arial"/>
          <w:sz w:val="24"/>
          <w:szCs w:val="24"/>
        </w:rPr>
        <w:t xml:space="preserve">STRING/BioGRID (protein-protein interaction networks, pathway analysis)</w:t>
      </w:r>
    </w:p>
    <w:p>
      <w:pPr>
        <w:pStyle w:val="ListParagraph"/>
        <w:numPr>
          <w:ilvl w:val="0"/>
          <w:numId w:val="2"/>
        </w:numPr>
        <w:spacing w:after="100" w:line="360"/>
      </w:pPr>
      <w:r>
        <w:rPr>
          <w:rFonts w:ascii="Arial" w:cs="Arial" w:eastAsia="Arial" w:hAnsi="Arial"/>
          <w:sz w:val="24"/>
          <w:szCs w:val="24"/>
        </w:rPr>
        <w:t xml:space="preserve">Geneious Pro (sequence analysis, alignment, ASO design)</w:t>
      </w:r>
    </w:p>
    <w:p>
      <w:pPr>
        <w:pStyle w:val="ListParagraph"/>
        <w:numPr>
          <w:ilvl w:val="0"/>
          <w:numId w:val="2"/>
        </w:numPr>
        <w:spacing w:after="100" w:line="360"/>
      </w:pPr>
      <w:r>
        <w:rPr>
          <w:rFonts w:ascii="Arial" w:cs="Arial" w:eastAsia="Arial" w:hAnsi="Arial"/>
          <w:sz w:val="24"/>
          <w:szCs w:val="24"/>
        </w:rPr>
        <w:t xml:space="preserve">ViennaRNA (RNA secondary structure prediction, accessibility modeling)</w:t>
      </w:r>
    </w:p>
    <w:p>
      <w:pPr>
        <w:pStyle w:val="ListParagraph"/>
        <w:numPr>
          <w:ilvl w:val="0"/>
          <w:numId w:val="2"/>
        </w:numPr>
        <w:spacing w:after="100" w:line="360"/>
      </w:pPr>
      <w:r>
        <w:rPr>
          <w:rFonts w:ascii="Arial" w:cs="Arial" w:eastAsia="Arial" w:hAnsi="Arial"/>
          <w:sz w:val="24"/>
          <w:szCs w:val="24"/>
        </w:rPr>
        <w:t xml:space="preserve">BLAST (sequence homology, off-target screening, species conservation)</w:t>
      </w:r>
    </w:p>
    <w:p>
      <w:pPr>
        <w:pStyle w:val="ListParagraph"/>
        <w:numPr>
          <w:ilvl w:val="0"/>
          <w:numId w:val="2"/>
        </w:numPr>
        <w:spacing w:after="100" w:line="360"/>
      </w:pPr>
      <w:r>
        <w:rPr>
          <w:rFonts w:ascii="Arial" w:cs="Arial" w:eastAsia="Arial" w:hAnsi="Arial"/>
          <w:sz w:val="24"/>
          <w:szCs w:val="24"/>
        </w:rPr>
        <w:t xml:space="preserve">MaxEnt splice site predictor (splicing outcome prediction, branch point analysis)</w:t>
      </w:r>
    </w:p>
    <w:p>
      <w:pPr>
        <w:pStyle w:val="ListParagraph"/>
        <w:numPr>
          <w:ilvl w:val="0"/>
          <w:numId w:val="2"/>
        </w:numPr>
        <w:spacing w:after="100" w:line="360"/>
      </w:pPr>
      <w:r>
        <w:rPr>
          <w:rFonts w:ascii="Arial" w:cs="Arial" w:eastAsia="Arial" w:hAnsi="Arial"/>
          <w:sz w:val="24"/>
          <w:szCs w:val="24"/>
        </w:rPr>
        <w:t xml:space="preserve">Patch-clamp electrophysiology rig (whole-cell recording, network electrode arrays)</w:t>
      </w:r>
    </w:p>
    <w:p>
      <w:pPr>
        <w:pStyle w:val="ListParagraph"/>
        <w:numPr>
          <w:ilvl w:val="0"/>
          <w:numId w:val="2"/>
        </w:numPr>
        <w:spacing w:after="100" w:line="360"/>
      </w:pPr>
      <w:r>
        <w:rPr>
          <w:rFonts w:ascii="Arial" w:cs="Arial" w:eastAsia="Arial" w:hAnsi="Arial"/>
          <w:sz w:val="24"/>
          <w:szCs w:val="24"/>
        </w:rPr>
        <w:t xml:space="preserve">High-content imaging systems (automated quantification, phenotype analysis)</w:t>
      </w:r>
    </w:p>
    <w:p>
      <w:pPr>
        <w:pStyle w:val="ListParagraph"/>
        <w:numPr>
          <w:ilvl w:val="0"/>
          <w:numId w:val="2"/>
        </w:numPr>
        <w:spacing w:after="100" w:line="360"/>
      </w:pPr>
      <w:r>
        <w:rPr>
          <w:rFonts w:ascii="Arial" w:cs="Arial" w:eastAsia="Arial" w:hAnsi="Arial"/>
          <w:sz w:val="24"/>
          <w:szCs w:val="24"/>
        </w:rPr>
        <w:t xml:space="preserve">RNA-seq and long-read Nanopore sequencing (transcript profiling, isoform identification)</w:t>
      </w:r>
    </w:p>
    <w:p>
      <w:pPr>
        <w:pStyle w:val="ListParagraph"/>
        <w:numPr>
          <w:ilvl w:val="0"/>
          <w:numId w:val="2"/>
        </w:numPr>
        <w:spacing w:after="100" w:line="360"/>
      </w:pPr>
      <w:r>
        <w:rPr>
          <w:rFonts w:ascii="Arial" w:cs="Arial" w:eastAsia="Arial" w:hAnsi="Arial"/>
          <w:sz w:val="24"/>
          <w:szCs w:val="24"/>
        </w:rPr>
        <w:t xml:space="preserve">Mass spectrometry (protein identification, post-translational modification analysis)</w:t>
      </w:r>
    </w:p>
    <w:p>
      <w:pPr>
        <w:pStyle w:val="ListParagraph"/>
        <w:numPr>
          <w:ilvl w:val="0"/>
          <w:numId w:val="2"/>
        </w:numPr>
        <w:spacing w:after="100" w:line="360"/>
      </w:pPr>
      <w:r>
        <w:rPr>
          <w:rFonts w:ascii="Arial" w:cs="Arial" w:eastAsia="Arial" w:hAnsi="Arial"/>
          <w:sz w:val="24"/>
          <w:szCs w:val="24"/>
        </w:rPr>
        <w:t xml:space="preserve">Multiplex cytokine assays (Luminex, Bioplex; immune activation quantification)</w:t>
      </w:r>
    </w:p>
    <w:p>
      <w:pPr>
        <w:pStyle w:val="ListParagraph"/>
        <w:numPr>
          <w:ilvl w:val="0"/>
          <w:numId w:val="2"/>
        </w:numPr>
        <w:spacing w:after="100" w:line="360"/>
      </w:pPr>
      <w:r>
        <w:rPr>
          <w:rFonts w:ascii="Arial" w:cs="Arial" w:eastAsia="Arial" w:hAnsi="Arial"/>
          <w:sz w:val="24"/>
          <w:szCs w:val="24"/>
        </w:rPr>
        <w:t xml:space="preserve">Multi-electrode array (MEA) recording (network activity, burst analysis)</w:t>
      </w:r>
    </w:p>
    <w:p>
      <w:pPr>
        <w:pStyle w:val="ListParagraph"/>
        <w:numPr>
          <w:ilvl w:val="0"/>
          <w:numId w:val="2"/>
        </w:numPr>
        <w:spacing w:after="100" w:line="360"/>
      </w:pPr>
      <w:r>
        <w:rPr>
          <w:rFonts w:ascii="Arial" w:cs="Arial" w:eastAsia="Arial" w:hAnsi="Arial"/>
          <w:sz w:val="24"/>
          <w:szCs w:val="24"/>
        </w:rPr>
        <w:t xml:space="preserve">In vivo imaging (PET, SPECT, MRI; biodistribution and efficacy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2026-03-04T19:57:16.463Z</dcterms:created>
  <dcterms:modified xsi:type="dcterms:W3CDTF">2026-03-04T19:57:16.464Z</dcterms:modified>
</cp:coreProperties>
</file>

<file path=docProps/custom.xml><?xml version="1.0" encoding="utf-8"?>
<Properties xmlns="http://schemas.openxmlformats.org/officeDocument/2006/custom-properties" xmlns:vt="http://schemas.openxmlformats.org/officeDocument/2006/docPropsVTypes"/>
</file>