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line="360"/>
      </w:pPr>
      <w:r>
        <w:rPr>
          <w:rFonts w:ascii="Arial" w:cs="Arial" w:eastAsia="Arial" w:hAnsi="Arial"/>
          <w:b/>
          <w:bCs/>
          <w:sz w:val="32"/>
          <w:szCs w:val="32"/>
        </w:rPr>
        <w:t xml:space="preserve">Sapphire Pipeline Workflow: UBE3A-ATS Antisense Targeting for Angelman Syndrome</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antisense sequences targeting UBE3A antisense transcript (UBE3A-ATS) to reactivate paternal allele in Angelman syndrome.</w:t>
      </w:r>
    </w:p>
    <w:p>
      <w:pPr>
        <w:spacing w:after="200" w:line="360"/>
      </w:pPr>
      <w:r>
        <w:rPr>
          <w:rFonts w:ascii="Arial" w:cs="Arial" w:eastAsia="Arial" w:hAnsi="Arial"/>
          <w:sz w:val="24"/>
          <w:szCs w:val="24"/>
        </w:rPr>
        <w:t xml:space="preserve">This comprehensive Sapphire Pipeline outlines a systematic, stage-gated approach to ube3a-ats antisense targeting for angelman syndrome. The workflow integrates cutting-edge genomic analysis, rational ASO design, chemical optimization, and rigorous functional validation.</w:t>
      </w:r>
    </w:p>
    <w:p>
      <w:pPr>
        <w:spacing w:after="200" w:line="360"/>
      </w:pPr>
      <w:r>
        <w:rPr>
          <w:rFonts w:ascii="Arial" w:cs="Arial" w:eastAsia="Arial" w:hAnsi="Arial"/>
          <w:sz w:val="24"/>
          <w:szCs w:val="24"/>
        </w:rPr>
        <w:t xml:space="preserve">Each stage builds upon previous results, incorporating feedback loops and iterative refinement. This structured approach maximizes the probability of identifying effective, safe, and translatable therapeutic candidates.</w:t>
      </w:r>
    </w:p>
    <w:p>
      <w:pPr>
        <w:pStyle w:val="Heading2"/>
        <w:spacing w:after="200" w:before="200" w:line="36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pipeline consists of 6 interdependent stages designed to guide ASO discovery and validation from initial target selection through clinical readiness. Each stage delivers specific outputs that directly feed into downstream analyses, ensuring data continuity and risk mitigation.</w:t>
      </w:r>
    </w:p>
    <w:p>
      <w:pPr>
        <w:spacing w:after="200" w:line="360"/>
      </w:pPr>
      <w:r>
        <w:rPr>
          <w:rFonts w:ascii="Arial" w:cs="Arial" w:eastAsia="Arial" w:hAnsi="Arial"/>
          <w:sz w:val="24"/>
          <w:szCs w:val="24"/>
        </w:rPr>
        <w:t xml:space="preserve">The integrated approach combines genomic data mining, functional prediction, chemical optimization, and experimental validation. Success at each stage is defined by clear metrics, with go/no-go criteria to prioritize the most promising candidates forward.</w:t>
      </w:r>
    </w:p>
    <w:p>
      <w:pPr>
        <w:pStyle w:val="Heading2"/>
        <w:spacing w:after="200" w:before="200" w:line="360"/>
      </w:pPr>
      <w:r>
        <w:rPr>
          <w:rFonts w:ascii="Arial" w:cs="Arial" w:eastAsia="Arial" w:hAnsi="Arial"/>
          <w:b/>
          <w:bCs/>
          <w:sz w:val="28"/>
          <w:szCs w:val="28"/>
        </w:rPr>
        <w:t xml:space="preserve">Stage 1: 15q11-q13 Imprinting &amp; UBE3A-ATS Characterization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Map UBE3A-ATS transcript structure, characterize paternal repression mechanism, and identify allele-specific regulatory elements.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15q11-q13 locus genomic sequence (maternal and paternal haplotypes, GRCh38)</w:t>
      </w:r>
    </w:p>
    <w:p>
      <w:pPr>
        <w:pStyle w:val="ListParagraph"/>
        <w:numPr>
          <w:ilvl w:val="0"/>
          <w:numId w:val="2"/>
        </w:numPr>
        <w:spacing w:after="100" w:line="360"/>
      </w:pPr>
      <w:r>
        <w:rPr>
          <w:rFonts w:ascii="Arial" w:cs="Arial" w:eastAsia="Arial" w:hAnsi="Arial"/>
          <w:sz w:val="24"/>
          <w:szCs w:val="24"/>
        </w:rPr>
        <w:t xml:space="preserve">UBE3A-ATS transcript structure (exon-intron map, TSS, polyadenylation sites)</w:t>
      </w:r>
    </w:p>
    <w:p>
      <w:pPr>
        <w:pStyle w:val="ListParagraph"/>
        <w:numPr>
          <w:ilvl w:val="0"/>
          <w:numId w:val="2"/>
        </w:numPr>
        <w:spacing w:after="100" w:line="360"/>
      </w:pPr>
      <w:r>
        <w:rPr>
          <w:rFonts w:ascii="Arial" w:cs="Arial" w:eastAsia="Arial" w:hAnsi="Arial"/>
          <w:sz w:val="24"/>
          <w:szCs w:val="24"/>
        </w:rPr>
        <w:t xml:space="preserve">Imprinting control region (ICR) elements: AS-SRO, PWS-SRO, imprint box locations</w:t>
      </w:r>
    </w:p>
    <w:p>
      <w:pPr>
        <w:pStyle w:val="ListParagraph"/>
        <w:numPr>
          <w:ilvl w:val="0"/>
          <w:numId w:val="2"/>
        </w:numPr>
        <w:spacing w:after="100" w:line="360"/>
      </w:pPr>
      <w:r>
        <w:rPr>
          <w:rFonts w:ascii="Arial" w:cs="Arial" w:eastAsia="Arial" w:hAnsi="Arial"/>
          <w:sz w:val="24"/>
          <w:szCs w:val="24"/>
        </w:rPr>
        <w:t xml:space="preserve">DNA methylation and chromatin status (paternal vs. maternal allele, ENCODE ChIP-seq data)</w:t>
      </w:r>
    </w:p>
    <w:p>
      <w:pPr>
        <w:pStyle w:val="ListParagraph"/>
        <w:numPr>
          <w:ilvl w:val="0"/>
          <w:numId w:val="2"/>
        </w:numPr>
        <w:spacing w:after="100" w:line="360"/>
      </w:pPr>
      <w:r>
        <w:rPr>
          <w:rFonts w:ascii="Arial" w:cs="Arial" w:eastAsia="Arial" w:hAnsi="Arial"/>
          <w:sz w:val="24"/>
          <w:szCs w:val="24"/>
        </w:rPr>
        <w:t xml:space="preserve">UBE3A-ATS abundance in tissues (brain-specific expression, developmental stages)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15q11-q13 imprinting track (methylation, histone marks, chromatin accessibility)</w:t>
      </w:r>
    </w:p>
    <w:p>
      <w:pPr>
        <w:pStyle w:val="ListParagraph"/>
        <w:numPr>
          <w:ilvl w:val="0"/>
          <w:numId w:val="2"/>
        </w:numPr>
        <w:spacing w:after="100" w:line="360"/>
      </w:pPr>
      <w:r>
        <w:rPr>
          <w:rFonts w:ascii="Arial" w:cs="Arial" w:eastAsia="Arial" w:hAnsi="Arial"/>
          <w:sz w:val="24"/>
          <w:szCs w:val="24"/>
        </w:rPr>
        <w:t xml:space="preserve">Genecard/UniProt (UBE3A-ATS transcript variants, predicted secondary structure)</w:t>
      </w:r>
    </w:p>
    <w:p>
      <w:pPr>
        <w:pStyle w:val="ListParagraph"/>
        <w:numPr>
          <w:ilvl w:val="0"/>
          <w:numId w:val="2"/>
        </w:numPr>
        <w:spacing w:after="100" w:line="360"/>
      </w:pPr>
      <w:r>
        <w:rPr>
          <w:rFonts w:ascii="Arial" w:cs="Arial" w:eastAsia="Arial" w:hAnsi="Arial"/>
          <w:sz w:val="24"/>
          <w:szCs w:val="24"/>
        </w:rPr>
        <w:t xml:space="preserve">WGBS/ATAC-seq browsers (DNA methylation and accessible chromatin in paternal vs. maternal alleles)</w:t>
      </w:r>
    </w:p>
    <w:p>
      <w:pPr>
        <w:pStyle w:val="ListParagraph"/>
        <w:numPr>
          <w:ilvl w:val="0"/>
          <w:numId w:val="2"/>
        </w:numPr>
        <w:spacing w:after="100" w:line="360"/>
      </w:pPr>
      <w:r>
        <w:rPr>
          <w:rFonts w:ascii="Arial" w:cs="Arial" w:eastAsia="Arial" w:hAnsi="Arial"/>
          <w:sz w:val="24"/>
          <w:szCs w:val="24"/>
        </w:rPr>
        <w:t xml:space="preserve">Imprinting database (IMPRINTED GENE CATALOGUE, confirmed imprinting status)</w:t>
      </w:r>
    </w:p>
    <w:p>
      <w:pPr>
        <w:pStyle w:val="ListParagraph"/>
        <w:numPr>
          <w:ilvl w:val="0"/>
          <w:numId w:val="2"/>
        </w:numPr>
        <w:spacing w:after="100" w:line="360"/>
      </w:pPr>
      <w:r>
        <w:rPr>
          <w:rFonts w:ascii="Arial" w:cs="Arial" w:eastAsia="Arial" w:hAnsi="Arial"/>
          <w:sz w:val="24"/>
          <w:szCs w:val="24"/>
        </w:rPr>
        <w:t xml:space="preserve">Roadmap Epigenomics (histone modifications H3K4me3, H3K27me3 over UBE3A-ATS in brain tissues)</w:t>
      </w:r>
    </w:p>
    <w:p>
      <w:pPr>
        <w:pStyle w:val="ListParagraph"/>
        <w:numPr>
          <w:ilvl w:val="0"/>
          <w:numId w:val="2"/>
        </w:numPr>
        <w:spacing w:after="100" w:line="360"/>
      </w:pPr>
      <w:r>
        <w:rPr>
          <w:rFonts w:ascii="Arial" w:cs="Arial" w:eastAsia="Arial" w:hAnsi="Arial"/>
          <w:sz w:val="24"/>
          <w:szCs w:val="24"/>
        </w:rPr>
        <w:t xml:space="preserve">Custom CRISPR target scoring tool (validation of UBE3A-ATS TSS and repression elements)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Map UBE3A-ATS exon structure and identify the transcript regions that repress paternal UBE3A.</w:t>
      </w:r>
    </w:p>
    <w:p>
      <w:pPr>
        <w:pStyle w:val="ListParagraph"/>
        <w:numPr>
          <w:ilvl w:val="0"/>
          <w:numId w:val="2"/>
        </w:numPr>
        <w:spacing w:after="100" w:line="360"/>
      </w:pPr>
      <w:r>
        <w:rPr>
          <w:rFonts w:ascii="Arial" w:cs="Arial" w:eastAsia="Arial" w:hAnsi="Arial"/>
          <w:sz w:val="24"/>
          <w:szCs w:val="24"/>
        </w:rPr>
        <w:t xml:space="preserve">Characterize the AS-SRO (Angelman Syndrome-deletion SubRegion Objective) and its relationship to UBE3A-ATS expression.</w:t>
      </w:r>
    </w:p>
    <w:p>
      <w:pPr>
        <w:pStyle w:val="ListParagraph"/>
        <w:numPr>
          <w:ilvl w:val="0"/>
          <w:numId w:val="2"/>
        </w:numPr>
        <w:spacing w:after="100" w:line="360"/>
      </w:pPr>
      <w:r>
        <w:rPr>
          <w:rFonts w:ascii="Arial" w:cs="Arial" w:eastAsia="Arial" w:hAnsi="Arial"/>
          <w:sz w:val="24"/>
          <w:szCs w:val="24"/>
        </w:rPr>
        <w:t xml:space="preserve">Identify binding sites for chromatin modifiers (PRC2, DNMT3A) on the paternal allele that establish UBE3A silencing.</w:t>
      </w:r>
    </w:p>
    <w:p>
      <w:pPr>
        <w:pStyle w:val="ListParagraph"/>
        <w:numPr>
          <w:ilvl w:val="0"/>
          <w:numId w:val="2"/>
        </w:numPr>
        <w:spacing w:after="100" w:line="360"/>
      </w:pPr>
      <w:r>
        <w:rPr>
          <w:rFonts w:ascii="Arial" w:cs="Arial" w:eastAsia="Arial" w:hAnsi="Arial"/>
          <w:sz w:val="24"/>
          <w:szCs w:val="24"/>
        </w:rPr>
        <w:t xml:space="preserve">Compare DNA methylation patterns across imprinting control region in maternal (active UBE3A) vs. paternal (silenced UBE3A) alleles.</w:t>
      </w:r>
    </w:p>
    <w:p>
      <w:pPr>
        <w:pStyle w:val="ListParagraph"/>
        <w:numPr>
          <w:ilvl w:val="0"/>
          <w:numId w:val="2"/>
        </w:numPr>
        <w:spacing w:after="100" w:line="360"/>
      </w:pPr>
      <w:r>
        <w:rPr>
          <w:rFonts w:ascii="Arial" w:cs="Arial" w:eastAsia="Arial" w:hAnsi="Arial"/>
          <w:sz w:val="24"/>
          <w:szCs w:val="24"/>
        </w:rPr>
        <w:t xml:space="preserve">Predict the secondary structure of UBE3A-ATS full-length transcript; identify stem-loops and regulatory RNA elements.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UBE3A-ATS exon-intron structure diagram with coordinates and transcript isoforms</w:t>
      </w:r>
    </w:p>
    <w:p>
      <w:pPr>
        <w:pStyle w:val="ListParagraph"/>
        <w:numPr>
          <w:ilvl w:val="0"/>
          <w:numId w:val="2"/>
        </w:numPr>
        <w:spacing w:after="100" w:line="360"/>
      </w:pPr>
      <w:r>
        <w:rPr>
          <w:rFonts w:ascii="Arial" w:cs="Arial" w:eastAsia="Arial" w:hAnsi="Arial"/>
          <w:sz w:val="24"/>
          <w:szCs w:val="24"/>
        </w:rPr>
        <w:t xml:space="preserve">15q11-q13 imprinting map (ICR elements, AS-SRO, PWS-SRO, allele-specific methylation patterns)</w:t>
      </w:r>
    </w:p>
    <w:p>
      <w:pPr>
        <w:pStyle w:val="ListParagraph"/>
        <w:numPr>
          <w:ilvl w:val="0"/>
          <w:numId w:val="2"/>
        </w:numPr>
        <w:spacing w:after="100" w:line="360"/>
      </w:pPr>
      <w:r>
        <w:rPr>
          <w:rFonts w:ascii="Arial" w:cs="Arial" w:eastAsia="Arial" w:hAnsi="Arial"/>
          <w:sz w:val="24"/>
          <w:szCs w:val="24"/>
        </w:rPr>
        <w:t xml:space="preserve">DNA methylation heatmap (paternal vs. maternal alleles across locus)</w:t>
      </w:r>
    </w:p>
    <w:p>
      <w:pPr>
        <w:pStyle w:val="ListParagraph"/>
        <w:numPr>
          <w:ilvl w:val="0"/>
          <w:numId w:val="2"/>
        </w:numPr>
        <w:spacing w:after="100" w:line="360"/>
      </w:pPr>
      <w:r>
        <w:rPr>
          <w:rFonts w:ascii="Arial" w:cs="Arial" w:eastAsia="Arial" w:hAnsi="Arial"/>
          <w:sz w:val="24"/>
          <w:szCs w:val="24"/>
        </w:rPr>
        <w:t xml:space="preserve">Histone modification track (H3K4me3, H3K27me3, H3K9me3) paternal vs. maternal)</w:t>
      </w:r>
    </w:p>
    <w:p>
      <w:pPr>
        <w:pStyle w:val="ListParagraph"/>
        <w:numPr>
          <w:ilvl w:val="0"/>
          <w:numId w:val="2"/>
        </w:numPr>
        <w:spacing w:after="100" w:line="360"/>
      </w:pPr>
      <w:r>
        <w:rPr>
          <w:rFonts w:ascii="Arial" w:cs="Arial" w:eastAsia="Arial" w:hAnsi="Arial"/>
          <w:sz w:val="24"/>
          <w:szCs w:val="24"/>
        </w:rPr>
        <w:t xml:space="preserve">UBE3A-ATS secondary structure predictions (stem-loop motifs, regulatory RNA elements)</w:t>
      </w:r>
    </w:p>
    <w:p>
      <w:pPr>
        <w:pStyle w:val="ListParagraph"/>
        <w:numPr>
          <w:ilvl w:val="0"/>
          <w:numId w:val="2"/>
        </w:numPr>
        <w:spacing w:after="100" w:line="360"/>
      </w:pPr>
      <w:r>
        <w:rPr>
          <w:rFonts w:ascii="Arial" w:cs="Arial" w:eastAsia="Arial" w:hAnsi="Arial"/>
          <w:sz w:val="24"/>
          <w:szCs w:val="24"/>
        </w:rPr>
        <w:t xml:space="preserve">Tissue-specific UBE3A-ATS expression profile (brain regions, developmental stages)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Genomic locus diagram + imprinting track visualization + DNA methylation heatmap + secondary structure models + expression profile graph</w:t>
      </w:r>
    </w:p>
    <w:p>
      <w:pPr>
        <w:pStyle w:val="Heading2"/>
        <w:spacing w:after="200" w:before="200" w:line="360"/>
      </w:pPr>
      <w:r>
        <w:rPr>
          <w:rFonts w:ascii="Arial" w:cs="Arial" w:eastAsia="Arial" w:hAnsi="Arial"/>
          <w:b/>
          <w:bCs/>
          <w:sz w:val="28"/>
          <w:szCs w:val="28"/>
        </w:rPr>
        <w:t xml:space="preserve">Stage 2: UBE3A-ATS ASO Design &amp; Target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ASOs targeting UBE3A-ATS to prevent paternal UBE3A silencing and allow protein expression without off-target effects.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Full-length UBE3A-ATS sequence and exon-intron boundaries</w:t>
      </w:r>
    </w:p>
    <w:p>
      <w:pPr>
        <w:pStyle w:val="ListParagraph"/>
        <w:numPr>
          <w:ilvl w:val="0"/>
          <w:numId w:val="2"/>
        </w:numPr>
        <w:spacing w:after="100" w:line="360"/>
      </w:pPr>
      <w:r>
        <w:rPr>
          <w:rFonts w:ascii="Arial" w:cs="Arial" w:eastAsia="Arial" w:hAnsi="Arial"/>
          <w:sz w:val="24"/>
          <w:szCs w:val="24"/>
        </w:rPr>
        <w:t xml:space="preserve">Alternative UBE3A-ATS isoforms and tissue-specific variants</w:t>
      </w:r>
    </w:p>
    <w:p>
      <w:pPr>
        <w:pStyle w:val="ListParagraph"/>
        <w:numPr>
          <w:ilvl w:val="0"/>
          <w:numId w:val="2"/>
        </w:numPr>
        <w:spacing w:after="100" w:line="360"/>
      </w:pPr>
      <w:r>
        <w:rPr>
          <w:rFonts w:ascii="Arial" w:cs="Arial" w:eastAsia="Arial" w:hAnsi="Arial"/>
          <w:sz w:val="24"/>
          <w:szCs w:val="24"/>
        </w:rPr>
        <w:t xml:space="preserve">Genomic sequences of nearby imprinted genes (SNRPN, SNURF, PCHD15, GABRA5) to avoid cross-silencing</w:t>
      </w:r>
    </w:p>
    <w:p>
      <w:pPr>
        <w:pStyle w:val="ListParagraph"/>
        <w:numPr>
          <w:ilvl w:val="0"/>
          <w:numId w:val="2"/>
        </w:numPr>
        <w:spacing w:after="100" w:line="360"/>
      </w:pPr>
      <w:r>
        <w:rPr>
          <w:rFonts w:ascii="Arial" w:cs="Arial" w:eastAsia="Arial" w:hAnsi="Arial"/>
          <w:sz w:val="24"/>
          <w:szCs w:val="24"/>
        </w:rPr>
        <w:t xml:space="preserve">MeCP2 and PRC2 binding sites on paternal allele (predicted and observed)</w:t>
      </w:r>
    </w:p>
    <w:p>
      <w:pPr>
        <w:pStyle w:val="ListParagraph"/>
        <w:numPr>
          <w:ilvl w:val="0"/>
          <w:numId w:val="2"/>
        </w:numPr>
        <w:spacing w:after="100" w:line="360"/>
      </w:pPr>
      <w:r>
        <w:rPr>
          <w:rFonts w:ascii="Arial" w:cs="Arial" w:eastAsia="Arial" w:hAnsi="Arial"/>
          <w:sz w:val="24"/>
          <w:szCs w:val="24"/>
        </w:rPr>
        <w:t xml:space="preserve">ASO design constraints: 18–30 nt, minimal off-targets to imprinted gene cluster</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Geneious Pro (UBE3A-ATS sequence alignment, exon conservation, thermodynamic design)</w:t>
      </w:r>
    </w:p>
    <w:p>
      <w:pPr>
        <w:pStyle w:val="ListParagraph"/>
        <w:numPr>
          <w:ilvl w:val="0"/>
          <w:numId w:val="2"/>
        </w:numPr>
        <w:spacing w:after="100" w:line="360"/>
      </w:pPr>
      <w:r>
        <w:rPr>
          <w:rFonts w:ascii="Arial" w:cs="Arial" w:eastAsia="Arial" w:hAnsi="Arial"/>
          <w:sz w:val="24"/>
          <w:szCs w:val="24"/>
        </w:rPr>
        <w:t xml:space="preserve">BLAST-N against imprinted gene cluster (specificity screening)</w:t>
      </w:r>
    </w:p>
    <w:p>
      <w:pPr>
        <w:pStyle w:val="ListParagraph"/>
        <w:numPr>
          <w:ilvl w:val="0"/>
          <w:numId w:val="2"/>
        </w:numPr>
        <w:spacing w:after="100" w:line="360"/>
      </w:pPr>
      <w:r>
        <w:rPr>
          <w:rFonts w:ascii="Arial" w:cs="Arial" w:eastAsia="Arial" w:hAnsi="Arial"/>
          <w:sz w:val="24"/>
          <w:szCs w:val="24"/>
        </w:rPr>
        <w:t xml:space="preserve">ViennaRNA (UBE3A-ATS secondary structure, ASO accessibility prediction)</w:t>
      </w:r>
    </w:p>
    <w:p>
      <w:pPr>
        <w:pStyle w:val="ListParagraph"/>
        <w:numPr>
          <w:ilvl w:val="0"/>
          <w:numId w:val="2"/>
        </w:numPr>
        <w:spacing w:after="100" w:line="360"/>
      </w:pPr>
      <w:r>
        <w:rPr>
          <w:rFonts w:ascii="Arial" w:cs="Arial" w:eastAsia="Arial" w:hAnsi="Arial"/>
          <w:sz w:val="24"/>
          <w:szCs w:val="24"/>
        </w:rPr>
        <w:t xml:space="preserve">MaxEnt splice site and regulatory motif predictor (exon junction targeting)</w:t>
      </w:r>
    </w:p>
    <w:p>
      <w:pPr>
        <w:pStyle w:val="ListParagraph"/>
        <w:numPr>
          <w:ilvl w:val="0"/>
          <w:numId w:val="2"/>
        </w:numPr>
        <w:spacing w:after="100" w:line="360"/>
      </w:pPr>
      <w:r>
        <w:rPr>
          <w:rFonts w:ascii="Arial" w:cs="Arial" w:eastAsia="Arial" w:hAnsi="Arial"/>
          <w:sz w:val="24"/>
          <w:szCs w:val="24"/>
        </w:rPr>
        <w:t xml:space="preserve">Custom UBE3A-ATS knockdown efficacy predictor (RNase H recruitment score)</w:t>
      </w:r>
    </w:p>
    <w:p>
      <w:pPr>
        <w:pStyle w:val="ListParagraph"/>
        <w:numPr>
          <w:ilvl w:val="0"/>
          <w:numId w:val="2"/>
        </w:numPr>
        <w:spacing w:after="100" w:line="360"/>
      </w:pPr>
      <w:r>
        <w:rPr>
          <w:rFonts w:ascii="Arial" w:cs="Arial" w:eastAsia="Arial" w:hAnsi="Arial"/>
          <w:sz w:val="24"/>
          <w:szCs w:val="24"/>
        </w:rPr>
        <w:t xml:space="preserve">Epigenetic target effect predictor (impact on paternal UBE3A chromatin state)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5 ASO candidates targeting UBE3A-ATS exons 1–3 (early exons to prevent transcript elongation).</w:t>
      </w:r>
    </w:p>
    <w:p>
      <w:pPr>
        <w:pStyle w:val="ListParagraph"/>
        <w:numPr>
          <w:ilvl w:val="0"/>
          <w:numId w:val="2"/>
        </w:numPr>
        <w:spacing w:after="100" w:line="360"/>
      </w:pPr>
      <w:r>
        <w:rPr>
          <w:rFonts w:ascii="Arial" w:cs="Arial" w:eastAsia="Arial" w:hAnsi="Arial"/>
          <w:sz w:val="24"/>
          <w:szCs w:val="24"/>
        </w:rPr>
        <w:t xml:space="preserve">Predict RNase H recruitment efficiency for each ASO based on RNA secondary structure accessibility.</w:t>
      </w:r>
    </w:p>
    <w:p>
      <w:pPr>
        <w:pStyle w:val="ListParagraph"/>
        <w:numPr>
          <w:ilvl w:val="0"/>
          <w:numId w:val="2"/>
        </w:numPr>
        <w:spacing w:after="100" w:line="360"/>
      </w:pPr>
      <w:r>
        <w:rPr>
          <w:rFonts w:ascii="Arial" w:cs="Arial" w:eastAsia="Arial" w:hAnsi="Arial"/>
          <w:sz w:val="24"/>
          <w:szCs w:val="24"/>
        </w:rPr>
        <w:t xml:space="preserve">Screen each ASO for off-target binding to SNRPN, SNURF, PCHD15, GABRA5 exons (tolerance: ≤2 mismatches).</w:t>
      </w:r>
    </w:p>
    <w:p>
      <w:pPr>
        <w:pStyle w:val="ListParagraph"/>
        <w:numPr>
          <w:ilvl w:val="0"/>
          <w:numId w:val="2"/>
        </w:numPr>
        <w:spacing w:after="100" w:line="360"/>
      </w:pPr>
      <w:r>
        <w:rPr>
          <w:rFonts w:ascii="Arial" w:cs="Arial" w:eastAsia="Arial" w:hAnsi="Arial"/>
          <w:sz w:val="24"/>
          <w:szCs w:val="24"/>
        </w:rPr>
        <w:t xml:space="preserve">Estimate the effect of UBE3A-ATS knockdown on paternal UBE3A repression release (mechanism: R-loop formation, DNA accessibility).</w:t>
      </w:r>
    </w:p>
    <w:p>
      <w:pPr>
        <w:pStyle w:val="ListParagraph"/>
        <w:numPr>
          <w:ilvl w:val="0"/>
          <w:numId w:val="2"/>
        </w:numPr>
        <w:spacing w:after="100" w:line="360"/>
      </w:pPr>
      <w:r>
        <w:rPr>
          <w:rFonts w:ascii="Arial" w:cs="Arial" w:eastAsia="Arial" w:hAnsi="Arial"/>
          <w:sz w:val="24"/>
          <w:szCs w:val="24"/>
        </w:rPr>
        <w:t xml:space="preserve">Model the kinetics of UBE3A-ATS elimination and predicted half-life of paternal UBE3A silencing marker (DNA methylation).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Ranked ASO candidate sequences (5 prioritized by efficacy and specificity)</w:t>
      </w:r>
    </w:p>
    <w:p>
      <w:pPr>
        <w:pStyle w:val="ListParagraph"/>
        <w:numPr>
          <w:ilvl w:val="0"/>
          <w:numId w:val="2"/>
        </w:numPr>
        <w:spacing w:after="100" w:line="360"/>
      </w:pPr>
      <w:r>
        <w:rPr>
          <w:rFonts w:ascii="Arial" w:cs="Arial" w:eastAsia="Arial" w:hAnsi="Arial"/>
          <w:sz w:val="24"/>
          <w:szCs w:val="24"/>
        </w:rPr>
        <w:t xml:space="preserve">UBE3A-ATS secondary structure maps with ASO binding sites highlighted</w:t>
      </w:r>
    </w:p>
    <w:p>
      <w:pPr>
        <w:pStyle w:val="ListParagraph"/>
        <w:numPr>
          <w:ilvl w:val="0"/>
          <w:numId w:val="2"/>
        </w:numPr>
        <w:spacing w:after="100" w:line="360"/>
      </w:pPr>
      <w:r>
        <w:rPr>
          <w:rFonts w:ascii="Arial" w:cs="Arial" w:eastAsia="Arial" w:hAnsi="Arial"/>
          <w:sz w:val="24"/>
          <w:szCs w:val="24"/>
        </w:rPr>
        <w:t xml:space="preserve">Off-target analysis against imprinted gene cluster (sequence alignment, mismatch counts)</w:t>
      </w:r>
    </w:p>
    <w:p>
      <w:pPr>
        <w:pStyle w:val="ListParagraph"/>
        <w:numPr>
          <w:ilvl w:val="0"/>
          <w:numId w:val="2"/>
        </w:numPr>
        <w:spacing w:after="100" w:line="360"/>
      </w:pPr>
      <w:r>
        <w:rPr>
          <w:rFonts w:ascii="Arial" w:cs="Arial" w:eastAsia="Arial" w:hAnsi="Arial"/>
          <w:sz w:val="24"/>
          <w:szCs w:val="24"/>
        </w:rPr>
        <w:t xml:space="preserve">RNase H cleavage efficiency predictions per ASO candidate</w:t>
      </w:r>
    </w:p>
    <w:p>
      <w:pPr>
        <w:pStyle w:val="ListParagraph"/>
        <w:numPr>
          <w:ilvl w:val="0"/>
          <w:numId w:val="2"/>
        </w:numPr>
        <w:spacing w:after="100" w:line="360"/>
      </w:pPr>
      <w:r>
        <w:rPr>
          <w:rFonts w:ascii="Arial" w:cs="Arial" w:eastAsia="Arial" w:hAnsi="Arial"/>
          <w:sz w:val="24"/>
          <w:szCs w:val="24"/>
        </w:rPr>
        <w:t xml:space="preserve">Expected knockdown kinetics (time to 50%, 80% UBE3A-ATS reduction)</w:t>
      </w:r>
    </w:p>
    <w:p>
      <w:pPr>
        <w:pStyle w:val="ListParagraph"/>
        <w:numPr>
          <w:ilvl w:val="0"/>
          <w:numId w:val="2"/>
        </w:numPr>
        <w:spacing w:after="100" w:line="360"/>
      </w:pPr>
      <w:r>
        <w:rPr>
          <w:rFonts w:ascii="Arial" w:cs="Arial" w:eastAsia="Arial" w:hAnsi="Arial"/>
          <w:sz w:val="24"/>
          <w:szCs w:val="24"/>
        </w:rPr>
        <w:t xml:space="preserve">Predicted paternal UBE3A expression recovery mechanism and timeline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ASO sequence list + secondary structure diagrams + off-target alignment table + cleavage efficiency scores + mechanistic prediction summary</w:t>
      </w:r>
    </w:p>
    <w:p>
      <w:pPr>
        <w:pStyle w:val="Heading2"/>
        <w:spacing w:after="200" w:before="200" w:line="360"/>
      </w:pPr>
      <w:r>
        <w:rPr>
          <w:rFonts w:ascii="Arial" w:cs="Arial" w:eastAsia="Arial" w:hAnsi="Arial"/>
          <w:b/>
          <w:bCs/>
          <w:sz w:val="28"/>
          <w:szCs w:val="28"/>
        </w:rPr>
        <w:t xml:space="preserve">Stage 3: Chemical Modification &amp; Neuronal CNS Delivery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Optimize chemical modifications for neuronal uptake and brain penetration while avoiding innate immune activation in CNS.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 UBE3A-ATS-targeting ASO leads</w:t>
      </w:r>
    </w:p>
    <w:p>
      <w:pPr>
        <w:pStyle w:val="ListParagraph"/>
        <w:numPr>
          <w:ilvl w:val="0"/>
          <w:numId w:val="2"/>
        </w:numPr>
        <w:spacing w:after="100" w:line="360"/>
      </w:pPr>
      <w:r>
        <w:rPr>
          <w:rFonts w:ascii="Arial" w:cs="Arial" w:eastAsia="Arial" w:hAnsi="Arial"/>
          <w:sz w:val="24"/>
          <w:szCs w:val="24"/>
        </w:rPr>
        <w:t xml:space="preserve">Target tissue: brain (hippocampus, prefrontal cortex critical for cognition)</w:t>
      </w:r>
    </w:p>
    <w:p>
      <w:pPr>
        <w:pStyle w:val="ListParagraph"/>
        <w:numPr>
          <w:ilvl w:val="0"/>
          <w:numId w:val="2"/>
        </w:numPr>
        <w:spacing w:after="100" w:line="360"/>
      </w:pPr>
      <w:r>
        <w:rPr>
          <w:rFonts w:ascii="Arial" w:cs="Arial" w:eastAsia="Arial" w:hAnsi="Arial"/>
          <w:sz w:val="24"/>
          <w:szCs w:val="24"/>
        </w:rPr>
        <w:t xml:space="preserve">Neuronal uptake mechanisms: dynamin-dependent endocytosis, heparan sulfate HSPG, SR-BI</w:t>
      </w:r>
    </w:p>
    <w:p>
      <w:pPr>
        <w:pStyle w:val="ListParagraph"/>
        <w:numPr>
          <w:ilvl w:val="0"/>
          <w:numId w:val="2"/>
        </w:numPr>
        <w:spacing w:after="100" w:line="360"/>
      </w:pPr>
      <w:r>
        <w:rPr>
          <w:rFonts w:ascii="Arial" w:cs="Arial" w:eastAsia="Arial" w:hAnsi="Arial"/>
          <w:sz w:val="24"/>
          <w:szCs w:val="24"/>
        </w:rPr>
        <w:t xml:space="preserve">BBB penetration requirements and delivery vehicle options (ICV, intrathecal, AAV-ASO hybrid)</w:t>
      </w:r>
    </w:p>
    <w:p>
      <w:pPr>
        <w:pStyle w:val="ListParagraph"/>
        <w:numPr>
          <w:ilvl w:val="0"/>
          <w:numId w:val="2"/>
        </w:numPr>
        <w:spacing w:after="100" w:line="360"/>
      </w:pPr>
      <w:r>
        <w:rPr>
          <w:rFonts w:ascii="Arial" w:cs="Arial" w:eastAsia="Arial" w:hAnsi="Arial"/>
          <w:sz w:val="24"/>
          <w:szCs w:val="24"/>
        </w:rPr>
        <w:t xml:space="preserve">Innate immunity tolerance thresholds in CNS (TLR tolerance, microglial activation risk)</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ISODESIGN chemical modification engine (optimization for neuronal internalization)</w:t>
      </w:r>
    </w:p>
    <w:p>
      <w:pPr>
        <w:pStyle w:val="ListParagraph"/>
        <w:numPr>
          <w:ilvl w:val="0"/>
          <w:numId w:val="2"/>
        </w:numPr>
        <w:spacing w:after="100" w:line="360"/>
      </w:pPr>
      <w:r>
        <w:rPr>
          <w:rFonts w:ascii="Arial" w:cs="Arial" w:eastAsia="Arial" w:hAnsi="Arial"/>
          <w:sz w:val="24"/>
          <w:szCs w:val="24"/>
        </w:rPr>
        <w:t xml:space="preserve">LogP/charge state predictor (BBB penetration for modified ASOs)</w:t>
      </w:r>
    </w:p>
    <w:p>
      <w:pPr>
        <w:pStyle w:val="ListParagraph"/>
        <w:numPr>
          <w:ilvl w:val="0"/>
          <w:numId w:val="2"/>
        </w:numPr>
        <w:spacing w:after="100" w:line="360"/>
      </w:pPr>
      <w:r>
        <w:rPr>
          <w:rFonts w:ascii="Arial" w:cs="Arial" w:eastAsia="Arial" w:hAnsi="Arial"/>
          <w:sz w:val="24"/>
          <w:szCs w:val="24"/>
        </w:rPr>
        <w:t xml:space="preserve">Cell-penetrating peptide library screening (conjugation strategies for neuronal uptake)</w:t>
      </w:r>
    </w:p>
    <w:p>
      <w:pPr>
        <w:pStyle w:val="ListParagraph"/>
        <w:numPr>
          <w:ilvl w:val="0"/>
          <w:numId w:val="2"/>
        </w:numPr>
        <w:spacing w:after="100" w:line="360"/>
      </w:pPr>
      <w:r>
        <w:rPr>
          <w:rFonts w:ascii="Arial" w:cs="Arial" w:eastAsia="Arial" w:hAnsi="Arial"/>
          <w:sz w:val="24"/>
          <w:szCs w:val="24"/>
        </w:rPr>
        <w:t xml:space="preserve">Neuroinflammatory cytokine predictor (modified ASO immune fingerprint in microglia)</w:t>
      </w:r>
    </w:p>
    <w:p>
      <w:pPr>
        <w:pStyle w:val="ListParagraph"/>
        <w:numPr>
          <w:ilvl w:val="0"/>
          <w:numId w:val="2"/>
        </w:numPr>
        <w:spacing w:after="100" w:line="360"/>
      </w:pPr>
      <w:r>
        <w:rPr>
          <w:rFonts w:ascii="Arial" w:cs="Arial" w:eastAsia="Arial" w:hAnsi="Arial"/>
          <w:sz w:val="24"/>
          <w:szCs w:val="24"/>
        </w:rPr>
        <w:t xml:space="preserve">RNase H activity vs. chemical modification trade-off analyzer</w:t>
      </w:r>
    </w:p>
    <w:p>
      <w:pPr>
        <w:pStyle w:val="ListParagraph"/>
        <w:numPr>
          <w:ilvl w:val="0"/>
          <w:numId w:val="2"/>
        </w:numPr>
        <w:spacing w:after="100" w:line="360"/>
      </w:pPr>
      <w:r>
        <w:rPr>
          <w:rFonts w:ascii="Arial" w:cs="Arial" w:eastAsia="Arial" w:hAnsi="Arial"/>
          <w:sz w:val="24"/>
          <w:szCs w:val="24"/>
        </w:rPr>
        <w:t xml:space="preserve">CSF half-life predictor (modified ASO stability in CNS microenvironment)</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a modified ASO (2'MOE + PS + LNA) that optimizes RNase H activity while minimizing TLR3/7 recognition.</w:t>
      </w:r>
    </w:p>
    <w:p>
      <w:pPr>
        <w:pStyle w:val="ListParagraph"/>
        <w:numPr>
          <w:ilvl w:val="0"/>
          <w:numId w:val="2"/>
        </w:numPr>
        <w:spacing w:after="100" w:line="360"/>
      </w:pPr>
      <w:r>
        <w:rPr>
          <w:rFonts w:ascii="Arial" w:cs="Arial" w:eastAsia="Arial" w:hAnsi="Arial"/>
          <w:sz w:val="24"/>
          <w:szCs w:val="24"/>
        </w:rPr>
        <w:t xml:space="preserve">Propose a cell-penetrating peptide conjugate (e.g., arginine-rich, TAT-like peptide) to enhance neuronal internalization.</w:t>
      </w:r>
    </w:p>
    <w:p>
      <w:pPr>
        <w:pStyle w:val="ListParagraph"/>
        <w:numPr>
          <w:ilvl w:val="0"/>
          <w:numId w:val="2"/>
        </w:numPr>
        <w:spacing w:after="100" w:line="360"/>
      </w:pPr>
      <w:r>
        <w:rPr>
          <w:rFonts w:ascii="Arial" w:cs="Arial" w:eastAsia="Arial" w:hAnsi="Arial"/>
          <w:sz w:val="24"/>
          <w:szCs w:val="24"/>
        </w:rPr>
        <w:t xml:space="preserve">Predict BBB penetration efficiency with and without CPP conjugation; target brain/plasma ratio &gt;0.5.</w:t>
      </w:r>
    </w:p>
    <w:p>
      <w:pPr>
        <w:pStyle w:val="ListParagraph"/>
        <w:numPr>
          <w:ilvl w:val="0"/>
          <w:numId w:val="2"/>
        </w:numPr>
        <w:spacing w:after="100" w:line="360"/>
      </w:pPr>
      <w:r>
        <w:rPr>
          <w:rFonts w:ascii="Arial" w:cs="Arial" w:eastAsia="Arial" w:hAnsi="Arial"/>
          <w:sz w:val="24"/>
          <w:szCs w:val="24"/>
        </w:rPr>
        <w:t xml:space="preserve">Model microglial inflammatory activation profile (TNFα, IL-6, NO production) for ASO vs. modified ASO.</w:t>
      </w:r>
    </w:p>
    <w:p>
      <w:pPr>
        <w:pStyle w:val="ListParagraph"/>
        <w:numPr>
          <w:ilvl w:val="0"/>
          <w:numId w:val="2"/>
        </w:numPr>
        <w:spacing w:after="100" w:line="360"/>
      </w:pPr>
      <w:r>
        <w:rPr>
          <w:rFonts w:ascii="Arial" w:cs="Arial" w:eastAsia="Arial" w:hAnsi="Arial"/>
          <w:sz w:val="24"/>
          <w:szCs w:val="24"/>
        </w:rPr>
        <w:t xml:space="preserve">Estimate CNS distribution and hippocampal/cortical retention time (target &gt;5 days for therapeutic window).</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Optimized ASO with full chemical modification annotation (2'MOE positions, PS linkages, LNA distribution)</w:t>
      </w:r>
    </w:p>
    <w:p>
      <w:pPr>
        <w:pStyle w:val="ListParagraph"/>
        <w:numPr>
          <w:ilvl w:val="0"/>
          <w:numId w:val="2"/>
        </w:numPr>
        <w:spacing w:after="100" w:line="360"/>
      </w:pPr>
      <w:r>
        <w:rPr>
          <w:rFonts w:ascii="Arial" w:cs="Arial" w:eastAsia="Arial" w:hAnsi="Arial"/>
          <w:sz w:val="24"/>
          <w:szCs w:val="24"/>
        </w:rPr>
        <w:t xml:space="preserve">BBB penetration efficiency score and predicted brain tissue accumulation</w:t>
      </w:r>
    </w:p>
    <w:p>
      <w:pPr>
        <w:pStyle w:val="ListParagraph"/>
        <w:numPr>
          <w:ilvl w:val="0"/>
          <w:numId w:val="2"/>
        </w:numPr>
        <w:spacing w:after="100" w:line="360"/>
      </w:pPr>
      <w:r>
        <w:rPr>
          <w:rFonts w:ascii="Arial" w:cs="Arial" w:eastAsia="Arial" w:hAnsi="Arial"/>
          <w:sz w:val="24"/>
          <w:szCs w:val="24"/>
        </w:rPr>
        <w:t xml:space="preserve">Cell-penetrating peptide conjugation strategy and predicted neuronal uptake enhancement</w:t>
      </w:r>
    </w:p>
    <w:p>
      <w:pPr>
        <w:pStyle w:val="ListParagraph"/>
        <w:numPr>
          <w:ilvl w:val="0"/>
          <w:numId w:val="2"/>
        </w:numPr>
        <w:spacing w:after="100" w:line="360"/>
      </w:pPr>
      <w:r>
        <w:rPr>
          <w:rFonts w:ascii="Arial" w:cs="Arial" w:eastAsia="Arial" w:hAnsi="Arial"/>
          <w:sz w:val="24"/>
          <w:szCs w:val="24"/>
        </w:rPr>
        <w:t xml:space="preserve">Immune activation profile (TNFα, IL-6, IFNγ prediction per modification scheme)</w:t>
      </w:r>
    </w:p>
    <w:p>
      <w:pPr>
        <w:pStyle w:val="ListParagraph"/>
        <w:numPr>
          <w:ilvl w:val="0"/>
          <w:numId w:val="2"/>
        </w:numPr>
        <w:spacing w:after="100" w:line="360"/>
      </w:pPr>
      <w:r>
        <w:rPr>
          <w:rFonts w:ascii="Arial" w:cs="Arial" w:eastAsia="Arial" w:hAnsi="Arial"/>
          <w:sz w:val="24"/>
          <w:szCs w:val="24"/>
        </w:rPr>
        <w:t xml:space="preserve">RNase H cleavage efficiency for modified ASO (normalized to unmodified control)</w:t>
      </w:r>
    </w:p>
    <w:p>
      <w:pPr>
        <w:pStyle w:val="ListParagraph"/>
        <w:numPr>
          <w:ilvl w:val="0"/>
          <w:numId w:val="2"/>
        </w:numPr>
        <w:spacing w:after="100" w:line="360"/>
      </w:pPr>
      <w:r>
        <w:rPr>
          <w:rFonts w:ascii="Arial" w:cs="Arial" w:eastAsia="Arial" w:hAnsi="Arial"/>
          <w:sz w:val="24"/>
          <w:szCs w:val="24"/>
        </w:rPr>
        <w:t xml:space="preserve">Recommended formulation and delivery approach (route, dosing frequency, monitoring plan)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Modified ASO sequence notation + pharmacokinetic prediction profiles + immunogenicity risk assessment + delivery efficiency matrix</w:t>
      </w:r>
    </w:p>
    <w:p>
      <w:pPr>
        <w:pStyle w:val="Heading2"/>
        <w:spacing w:after="200" w:before="200" w:line="360"/>
      </w:pPr>
      <w:r>
        <w:rPr>
          <w:rFonts w:ascii="Arial" w:cs="Arial" w:eastAsia="Arial" w:hAnsi="Arial"/>
          <w:b/>
          <w:bCs/>
          <w:sz w:val="28"/>
          <w:szCs w:val="28"/>
        </w:rPr>
        <w:t xml:space="preserve">Stage 4: Ex Vivo Paternal Allele Derepression Validation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Validate ASO-mediated reactivation of paternal UBE3A expression in patient-derived cells and Angelman syndrome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Angelman syndrome patient fibroblasts and iPS cells (genotype: maternal UBE3A deletion or paternal silencing)</w:t>
      </w:r>
    </w:p>
    <w:p>
      <w:pPr>
        <w:pStyle w:val="ListParagraph"/>
        <w:numPr>
          <w:ilvl w:val="0"/>
          <w:numId w:val="2"/>
        </w:numPr>
        <w:spacing w:after="100" w:line="360"/>
      </w:pPr>
      <w:r>
        <w:rPr>
          <w:rFonts w:ascii="Arial" w:cs="Arial" w:eastAsia="Arial" w:hAnsi="Arial"/>
          <w:sz w:val="24"/>
          <w:szCs w:val="24"/>
        </w:rPr>
        <w:t xml:space="preserve">Wild-type control cells (with normal imprinting and paternal UBE3A silencing for comparison)</w:t>
      </w:r>
    </w:p>
    <w:p>
      <w:pPr>
        <w:pStyle w:val="ListParagraph"/>
        <w:numPr>
          <w:ilvl w:val="0"/>
          <w:numId w:val="2"/>
        </w:numPr>
        <w:spacing w:after="100" w:line="360"/>
      </w:pPr>
      <w:r>
        <w:rPr>
          <w:rFonts w:ascii="Arial" w:cs="Arial" w:eastAsia="Arial" w:hAnsi="Arial"/>
          <w:sz w:val="24"/>
          <w:szCs w:val="24"/>
        </w:rPr>
        <w:t xml:space="preserve">UBE3A protein expression baseline (very low in patient cells, normal in controls)</w:t>
      </w:r>
    </w:p>
    <w:p>
      <w:pPr>
        <w:pStyle w:val="ListParagraph"/>
        <w:numPr>
          <w:ilvl w:val="0"/>
          <w:numId w:val="2"/>
        </w:numPr>
        <w:spacing w:after="100" w:line="360"/>
      </w:pPr>
      <w:r>
        <w:rPr>
          <w:rFonts w:ascii="Arial" w:cs="Arial" w:eastAsia="Arial" w:hAnsi="Arial"/>
          <w:sz w:val="24"/>
          <w:szCs w:val="24"/>
        </w:rPr>
        <w:t xml:space="preserve">E6-AP substrate assays (UBE3A enzymatic activity measurement)</w:t>
      </w:r>
    </w:p>
    <w:p>
      <w:pPr>
        <w:pStyle w:val="ListParagraph"/>
        <w:numPr>
          <w:ilvl w:val="0"/>
          <w:numId w:val="2"/>
        </w:numPr>
        <w:spacing w:after="100" w:line="360"/>
      </w:pPr>
      <w:r>
        <w:rPr>
          <w:rFonts w:ascii="Arial" w:cs="Arial" w:eastAsia="Arial" w:hAnsi="Arial"/>
          <w:sz w:val="24"/>
          <w:szCs w:val="24"/>
        </w:rPr>
        <w:t xml:space="preserve">Methylation status of imprinting control region (should remain stable after ASO treatment)</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Digital droplet PCR (paternal vs. maternal UBE3A allele-specific quantification)</w:t>
      </w:r>
    </w:p>
    <w:p>
      <w:pPr>
        <w:pStyle w:val="ListParagraph"/>
        <w:numPr>
          <w:ilvl w:val="0"/>
          <w:numId w:val="2"/>
        </w:numPr>
        <w:spacing w:after="100" w:line="360"/>
      </w:pPr>
      <w:r>
        <w:rPr>
          <w:rFonts w:ascii="Arial" w:cs="Arial" w:eastAsia="Arial" w:hAnsi="Arial"/>
          <w:sz w:val="24"/>
          <w:szCs w:val="24"/>
        </w:rPr>
        <w:t xml:space="preserve">RNA-seq with allele-specific read counting (long-range informatics for haplotype assignment)</w:t>
      </w:r>
    </w:p>
    <w:p>
      <w:pPr>
        <w:pStyle w:val="ListParagraph"/>
        <w:numPr>
          <w:ilvl w:val="0"/>
          <w:numId w:val="2"/>
        </w:numPr>
        <w:spacing w:after="100" w:line="360"/>
      </w:pPr>
      <w:r>
        <w:rPr>
          <w:rFonts w:ascii="Arial" w:cs="Arial" w:eastAsia="Arial" w:hAnsi="Arial"/>
          <w:sz w:val="24"/>
          <w:szCs w:val="24"/>
        </w:rPr>
        <w:t xml:space="preserve">UBE3A protein quantification (Western blot, immunofluorescence, flow cytometry)</w:t>
      </w:r>
    </w:p>
    <w:p>
      <w:pPr>
        <w:pStyle w:val="ListParagraph"/>
        <w:numPr>
          <w:ilvl w:val="0"/>
          <w:numId w:val="2"/>
        </w:numPr>
        <w:spacing w:after="100" w:line="360"/>
      </w:pPr>
      <w:r>
        <w:rPr>
          <w:rFonts w:ascii="Arial" w:cs="Arial" w:eastAsia="Arial" w:hAnsi="Arial"/>
          <w:sz w:val="24"/>
          <w:szCs w:val="24"/>
        </w:rPr>
        <w:t xml:space="preserve">E6-AP enzymatic assay (ubiquitination of test substrates, activity quantification)</w:t>
      </w:r>
    </w:p>
    <w:p>
      <w:pPr>
        <w:pStyle w:val="ListParagraph"/>
        <w:numPr>
          <w:ilvl w:val="0"/>
          <w:numId w:val="2"/>
        </w:numPr>
        <w:spacing w:after="100" w:line="360"/>
      </w:pPr>
      <w:r>
        <w:rPr>
          <w:rFonts w:ascii="Arial" w:cs="Arial" w:eastAsia="Arial" w:hAnsi="Arial"/>
          <w:sz w:val="24"/>
          <w:szCs w:val="24"/>
        </w:rPr>
        <w:t xml:space="preserve">Bisulfite sequencing (methylation status of imprinting control region post-ASO treatment)</w:t>
      </w:r>
    </w:p>
    <w:p>
      <w:pPr>
        <w:pStyle w:val="ListParagraph"/>
        <w:numPr>
          <w:ilvl w:val="0"/>
          <w:numId w:val="2"/>
        </w:numPr>
        <w:spacing w:after="100" w:line="360"/>
      </w:pPr>
      <w:r>
        <w:rPr>
          <w:rFonts w:ascii="Arial" w:cs="Arial" w:eastAsia="Arial" w:hAnsi="Arial"/>
          <w:sz w:val="24"/>
          <w:szCs w:val="24"/>
        </w:rPr>
        <w:t xml:space="preserve">Yeast-two-hybrid or co-IP (substrate binding and interactions)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paternal vs. maternal UBE3A mRNA levels in patient fibroblasts ± ASO; quantify paternal allele reactivation.</w:t>
      </w:r>
    </w:p>
    <w:p>
      <w:pPr>
        <w:pStyle w:val="ListParagraph"/>
        <w:numPr>
          <w:ilvl w:val="0"/>
          <w:numId w:val="2"/>
        </w:numPr>
        <w:spacing w:after="100" w:line="360"/>
      </w:pPr>
      <w:r>
        <w:rPr>
          <w:rFonts w:ascii="Arial" w:cs="Arial" w:eastAsia="Arial" w:hAnsi="Arial"/>
          <w:sz w:val="24"/>
          <w:szCs w:val="24"/>
        </w:rPr>
        <w:t xml:space="preserve">Assess UBE3A protein expression (Western, immunofluorescence) in treated vs. untreated Angelman patient cells.</w:t>
      </w:r>
    </w:p>
    <w:p>
      <w:pPr>
        <w:pStyle w:val="ListParagraph"/>
        <w:numPr>
          <w:ilvl w:val="0"/>
          <w:numId w:val="2"/>
        </w:numPr>
        <w:spacing w:after="100" w:line="360"/>
      </w:pPr>
      <w:r>
        <w:rPr>
          <w:rFonts w:ascii="Arial" w:cs="Arial" w:eastAsia="Arial" w:hAnsi="Arial"/>
          <w:sz w:val="24"/>
          <w:szCs w:val="24"/>
        </w:rPr>
        <w:t xml:space="preserve">Perform E6-AP enzymatic activity assay on cell lysates; predict functional recovery of ubiquitination capacity.</w:t>
      </w:r>
    </w:p>
    <w:p>
      <w:pPr>
        <w:pStyle w:val="ListParagraph"/>
        <w:numPr>
          <w:ilvl w:val="0"/>
          <w:numId w:val="2"/>
        </w:numPr>
        <w:spacing w:after="100" w:line="360"/>
      </w:pPr>
      <w:r>
        <w:rPr>
          <w:rFonts w:ascii="Arial" w:cs="Arial" w:eastAsia="Arial" w:hAnsi="Arial"/>
          <w:sz w:val="24"/>
          <w:szCs w:val="24"/>
        </w:rPr>
        <w:t xml:space="preserve">Verify that imprinting control region DNA methylation patterns remain normal after ASO treatment (no aberrant epigenetic changes).</w:t>
      </w:r>
    </w:p>
    <w:p>
      <w:pPr>
        <w:pStyle w:val="ListParagraph"/>
        <w:numPr>
          <w:ilvl w:val="0"/>
          <w:numId w:val="2"/>
        </w:numPr>
        <w:spacing w:after="100" w:line="360"/>
      </w:pPr>
      <w:r>
        <w:rPr>
          <w:rFonts w:ascii="Arial" w:cs="Arial" w:eastAsia="Arial" w:hAnsi="Arial"/>
          <w:sz w:val="24"/>
          <w:szCs w:val="24"/>
        </w:rPr>
        <w:t xml:space="preserve">Conduct RNA-seq with allele-specific analysis to detect transcriptome-wide effects of paternal UBE3A reactivation.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Paternal UBE3A mRNA reactivation quantification (fold-change from baseline, target ≥50% of wild-type level)</w:t>
      </w:r>
    </w:p>
    <w:p>
      <w:pPr>
        <w:pStyle w:val="ListParagraph"/>
        <w:numPr>
          <w:ilvl w:val="0"/>
          <w:numId w:val="2"/>
        </w:numPr>
        <w:spacing w:after="100" w:line="360"/>
      </w:pPr>
      <w:r>
        <w:rPr>
          <w:rFonts w:ascii="Arial" w:cs="Arial" w:eastAsia="Arial" w:hAnsi="Arial"/>
          <w:sz w:val="24"/>
          <w:szCs w:val="24"/>
        </w:rPr>
        <w:t xml:space="preserve">UBE3A protein expression measurements (ng/µg protein, percentage recovery toward control levels)</w:t>
      </w:r>
    </w:p>
    <w:p>
      <w:pPr>
        <w:pStyle w:val="ListParagraph"/>
        <w:numPr>
          <w:ilvl w:val="0"/>
          <w:numId w:val="2"/>
        </w:numPr>
        <w:spacing w:after="100" w:line="360"/>
      </w:pPr>
      <w:r>
        <w:rPr>
          <w:rFonts w:ascii="Arial" w:cs="Arial" w:eastAsia="Arial" w:hAnsi="Arial"/>
          <w:sz w:val="24"/>
          <w:szCs w:val="24"/>
        </w:rPr>
        <w:t xml:space="preserve">E6-AP enzymatic activity data (ubiquitination rate, substrate processing capacity)</w:t>
      </w:r>
    </w:p>
    <w:p>
      <w:pPr>
        <w:pStyle w:val="ListParagraph"/>
        <w:numPr>
          <w:ilvl w:val="0"/>
          <w:numId w:val="2"/>
        </w:numPr>
        <w:spacing w:after="100" w:line="360"/>
      </w:pPr>
      <w:r>
        <w:rPr>
          <w:rFonts w:ascii="Arial" w:cs="Arial" w:eastAsia="Arial" w:hAnsi="Arial"/>
          <w:sz w:val="24"/>
          <w:szCs w:val="24"/>
        </w:rPr>
        <w:t xml:space="preserve">DNA methylation status verification (ICR methylation pattern stability, no ectopic methylation loss)</w:t>
      </w:r>
    </w:p>
    <w:p>
      <w:pPr>
        <w:pStyle w:val="ListParagraph"/>
        <w:numPr>
          <w:ilvl w:val="0"/>
          <w:numId w:val="2"/>
        </w:numPr>
        <w:spacing w:after="100" w:line="360"/>
      </w:pPr>
      <w:r>
        <w:rPr>
          <w:rFonts w:ascii="Arial" w:cs="Arial" w:eastAsia="Arial" w:hAnsi="Arial"/>
          <w:sz w:val="24"/>
          <w:szCs w:val="24"/>
        </w:rPr>
        <w:t xml:space="preserve">Allele-specific transcriptome analysis (differentially expressed genes post-paternal-UBE3A-reactivation)</w:t>
      </w:r>
    </w:p>
    <w:p>
      <w:pPr>
        <w:pStyle w:val="ListParagraph"/>
        <w:numPr>
          <w:ilvl w:val="0"/>
          <w:numId w:val="2"/>
        </w:numPr>
        <w:spacing w:after="100" w:line="360"/>
      </w:pPr>
      <w:r>
        <w:rPr>
          <w:rFonts w:ascii="Arial" w:cs="Arial" w:eastAsia="Arial" w:hAnsi="Arial"/>
          <w:sz w:val="24"/>
          <w:szCs w:val="24"/>
        </w:rPr>
        <w:t xml:space="preserve">Off-target gene expression changes (neighboring imprinted genes SNRPN, SNURF, PCHD15 levels unchanged)</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Digital droplet PCR allele-specific quantification graphs + Western blot intensity plots + E6-AP activity curves + methylation bisulfite sequencing heatmap</w:t>
      </w:r>
    </w:p>
    <w:p>
      <w:pPr>
        <w:pStyle w:val="Heading2"/>
        <w:spacing w:after="200" w:before="200" w:line="360"/>
      </w:pPr>
      <w:r>
        <w:rPr>
          <w:rFonts w:ascii="Arial" w:cs="Arial" w:eastAsia="Arial" w:hAnsi="Arial"/>
          <w:b/>
          <w:bCs/>
          <w:sz w:val="28"/>
          <w:szCs w:val="28"/>
        </w:rPr>
        <w:t xml:space="preserve">Stage 5: Cognitive &amp; Motor Phenotype Rescue in Patient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ASO-mediated paternal UBE3A reactivation and recovery of cognitive/motor deficits in Angelman syndrome-derived neuronal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Angelman syndrome iPSC-derived neurons (with maternal UBE3A deletion or paternal silencing)</w:t>
      </w:r>
    </w:p>
    <w:p>
      <w:pPr>
        <w:pStyle w:val="ListParagraph"/>
        <w:numPr>
          <w:ilvl w:val="0"/>
          <w:numId w:val="2"/>
        </w:numPr>
        <w:spacing w:after="100" w:line="360"/>
      </w:pPr>
      <w:r>
        <w:rPr>
          <w:rFonts w:ascii="Arial" w:cs="Arial" w:eastAsia="Arial" w:hAnsi="Arial"/>
          <w:sz w:val="24"/>
          <w:szCs w:val="24"/>
        </w:rPr>
        <w:t xml:space="preserve">Wild-type iPSC-derived neurons for phenotype comparison</w:t>
      </w:r>
    </w:p>
    <w:p>
      <w:pPr>
        <w:pStyle w:val="ListParagraph"/>
        <w:numPr>
          <w:ilvl w:val="0"/>
          <w:numId w:val="2"/>
        </w:numPr>
        <w:spacing w:after="100" w:line="360"/>
      </w:pPr>
      <w:r>
        <w:rPr>
          <w:rFonts w:ascii="Arial" w:cs="Arial" w:eastAsia="Arial" w:hAnsi="Arial"/>
          <w:sz w:val="24"/>
          <w:szCs w:val="24"/>
        </w:rPr>
        <w:t xml:space="preserve">Angelman disease phenotypes: intellectual disability (learning deficits), motor ataxia (coordination loss), seizure susceptibility</w:t>
      </w:r>
    </w:p>
    <w:p>
      <w:pPr>
        <w:pStyle w:val="ListParagraph"/>
        <w:numPr>
          <w:ilvl w:val="0"/>
          <w:numId w:val="2"/>
        </w:numPr>
        <w:spacing w:after="100" w:line="360"/>
      </w:pPr>
      <w:r>
        <w:rPr>
          <w:rFonts w:ascii="Arial" w:cs="Arial" w:eastAsia="Arial" w:hAnsi="Arial"/>
          <w:sz w:val="24"/>
          <w:szCs w:val="24"/>
        </w:rPr>
        <w:t xml:space="preserve">Neuronal phenotype readouts: excitatory-inhibitory (E-I) balance, synaptic plasticity (LTP/LTD), network activity</w:t>
      </w:r>
    </w:p>
    <w:p>
      <w:pPr>
        <w:pStyle w:val="ListParagraph"/>
        <w:numPr>
          <w:ilvl w:val="0"/>
          <w:numId w:val="2"/>
        </w:numPr>
        <w:spacing w:after="100" w:line="360"/>
      </w:pPr>
      <w:r>
        <w:rPr>
          <w:rFonts w:ascii="Arial" w:cs="Arial" w:eastAsia="Arial" w:hAnsi="Arial"/>
          <w:sz w:val="24"/>
          <w:szCs w:val="24"/>
        </w:rPr>
        <w:t xml:space="preserve">Behavioral proxies in neuronal systems: spontaneous firing, evoked responses, burst patterns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Patch-clamp electrophysiology (whole-cell recording, network electrode arrays)</w:t>
      </w:r>
    </w:p>
    <w:p>
      <w:pPr>
        <w:pStyle w:val="ListParagraph"/>
        <w:numPr>
          <w:ilvl w:val="0"/>
          <w:numId w:val="2"/>
        </w:numPr>
        <w:spacing w:after="100" w:line="360"/>
      </w:pPr>
      <w:r>
        <w:rPr>
          <w:rFonts w:ascii="Arial" w:cs="Arial" w:eastAsia="Arial" w:hAnsi="Arial"/>
          <w:sz w:val="24"/>
          <w:szCs w:val="24"/>
        </w:rPr>
        <w:t xml:space="preserve">Calcium imaging (GCaMP, neuronal activity mapping, network synchronization analysis)</w:t>
      </w:r>
    </w:p>
    <w:p>
      <w:pPr>
        <w:pStyle w:val="ListParagraph"/>
        <w:numPr>
          <w:ilvl w:val="0"/>
          <w:numId w:val="2"/>
        </w:numPr>
        <w:spacing w:after="100" w:line="360"/>
      </w:pPr>
      <w:r>
        <w:rPr>
          <w:rFonts w:ascii="Arial" w:cs="Arial" w:eastAsia="Arial" w:hAnsi="Arial"/>
          <w:sz w:val="24"/>
          <w:szCs w:val="24"/>
        </w:rPr>
        <w:t xml:space="preserve">Synaptic plasticity assays (field recordings, LTP/LTD induction and quantification)</w:t>
      </w:r>
    </w:p>
    <w:p>
      <w:pPr>
        <w:pStyle w:val="ListParagraph"/>
        <w:numPr>
          <w:ilvl w:val="0"/>
          <w:numId w:val="2"/>
        </w:numPr>
        <w:spacing w:after="100" w:line="360"/>
      </w:pPr>
      <w:r>
        <w:rPr>
          <w:rFonts w:ascii="Arial" w:cs="Arial" w:eastAsia="Arial" w:hAnsi="Arial"/>
          <w:sz w:val="24"/>
          <w:szCs w:val="24"/>
        </w:rPr>
        <w:t xml:space="preserve">High-content imaging of synaptic density (synapsin, PSD-95, dendritic spine morphology)</w:t>
      </w:r>
    </w:p>
    <w:p>
      <w:pPr>
        <w:pStyle w:val="ListParagraph"/>
        <w:numPr>
          <w:ilvl w:val="0"/>
          <w:numId w:val="2"/>
        </w:numPr>
        <w:spacing w:after="100" w:line="360"/>
      </w:pPr>
      <w:r>
        <w:rPr>
          <w:rFonts w:ascii="Arial" w:cs="Arial" w:eastAsia="Arial" w:hAnsi="Arial"/>
          <w:sz w:val="24"/>
          <w:szCs w:val="24"/>
        </w:rPr>
        <w:t xml:space="preserve">Seizure-like activity induction (elevated K+, 4-AP, bicuculline) and quantification</w:t>
      </w:r>
    </w:p>
    <w:p>
      <w:pPr>
        <w:pStyle w:val="ListParagraph"/>
        <w:numPr>
          <w:ilvl w:val="0"/>
          <w:numId w:val="2"/>
        </w:numPr>
        <w:spacing w:after="100" w:line="360"/>
      </w:pPr>
      <w:r>
        <w:rPr>
          <w:rFonts w:ascii="Arial" w:cs="Arial" w:eastAsia="Arial" w:hAnsi="Arial"/>
          <w:sz w:val="24"/>
          <w:szCs w:val="24"/>
        </w:rPr>
        <w:t xml:space="preserve">Gene expression analysis (RNA-seq, qPCR for GABAergic and glutamatergic markers)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Measure resting membrane potential and action potential firing rate in Angelman neurons ± ASO treatment.</w:t>
      </w:r>
    </w:p>
    <w:p>
      <w:pPr>
        <w:pStyle w:val="ListParagraph"/>
        <w:numPr>
          <w:ilvl w:val="0"/>
          <w:numId w:val="2"/>
        </w:numPr>
        <w:spacing w:after="100" w:line="360"/>
      </w:pPr>
      <w:r>
        <w:rPr>
          <w:rFonts w:ascii="Arial" w:cs="Arial" w:eastAsia="Arial" w:hAnsi="Arial"/>
          <w:sz w:val="24"/>
          <w:szCs w:val="24"/>
        </w:rPr>
        <w:t xml:space="preserve">Assess GABAergic neuron differentiation and GABA expression in Angelman vs. wild-type models post-ASO treatment.</w:t>
      </w:r>
    </w:p>
    <w:p>
      <w:pPr>
        <w:pStyle w:val="ListParagraph"/>
        <w:numPr>
          <w:ilvl w:val="0"/>
          <w:numId w:val="2"/>
        </w:numPr>
        <w:spacing w:after="100" w:line="360"/>
      </w:pPr>
      <w:r>
        <w:rPr>
          <w:rFonts w:ascii="Arial" w:cs="Arial" w:eastAsia="Arial" w:hAnsi="Arial"/>
          <w:sz w:val="24"/>
          <w:szCs w:val="24"/>
        </w:rPr>
        <w:t xml:space="preserve">Quantify E-I balance impairment in Angelman neurons; predict rescue with paternal UBE3A reactivation.</w:t>
      </w:r>
    </w:p>
    <w:p>
      <w:pPr>
        <w:pStyle w:val="ListParagraph"/>
        <w:numPr>
          <w:ilvl w:val="0"/>
          <w:numId w:val="2"/>
        </w:numPr>
        <w:spacing w:after="100" w:line="360"/>
      </w:pPr>
      <w:r>
        <w:rPr>
          <w:rFonts w:ascii="Arial" w:cs="Arial" w:eastAsia="Arial" w:hAnsi="Arial"/>
          <w:sz w:val="24"/>
          <w:szCs w:val="24"/>
        </w:rPr>
        <w:t xml:space="preserve">Conduct LTP induction and measurement to assess synaptic plasticity; compare untreated vs. ASO-treated.</w:t>
      </w:r>
    </w:p>
    <w:p>
      <w:pPr>
        <w:pStyle w:val="ListParagraph"/>
        <w:numPr>
          <w:ilvl w:val="0"/>
          <w:numId w:val="2"/>
        </w:numPr>
        <w:spacing w:after="100" w:line="360"/>
      </w:pPr>
      <w:r>
        <w:rPr>
          <w:rFonts w:ascii="Arial" w:cs="Arial" w:eastAsia="Arial" w:hAnsi="Arial"/>
          <w:sz w:val="24"/>
          <w:szCs w:val="24"/>
        </w:rPr>
        <w:t xml:space="preserve">Induce seizure-like activity (hyperexcitability); measure frequency and duration of spontaneous bursts ± ASO.</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Electrophysiology phenotype measurements (Vm, firing frequency, spike waveform analysis)</w:t>
      </w:r>
    </w:p>
    <w:p>
      <w:pPr>
        <w:pStyle w:val="ListParagraph"/>
        <w:numPr>
          <w:ilvl w:val="0"/>
          <w:numId w:val="2"/>
        </w:numPr>
        <w:spacing w:after="100" w:line="360"/>
      </w:pPr>
      <w:r>
        <w:rPr>
          <w:rFonts w:ascii="Arial" w:cs="Arial" w:eastAsia="Arial" w:hAnsi="Arial"/>
          <w:sz w:val="24"/>
          <w:szCs w:val="24"/>
        </w:rPr>
        <w:t xml:space="preserve">E-I balance ratio (excitatory vs. inhibitory currents, GABAergic synapse contribution)</w:t>
      </w:r>
    </w:p>
    <w:p>
      <w:pPr>
        <w:pStyle w:val="ListParagraph"/>
        <w:numPr>
          <w:ilvl w:val="0"/>
          <w:numId w:val="2"/>
        </w:numPr>
        <w:spacing w:after="100" w:line="360"/>
      </w:pPr>
      <w:r>
        <w:rPr>
          <w:rFonts w:ascii="Arial" w:cs="Arial" w:eastAsia="Arial" w:hAnsi="Arial"/>
          <w:sz w:val="24"/>
          <w:szCs w:val="24"/>
        </w:rPr>
        <w:t xml:space="preserve">Synaptic plasticity quantification (LTP magnitude, LTD suppression, learning curves)</w:t>
      </w:r>
    </w:p>
    <w:p>
      <w:pPr>
        <w:pStyle w:val="ListParagraph"/>
        <w:numPr>
          <w:ilvl w:val="0"/>
          <w:numId w:val="2"/>
        </w:numPr>
        <w:spacing w:after="100" w:line="360"/>
      </w:pPr>
      <w:r>
        <w:rPr>
          <w:rFonts w:ascii="Arial" w:cs="Arial" w:eastAsia="Arial" w:hAnsi="Arial"/>
          <w:sz w:val="24"/>
          <w:szCs w:val="24"/>
        </w:rPr>
        <w:t xml:space="preserve">Dendritic spine density and morphology analysis (spine count, size distribution, mushroom vs. stubby ratios)</w:t>
      </w:r>
    </w:p>
    <w:p>
      <w:pPr>
        <w:pStyle w:val="ListParagraph"/>
        <w:numPr>
          <w:ilvl w:val="0"/>
          <w:numId w:val="2"/>
        </w:numPr>
        <w:spacing w:after="100" w:line="360"/>
      </w:pPr>
      <w:r>
        <w:rPr>
          <w:rFonts w:ascii="Arial" w:cs="Arial" w:eastAsia="Arial" w:hAnsi="Arial"/>
          <w:sz w:val="24"/>
          <w:szCs w:val="24"/>
        </w:rPr>
        <w:t xml:space="preserve">Seizure-like activity metrics (burst frequency, duration, amplitude with/without ASO treatment)</w:t>
      </w:r>
    </w:p>
    <w:p>
      <w:pPr>
        <w:pStyle w:val="ListParagraph"/>
        <w:numPr>
          <w:ilvl w:val="0"/>
          <w:numId w:val="2"/>
        </w:numPr>
        <w:spacing w:after="100" w:line="360"/>
      </w:pPr>
      <w:r>
        <w:rPr>
          <w:rFonts w:ascii="Arial" w:cs="Arial" w:eastAsia="Arial" w:hAnsi="Arial"/>
          <w:sz w:val="24"/>
          <w:szCs w:val="24"/>
        </w:rPr>
        <w:t xml:space="preserve">Gene expression profiles (GABAergic markers, excitatory transmitter systems, UBE3A substrates)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Electrophysiology waveforms + E-I balance ratio charts + LTP/LTD curves + spine morphology images + burst activity rasters + transcriptome analysis heatmap</w:t>
      </w:r>
    </w:p>
    <w:p>
      <w:pPr>
        <w:pStyle w:val="Heading2"/>
        <w:spacing w:after="200" w:before="200" w:line="360"/>
      </w:pPr>
      <w:r>
        <w:rPr>
          <w:rFonts w:ascii="Arial" w:cs="Arial" w:eastAsia="Arial" w:hAnsi="Arial"/>
          <w:b/>
          <w:bCs/>
          <w:sz w:val="28"/>
          <w:szCs w:val="28"/>
        </w:rPr>
        <w:t xml:space="preserve">Stage 6: In Vivo Efficacy &amp; Behavioral Rescue Planning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in vivo studies demonstrating paternal UBE3A reactivation, seizure suppression, and cognitive/motor improvement in Angelman models.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Angelman syndrome mouse model selection (Ube3a-m-/p+ deletion model or maternal duplication model)</w:t>
      </w:r>
    </w:p>
    <w:p>
      <w:pPr>
        <w:pStyle w:val="ListParagraph"/>
        <w:numPr>
          <w:ilvl w:val="0"/>
          <w:numId w:val="2"/>
        </w:numPr>
        <w:spacing w:after="100" w:line="360"/>
      </w:pPr>
      <w:r>
        <w:rPr>
          <w:rFonts w:ascii="Arial" w:cs="Arial" w:eastAsia="Arial" w:hAnsi="Arial"/>
          <w:sz w:val="24"/>
          <w:szCs w:val="24"/>
        </w:rPr>
        <w:t xml:space="preserve">Age for ASO administration (pre-symptomatic or early symptomatic stage)</w:t>
      </w:r>
    </w:p>
    <w:p>
      <w:pPr>
        <w:pStyle w:val="ListParagraph"/>
        <w:numPr>
          <w:ilvl w:val="0"/>
          <w:numId w:val="2"/>
        </w:numPr>
        <w:spacing w:after="100" w:line="360"/>
      </w:pPr>
      <w:r>
        <w:rPr>
          <w:rFonts w:ascii="Arial" w:cs="Arial" w:eastAsia="Arial" w:hAnsi="Arial"/>
          <w:sz w:val="24"/>
          <w:szCs w:val="24"/>
        </w:rPr>
        <w:t xml:space="preserve">Delivery route (ICV, intrathecal for sustained CNS exposure)</w:t>
      </w:r>
    </w:p>
    <w:p>
      <w:pPr>
        <w:pStyle w:val="ListParagraph"/>
        <w:numPr>
          <w:ilvl w:val="0"/>
          <w:numId w:val="2"/>
        </w:numPr>
        <w:spacing w:after="100" w:line="360"/>
      </w:pPr>
      <w:r>
        <w:rPr>
          <w:rFonts w:ascii="Arial" w:cs="Arial" w:eastAsia="Arial" w:hAnsi="Arial"/>
          <w:sz w:val="24"/>
          <w:szCs w:val="24"/>
        </w:rPr>
        <w:t xml:space="preserve">Primary efficacy endpoints (paternal UBE3A expression, seizure threshold, motor coordination, cognition)</w:t>
      </w:r>
    </w:p>
    <w:p>
      <w:pPr>
        <w:pStyle w:val="ListParagraph"/>
        <w:numPr>
          <w:ilvl w:val="0"/>
          <w:numId w:val="2"/>
        </w:numPr>
        <w:spacing w:after="100" w:line="360"/>
      </w:pPr>
      <w:r>
        <w:rPr>
          <w:rFonts w:ascii="Arial" w:cs="Arial" w:eastAsia="Arial" w:hAnsi="Arial"/>
          <w:sz w:val="24"/>
          <w:szCs w:val="24"/>
        </w:rPr>
        <w:t xml:space="preserve">Secondary endpoints (survival, growth, general health monitoring)</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qPCR with allele-specific probes (paternal UBE3A reactivation in brain tissue)</w:t>
      </w:r>
    </w:p>
    <w:p>
      <w:pPr>
        <w:pStyle w:val="ListParagraph"/>
        <w:numPr>
          <w:ilvl w:val="0"/>
          <w:numId w:val="2"/>
        </w:numPr>
        <w:spacing w:after="100" w:line="360"/>
      </w:pPr>
      <w:r>
        <w:rPr>
          <w:rFonts w:ascii="Arial" w:cs="Arial" w:eastAsia="Arial" w:hAnsi="Arial"/>
          <w:sz w:val="24"/>
          <w:szCs w:val="24"/>
        </w:rPr>
        <w:t xml:space="preserve">Behavioral seizure monitoring (EEG recording, automated seizure detection, PACS video scoring)</w:t>
      </w:r>
    </w:p>
    <w:p>
      <w:pPr>
        <w:pStyle w:val="ListParagraph"/>
        <w:numPr>
          <w:ilvl w:val="0"/>
          <w:numId w:val="2"/>
        </w:numPr>
        <w:spacing w:after="100" w:line="360"/>
      </w:pPr>
      <w:r>
        <w:rPr>
          <w:rFonts w:ascii="Arial" w:cs="Arial" w:eastAsia="Arial" w:hAnsi="Arial"/>
          <w:sz w:val="24"/>
          <w:szCs w:val="24"/>
        </w:rPr>
        <w:t xml:space="preserve">Motor phenotyping suite (rotarod, beam walk, grip strength, open-field locomotion)</w:t>
      </w:r>
    </w:p>
    <w:p>
      <w:pPr>
        <w:pStyle w:val="ListParagraph"/>
        <w:numPr>
          <w:ilvl w:val="0"/>
          <w:numId w:val="2"/>
        </w:numPr>
        <w:spacing w:after="100" w:line="360"/>
      </w:pPr>
      <w:r>
        <w:rPr>
          <w:rFonts w:ascii="Arial" w:cs="Arial" w:eastAsia="Arial" w:hAnsi="Arial"/>
          <w:sz w:val="24"/>
          <w:szCs w:val="24"/>
        </w:rPr>
        <w:t xml:space="preserve">Cognitive testing (Morris water maze, novel object recognition, contextual fear conditioning)</w:t>
      </w:r>
    </w:p>
    <w:p>
      <w:pPr>
        <w:pStyle w:val="ListParagraph"/>
        <w:numPr>
          <w:ilvl w:val="0"/>
          <w:numId w:val="2"/>
        </w:numPr>
        <w:spacing w:after="100" w:line="360"/>
      </w:pPr>
      <w:r>
        <w:rPr>
          <w:rFonts w:ascii="Arial" w:cs="Arial" w:eastAsia="Arial" w:hAnsi="Arial"/>
          <w:sz w:val="24"/>
          <w:szCs w:val="24"/>
        </w:rPr>
        <w:t xml:space="preserve">Brain pathology analysis (histology, neuronal density, GABAergic interneuron counts)</w:t>
      </w:r>
    </w:p>
    <w:p>
      <w:pPr>
        <w:pStyle w:val="ListParagraph"/>
        <w:numPr>
          <w:ilvl w:val="0"/>
          <w:numId w:val="2"/>
        </w:numPr>
        <w:spacing w:after="100" w:line="360"/>
      </w:pPr>
      <w:r>
        <w:rPr>
          <w:rFonts w:ascii="Arial" w:cs="Arial" w:eastAsia="Arial" w:hAnsi="Arial"/>
          <w:sz w:val="24"/>
          <w:szCs w:val="24"/>
        </w:rPr>
        <w:t xml:space="preserve">Pharmacokinetic monitoring (ASO brain levels, persistence in CSF)</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dosing regimen: single ICV injection vs. repeated intrathecal dosing; optimize therapeutic window.</w:t>
      </w:r>
    </w:p>
    <w:p>
      <w:pPr>
        <w:pStyle w:val="ListParagraph"/>
        <w:numPr>
          <w:ilvl w:val="0"/>
          <w:numId w:val="2"/>
        </w:numPr>
        <w:spacing w:after="100" w:line="360"/>
      </w:pPr>
      <w:r>
        <w:rPr>
          <w:rFonts w:ascii="Arial" w:cs="Arial" w:eastAsia="Arial" w:hAnsi="Arial"/>
          <w:sz w:val="24"/>
          <w:szCs w:val="24"/>
        </w:rPr>
        <w:t xml:space="preserve">Plan EEG-monitoring study to quantify seizure frequency reduction (target: ≥50% decrease in seizure burden).</w:t>
      </w:r>
    </w:p>
    <w:p>
      <w:pPr>
        <w:pStyle w:val="ListParagraph"/>
        <w:numPr>
          <w:ilvl w:val="0"/>
          <w:numId w:val="2"/>
        </w:numPr>
        <w:spacing w:after="100" w:line="360"/>
      </w:pPr>
      <w:r>
        <w:rPr>
          <w:rFonts w:ascii="Arial" w:cs="Arial" w:eastAsia="Arial" w:hAnsi="Arial"/>
          <w:sz w:val="24"/>
          <w:szCs w:val="24"/>
        </w:rPr>
        <w:t xml:space="preserve">Design behavioral battery: rotarod (motor coordination), Morris water maze (spatial learning), fear conditioning (hippocampal function).</w:t>
      </w:r>
    </w:p>
    <w:p>
      <w:pPr>
        <w:pStyle w:val="ListParagraph"/>
        <w:numPr>
          <w:ilvl w:val="0"/>
          <w:numId w:val="2"/>
        </w:numPr>
        <w:spacing w:after="100" w:line="360"/>
      </w:pPr>
      <w:r>
        <w:rPr>
          <w:rFonts w:ascii="Arial" w:cs="Arial" w:eastAsia="Arial" w:hAnsi="Arial"/>
          <w:sz w:val="24"/>
          <w:szCs w:val="24"/>
        </w:rPr>
        <w:t xml:space="preserve">Predict magnitude of paternal UBE3A reactivation in hippocampus and cortex (target: ≥60% recovery toward wild-type level).</w:t>
      </w:r>
    </w:p>
    <w:p>
      <w:pPr>
        <w:pStyle w:val="ListParagraph"/>
        <w:numPr>
          <w:ilvl w:val="0"/>
          <w:numId w:val="2"/>
        </w:numPr>
        <w:spacing w:after="100" w:line="360"/>
      </w:pPr>
      <w:r>
        <w:rPr>
          <w:rFonts w:ascii="Arial" w:cs="Arial" w:eastAsia="Arial" w:hAnsi="Arial"/>
          <w:sz w:val="24"/>
          <w:szCs w:val="24"/>
        </w:rPr>
        <w:t xml:space="preserve">Plan post-mortem analysis: UBE3A expression (Western, immunohistochemistry), GABAergic neuron count, histopathology (neuroinflammation).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 vivo study protocol (Angelman mouse model, age, dosing regimen, route, sampling timeline)</w:t>
      </w:r>
    </w:p>
    <w:p>
      <w:pPr>
        <w:pStyle w:val="ListParagraph"/>
        <w:numPr>
          <w:ilvl w:val="0"/>
          <w:numId w:val="2"/>
        </w:numPr>
        <w:spacing w:after="100" w:line="360"/>
      </w:pPr>
      <w:r>
        <w:rPr>
          <w:rFonts w:ascii="Arial" w:cs="Arial" w:eastAsia="Arial" w:hAnsi="Arial"/>
          <w:sz w:val="24"/>
          <w:szCs w:val="24"/>
        </w:rPr>
        <w:t xml:space="preserve">Paternal UBE3A reactivation predictions by brain region (qPCR fold-change, target ≥60% recovery)</w:t>
      </w:r>
    </w:p>
    <w:p>
      <w:pPr>
        <w:pStyle w:val="ListParagraph"/>
        <w:numPr>
          <w:ilvl w:val="0"/>
          <w:numId w:val="2"/>
        </w:numPr>
        <w:spacing w:after="100" w:line="360"/>
      </w:pPr>
      <w:r>
        <w:rPr>
          <w:rFonts w:ascii="Arial" w:cs="Arial" w:eastAsia="Arial" w:hAnsi="Arial"/>
          <w:sz w:val="24"/>
          <w:szCs w:val="24"/>
        </w:rPr>
        <w:t xml:space="preserve">Seizure suppression efficacy endpoints (baseline seizure frequency, expected reduction %, EEG quantification)</w:t>
      </w:r>
    </w:p>
    <w:p>
      <w:pPr>
        <w:pStyle w:val="ListParagraph"/>
        <w:numPr>
          <w:ilvl w:val="0"/>
          <w:numId w:val="2"/>
        </w:numPr>
        <w:spacing w:after="100" w:line="360"/>
      </w:pPr>
      <w:r>
        <w:rPr>
          <w:rFonts w:ascii="Arial" w:cs="Arial" w:eastAsia="Arial" w:hAnsi="Arial"/>
          <w:sz w:val="24"/>
          <w:szCs w:val="24"/>
        </w:rPr>
        <w:t xml:space="preserve">Behavioral outcome predictions (rotarod latency improvement, Morris water maze performance, fear conditioning)</w:t>
      </w:r>
    </w:p>
    <w:p>
      <w:pPr>
        <w:pStyle w:val="ListParagraph"/>
        <w:numPr>
          <w:ilvl w:val="0"/>
          <w:numId w:val="2"/>
        </w:numPr>
        <w:spacing w:after="100" w:line="360"/>
      </w:pPr>
      <w:r>
        <w:rPr>
          <w:rFonts w:ascii="Arial" w:cs="Arial" w:eastAsia="Arial" w:hAnsi="Arial"/>
          <w:sz w:val="24"/>
          <w:szCs w:val="24"/>
        </w:rPr>
        <w:t xml:space="preserve">Histopathology and neuronal integrity assessment plan (neuronal counts, GABAergic synapse markers)</w:t>
      </w:r>
    </w:p>
    <w:p>
      <w:pPr>
        <w:pStyle w:val="ListParagraph"/>
        <w:numPr>
          <w:ilvl w:val="0"/>
          <w:numId w:val="2"/>
        </w:numPr>
        <w:spacing w:after="100" w:line="360"/>
      </w:pPr>
      <w:r>
        <w:rPr>
          <w:rFonts w:ascii="Arial" w:cs="Arial" w:eastAsia="Arial" w:hAnsi="Arial"/>
          <w:sz w:val="24"/>
          <w:szCs w:val="24"/>
        </w:rPr>
        <w:t xml:space="preserve">Regulatory pathway recommendation (IND-enabling safety pharmacology and toxicology requirements)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 vivo study protocol + seizure monitoring strategy + behavioral test battery specifications + histopathology readout guidelines + regulatory compliance document</w:t>
      </w:r>
    </w:p>
    <w:p>
      <w:pPr>
        <w:pStyle w:val="Heading2"/>
        <w:spacing w:after="200" w:before="200" w:line="36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reference, conservation tracks, regulatory elements)</w:t>
      </w:r>
    </w:p>
    <w:p>
      <w:pPr>
        <w:pStyle w:val="ListParagraph"/>
        <w:numPr>
          <w:ilvl w:val="0"/>
          <w:numId w:val="2"/>
        </w:numPr>
        <w:spacing w:after="100" w:line="360"/>
      </w:pPr>
      <w:r>
        <w:rPr>
          <w:rFonts w:ascii="Arial" w:cs="Arial" w:eastAsia="Arial" w:hAnsi="Arial"/>
          <w:sz w:val="24"/>
          <w:szCs w:val="24"/>
        </w:rPr>
        <w:t xml:space="preserve">gnomAD variant database (population allele frequencies, loss-of-function constraints)</w:t>
      </w:r>
    </w:p>
    <w:p>
      <w:pPr>
        <w:pStyle w:val="ListParagraph"/>
        <w:numPr>
          <w:ilvl w:val="0"/>
          <w:numId w:val="2"/>
        </w:numPr>
        <w:spacing w:after="100" w:line="360"/>
      </w:pPr>
      <w:r>
        <w:rPr>
          <w:rFonts w:ascii="Arial" w:cs="Arial" w:eastAsia="Arial" w:hAnsi="Arial"/>
          <w:sz w:val="24"/>
          <w:szCs w:val="24"/>
        </w:rPr>
        <w:t xml:space="preserve">ENCODE/Roadmap Epigenomics (histone modifications, DNA methylation, chromatin accessibility)</w:t>
      </w:r>
    </w:p>
    <w:p>
      <w:pPr>
        <w:pStyle w:val="ListParagraph"/>
        <w:numPr>
          <w:ilvl w:val="0"/>
          <w:numId w:val="2"/>
        </w:numPr>
        <w:spacing w:after="100" w:line="360"/>
      </w:pPr>
      <w:r>
        <w:rPr>
          <w:rFonts w:ascii="Arial" w:cs="Arial" w:eastAsia="Arial" w:hAnsi="Arial"/>
          <w:sz w:val="24"/>
          <w:szCs w:val="24"/>
        </w:rPr>
        <w:t xml:space="preserve">STRING/BioGRID (protein-protein interaction networks, pathway analysis)</w:t>
      </w:r>
    </w:p>
    <w:p>
      <w:pPr>
        <w:pStyle w:val="ListParagraph"/>
        <w:numPr>
          <w:ilvl w:val="0"/>
          <w:numId w:val="2"/>
        </w:numPr>
        <w:spacing w:after="100" w:line="360"/>
      </w:pPr>
      <w:r>
        <w:rPr>
          <w:rFonts w:ascii="Arial" w:cs="Arial" w:eastAsia="Arial" w:hAnsi="Arial"/>
          <w:sz w:val="24"/>
          <w:szCs w:val="24"/>
        </w:rPr>
        <w:t xml:space="preserve">Geneious Pro (sequence analysis, alignment, ASO design)</w:t>
      </w:r>
    </w:p>
    <w:p>
      <w:pPr>
        <w:pStyle w:val="ListParagraph"/>
        <w:numPr>
          <w:ilvl w:val="0"/>
          <w:numId w:val="2"/>
        </w:numPr>
        <w:spacing w:after="100" w:line="360"/>
      </w:pPr>
      <w:r>
        <w:rPr>
          <w:rFonts w:ascii="Arial" w:cs="Arial" w:eastAsia="Arial" w:hAnsi="Arial"/>
          <w:sz w:val="24"/>
          <w:szCs w:val="24"/>
        </w:rPr>
        <w:t xml:space="preserve">ViennaRNA (RNA secondary structure prediction, accessibility modeling)</w:t>
      </w:r>
    </w:p>
    <w:p>
      <w:pPr>
        <w:pStyle w:val="ListParagraph"/>
        <w:numPr>
          <w:ilvl w:val="0"/>
          <w:numId w:val="2"/>
        </w:numPr>
        <w:spacing w:after="100" w:line="360"/>
      </w:pPr>
      <w:r>
        <w:rPr>
          <w:rFonts w:ascii="Arial" w:cs="Arial" w:eastAsia="Arial" w:hAnsi="Arial"/>
          <w:sz w:val="24"/>
          <w:szCs w:val="24"/>
        </w:rPr>
        <w:t xml:space="preserve">BLAST (sequence homology, off-target screening, species conservation)</w:t>
      </w:r>
    </w:p>
    <w:p>
      <w:pPr>
        <w:pStyle w:val="ListParagraph"/>
        <w:numPr>
          <w:ilvl w:val="0"/>
          <w:numId w:val="2"/>
        </w:numPr>
        <w:spacing w:after="100" w:line="360"/>
      </w:pPr>
      <w:r>
        <w:rPr>
          <w:rFonts w:ascii="Arial" w:cs="Arial" w:eastAsia="Arial" w:hAnsi="Arial"/>
          <w:sz w:val="24"/>
          <w:szCs w:val="24"/>
        </w:rPr>
        <w:t xml:space="preserve">MaxEnt splice site predictor (splicing outcome prediction, branch point analysis)</w:t>
      </w:r>
    </w:p>
    <w:p>
      <w:pPr>
        <w:pStyle w:val="ListParagraph"/>
        <w:numPr>
          <w:ilvl w:val="0"/>
          <w:numId w:val="2"/>
        </w:numPr>
        <w:spacing w:after="100" w:line="360"/>
      </w:pPr>
      <w:r>
        <w:rPr>
          <w:rFonts w:ascii="Arial" w:cs="Arial" w:eastAsia="Arial" w:hAnsi="Arial"/>
          <w:sz w:val="24"/>
          <w:szCs w:val="24"/>
        </w:rPr>
        <w:t xml:space="preserve">Patch-clamp electrophysiology rig (whole-cell recording, network electrode arrays)</w:t>
      </w:r>
    </w:p>
    <w:p>
      <w:pPr>
        <w:pStyle w:val="ListParagraph"/>
        <w:numPr>
          <w:ilvl w:val="0"/>
          <w:numId w:val="2"/>
        </w:numPr>
        <w:spacing w:after="100" w:line="360"/>
      </w:pPr>
      <w:r>
        <w:rPr>
          <w:rFonts w:ascii="Arial" w:cs="Arial" w:eastAsia="Arial" w:hAnsi="Arial"/>
          <w:sz w:val="24"/>
          <w:szCs w:val="24"/>
        </w:rPr>
        <w:t xml:space="preserve">High-content imaging systems (automated quantification, phenotype analysis)</w:t>
      </w:r>
    </w:p>
    <w:p>
      <w:pPr>
        <w:pStyle w:val="ListParagraph"/>
        <w:numPr>
          <w:ilvl w:val="0"/>
          <w:numId w:val="2"/>
        </w:numPr>
        <w:spacing w:after="100" w:line="360"/>
      </w:pPr>
      <w:r>
        <w:rPr>
          <w:rFonts w:ascii="Arial" w:cs="Arial" w:eastAsia="Arial" w:hAnsi="Arial"/>
          <w:sz w:val="24"/>
          <w:szCs w:val="24"/>
        </w:rPr>
        <w:t xml:space="preserve">RNA-seq and long-read Nanopore sequencing (transcript profiling, isoform identification)</w:t>
      </w:r>
    </w:p>
    <w:p>
      <w:pPr>
        <w:pStyle w:val="ListParagraph"/>
        <w:numPr>
          <w:ilvl w:val="0"/>
          <w:numId w:val="2"/>
        </w:numPr>
        <w:spacing w:after="100" w:line="360"/>
      </w:pPr>
      <w:r>
        <w:rPr>
          <w:rFonts w:ascii="Arial" w:cs="Arial" w:eastAsia="Arial" w:hAnsi="Arial"/>
          <w:sz w:val="24"/>
          <w:szCs w:val="24"/>
        </w:rPr>
        <w:t xml:space="preserve">Mass spectrometry (protein identification, post-translational modification analysis)</w:t>
      </w:r>
    </w:p>
    <w:p>
      <w:pPr>
        <w:pStyle w:val="ListParagraph"/>
        <w:numPr>
          <w:ilvl w:val="0"/>
          <w:numId w:val="2"/>
        </w:numPr>
        <w:spacing w:after="100" w:line="360"/>
      </w:pPr>
      <w:r>
        <w:rPr>
          <w:rFonts w:ascii="Arial" w:cs="Arial" w:eastAsia="Arial" w:hAnsi="Arial"/>
          <w:sz w:val="24"/>
          <w:szCs w:val="24"/>
        </w:rPr>
        <w:t xml:space="preserve">Multiplex cytokine assays (Luminex, Bioplex; immune activation quantification)</w:t>
      </w:r>
    </w:p>
    <w:p>
      <w:pPr>
        <w:pStyle w:val="ListParagraph"/>
        <w:numPr>
          <w:ilvl w:val="0"/>
          <w:numId w:val="2"/>
        </w:numPr>
        <w:spacing w:after="100" w:line="360"/>
      </w:pPr>
      <w:r>
        <w:rPr>
          <w:rFonts w:ascii="Arial" w:cs="Arial" w:eastAsia="Arial" w:hAnsi="Arial"/>
          <w:sz w:val="24"/>
          <w:szCs w:val="24"/>
        </w:rPr>
        <w:t xml:space="preserve">Multi-electrode array (MEA) recording (network activity, burst analysis)</w:t>
      </w:r>
    </w:p>
    <w:p>
      <w:pPr>
        <w:pStyle w:val="ListParagraph"/>
        <w:numPr>
          <w:ilvl w:val="0"/>
          <w:numId w:val="2"/>
        </w:numPr>
        <w:spacing w:after="100" w:line="360"/>
      </w:pPr>
      <w:r>
        <w:rPr>
          <w:rFonts w:ascii="Arial" w:cs="Arial" w:eastAsia="Arial" w:hAnsi="Arial"/>
          <w:sz w:val="24"/>
          <w:szCs w:val="24"/>
        </w:rPr>
        <w:t xml:space="preserve">In vivo imaging (PET, SPECT, MRI; biodistribution and efficacy assessment)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2026-03-04T19:57:16.474Z</dcterms:created>
  <dcterms:modified xsi:type="dcterms:W3CDTF">2026-03-04T19:57:16.474Z</dcterms:modified>
</cp:coreProperties>
</file>

<file path=docProps/custom.xml><?xml version="1.0" encoding="utf-8"?>
<Properties xmlns="http://schemas.openxmlformats.org/officeDocument/2006/custom-properties" xmlns:vt="http://schemas.openxmlformats.org/officeDocument/2006/docPropsVTypes"/>
</file>