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rPr>
          <w:rFonts w:ascii="Arial" w:cs="Arial" w:eastAsia="Arial" w:hAnsi="Arial"/>
          <w:b/>
          <w:bCs/>
          <w:sz w:val="32"/>
          <w:szCs w:val="32"/>
        </w:rPr>
        <w:t xml:space="preserve">Sapphire Pipeline Workflow: Combinatorial ASO Strategies for Sodium Channel Disorders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combinatorial ASO strategies targeting both SCN2A and downstream excitability modulators predicted to outperform monotherapy.</w:t>
      </w:r>
    </w:p>
    <w:p>
      <w:pPr>
        <w:spacing w:after="200" w:line="360"/>
      </w:pPr>
      <w:r>
        <w:rPr>
          <w:rFonts w:ascii="Arial" w:cs="Arial" w:eastAsia="Arial" w:hAnsi="Arial"/>
          <w:sz w:val="24"/>
          <w:szCs w:val="24"/>
        </w:rPr>
        <w:t xml:space="preserve">This comprehensive Sapphire Pipeline outlines a systematic, stage-gated approach to combinatorial aso strategies for sodium channel disorders. The workflow integrates cutting-edge genomic analysis, rational ASO design, chemical optimization, and rigorous functional validation.</w:t>
      </w:r>
    </w:p>
    <w:p>
      <w:pPr>
        <w:spacing w:after="200" w:line="360"/>
      </w:pPr>
      <w:r>
        <w:rPr>
          <w:rFonts w:ascii="Arial" w:cs="Arial" w:eastAsia="Arial" w:hAnsi="Arial"/>
          <w:sz w:val="24"/>
          <w:szCs w:val="24"/>
        </w:rPr>
        <w:t xml:space="preserve">Each stage builds upon previous results, incorporating feedback loops and iterative refinement. This structured approach maximizes the probability of identifying effective, safe, and translatable therapeutic candidates.</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consists of 6 interdependent stages designed to guide ASO discovery and validation from initial target selection through clinical readiness. Each stage delivers specific outputs that directly feed into downstream analyses, ensuring data continuity and risk mitigation.</w:t>
      </w:r>
    </w:p>
    <w:p>
      <w:pPr>
        <w:spacing w:after="200" w:line="360"/>
      </w:pPr>
      <w:r>
        <w:rPr>
          <w:rFonts w:ascii="Arial" w:cs="Arial" w:eastAsia="Arial" w:hAnsi="Arial"/>
          <w:sz w:val="24"/>
          <w:szCs w:val="24"/>
        </w:rPr>
        <w:t xml:space="preserve">The integrated approach combines genomic data mining, functional prediction, chemical optimization, and experimental validation. Success at each stage is defined by clear metrics, with go/no-go criteria to prioritize the most promising candidates forward.</w:t>
      </w:r>
    </w:p>
    <w:p>
      <w:pPr>
        <w:pStyle w:val="Heading2"/>
        <w:spacing w:after="200" w:before="200" w:line="360"/>
      </w:pPr>
      <w:r>
        <w:rPr>
          <w:rFonts w:ascii="Arial" w:cs="Arial" w:eastAsia="Arial" w:hAnsi="Arial"/>
          <w:b/>
          <w:bCs/>
          <w:sz w:val="28"/>
          <w:szCs w:val="28"/>
        </w:rPr>
        <w:t xml:space="preserve">Stage 1: SCN2A Variants &amp; Genetic Network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disease-causing SCN2A variants, map downstream excitability modulators, and identify synergistic co-targets.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SCN2A genomic sequence (chr2:166,150,000-166,350,000, GRCh38) and transcript variants</w:t>
      </w:r>
    </w:p>
    <w:p>
      <w:pPr>
        <w:pStyle w:val="ListParagraph"/>
        <w:numPr>
          <w:ilvl w:val="0"/>
          <w:numId w:val="2"/>
        </w:numPr>
        <w:spacing w:after="100" w:line="360"/>
      </w:pPr>
      <w:r>
        <w:rPr>
          <w:rFonts w:ascii="Arial" w:cs="Arial" w:eastAsia="Arial" w:hAnsi="Arial"/>
          <w:sz w:val="24"/>
          <w:szCs w:val="24"/>
        </w:rPr>
        <w:t xml:space="preserve">Disease-causing SCN2A variants (DEE6A mutations: gain-of-function and loss-of-function variants)</w:t>
      </w:r>
    </w:p>
    <w:p>
      <w:pPr>
        <w:pStyle w:val="ListParagraph"/>
        <w:numPr>
          <w:ilvl w:val="0"/>
          <w:numId w:val="2"/>
        </w:numPr>
        <w:spacing w:after="100" w:line="360"/>
      </w:pPr>
      <w:r>
        <w:rPr>
          <w:rFonts w:ascii="Arial" w:cs="Arial" w:eastAsia="Arial" w:hAnsi="Arial"/>
          <w:sz w:val="24"/>
          <w:szCs w:val="24"/>
        </w:rPr>
        <w:t xml:space="preserve">SCN2A expression levels in neuron types (pyramidal neurons, interneurons, developmental stages)</w:t>
      </w:r>
    </w:p>
    <w:p>
      <w:pPr>
        <w:pStyle w:val="ListParagraph"/>
        <w:numPr>
          <w:ilvl w:val="0"/>
          <w:numId w:val="2"/>
        </w:numPr>
        <w:spacing w:after="100" w:line="360"/>
      </w:pPr>
      <w:r>
        <w:rPr>
          <w:rFonts w:ascii="Arial" w:cs="Arial" w:eastAsia="Arial" w:hAnsi="Arial"/>
          <w:sz w:val="24"/>
          <w:szCs w:val="24"/>
        </w:rPr>
        <w:t xml:space="preserve">Protein interaction network (SCN2A binding partners: beta subunits, modifying proteins, scaffold proteins)</w:t>
      </w:r>
    </w:p>
    <w:p>
      <w:pPr>
        <w:pStyle w:val="ListParagraph"/>
        <w:numPr>
          <w:ilvl w:val="0"/>
          <w:numId w:val="2"/>
        </w:numPr>
        <w:spacing w:after="100" w:line="360"/>
      </w:pPr>
      <w:r>
        <w:rPr>
          <w:rFonts w:ascii="Arial" w:cs="Arial" w:eastAsia="Arial" w:hAnsi="Arial"/>
          <w:sz w:val="24"/>
          <w:szCs w:val="24"/>
        </w:rPr>
        <w:t xml:space="preserve">Downstream excitability modulators: KCNQ2/3 (K+ channels), GRIN2B (NMDA), GABBR (GABA-B), calcium channels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STRING/BioGRID (SCN2A protein-protein interaction network, confidence scores)</w:t>
      </w:r>
    </w:p>
    <w:p>
      <w:pPr>
        <w:pStyle w:val="ListParagraph"/>
        <w:numPr>
          <w:ilvl w:val="0"/>
          <w:numId w:val="2"/>
        </w:numPr>
        <w:spacing w:after="100" w:line="360"/>
      </w:pPr>
      <w:r>
        <w:rPr>
          <w:rFonts w:ascii="Arial" w:cs="Arial" w:eastAsia="Arial" w:hAnsi="Arial"/>
          <w:sz w:val="24"/>
          <w:szCs w:val="24"/>
        </w:rPr>
        <w:t xml:space="preserve">SFARI Gene (autism spectrum disorder-associated genes, functional classifications)</w:t>
      </w:r>
    </w:p>
    <w:p>
      <w:pPr>
        <w:pStyle w:val="ListParagraph"/>
        <w:numPr>
          <w:ilvl w:val="0"/>
          <w:numId w:val="2"/>
        </w:numPr>
        <w:spacing w:after="100" w:line="360"/>
      </w:pPr>
      <w:r>
        <w:rPr>
          <w:rFonts w:ascii="Arial" w:cs="Arial" w:eastAsia="Arial" w:hAnsi="Arial"/>
          <w:sz w:val="24"/>
          <w:szCs w:val="24"/>
        </w:rPr>
        <w:t xml:space="preserve">Allen Brain Atlas (SCN2A expression across brain regions and cell types)</w:t>
      </w:r>
    </w:p>
    <w:p>
      <w:pPr>
        <w:pStyle w:val="ListParagraph"/>
        <w:numPr>
          <w:ilvl w:val="0"/>
          <w:numId w:val="2"/>
        </w:numPr>
        <w:spacing w:after="100" w:line="360"/>
      </w:pPr>
      <w:r>
        <w:rPr>
          <w:rFonts w:ascii="Arial" w:cs="Arial" w:eastAsia="Arial" w:hAnsi="Arial"/>
          <w:sz w:val="24"/>
          <w:szCs w:val="24"/>
        </w:rPr>
        <w:t xml:space="preserve">ClinVar/DECIPHER (disease-causing SCN2A variants, phenotype associations)</w:t>
      </w:r>
    </w:p>
    <w:p>
      <w:pPr>
        <w:pStyle w:val="ListParagraph"/>
        <w:numPr>
          <w:ilvl w:val="0"/>
          <w:numId w:val="2"/>
        </w:numPr>
        <w:spacing w:after="100" w:line="360"/>
      </w:pPr>
      <w:r>
        <w:rPr>
          <w:rFonts w:ascii="Arial" w:cs="Arial" w:eastAsia="Arial" w:hAnsi="Arial"/>
          <w:sz w:val="24"/>
          <w:szCs w:val="24"/>
        </w:rPr>
        <w:t xml:space="preserve">Protein Data Bank (SCN2A structure, alpha subunit domains, binding interfaces)</w:t>
      </w:r>
    </w:p>
    <w:p>
      <w:pPr>
        <w:pStyle w:val="ListParagraph"/>
        <w:numPr>
          <w:ilvl w:val="0"/>
          <w:numId w:val="2"/>
        </w:numPr>
        <w:spacing w:after="100" w:line="360"/>
      </w:pPr>
      <w:r>
        <w:rPr>
          <w:rFonts w:ascii="Arial" w:cs="Arial" w:eastAsia="Arial" w:hAnsi="Arial"/>
          <w:sz w:val="24"/>
          <w:szCs w:val="24"/>
        </w:rPr>
        <w:t xml:space="preserve">Custom network propagation algorithm (identify high-confidence synergistic targets)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SCN2A protein-protein interactions; identify 10 high-confidence binding partners involved in excitability regulation.</w:t>
      </w:r>
    </w:p>
    <w:p>
      <w:pPr>
        <w:pStyle w:val="ListParagraph"/>
        <w:numPr>
          <w:ilvl w:val="0"/>
          <w:numId w:val="2"/>
        </w:numPr>
        <w:spacing w:after="100" w:line="360"/>
      </w:pPr>
      <w:r>
        <w:rPr>
          <w:rFonts w:ascii="Arial" w:cs="Arial" w:eastAsia="Arial" w:hAnsi="Arial"/>
          <w:sz w:val="24"/>
          <w:szCs w:val="24"/>
        </w:rPr>
        <w:t xml:space="preserve">Classify SCN2A variants by functional consequence (gain-of-function: increased Na+ influx; loss-of-function: reduced current).</w:t>
      </w:r>
    </w:p>
    <w:p>
      <w:pPr>
        <w:pStyle w:val="ListParagraph"/>
        <w:numPr>
          <w:ilvl w:val="0"/>
          <w:numId w:val="2"/>
        </w:numPr>
        <w:spacing w:after="100" w:line="360"/>
      </w:pPr>
      <w:r>
        <w:rPr>
          <w:rFonts w:ascii="Arial" w:cs="Arial" w:eastAsia="Arial" w:hAnsi="Arial"/>
          <w:sz w:val="24"/>
          <w:szCs w:val="24"/>
        </w:rPr>
        <w:t xml:space="preserve">For gain-of-function SCN2A, predict downstream effector genes that enhance NAV1.2 activity or cause compensatory hyperexcitability.</w:t>
      </w:r>
    </w:p>
    <w:p>
      <w:pPr>
        <w:pStyle w:val="ListParagraph"/>
        <w:numPr>
          <w:ilvl w:val="0"/>
          <w:numId w:val="2"/>
        </w:numPr>
        <w:spacing w:after="100" w:line="360"/>
      </w:pPr>
      <w:r>
        <w:rPr>
          <w:rFonts w:ascii="Arial" w:cs="Arial" w:eastAsia="Arial" w:hAnsi="Arial"/>
          <w:sz w:val="24"/>
          <w:szCs w:val="24"/>
        </w:rPr>
        <w:t xml:space="preserve">Identify secondary targets that suppress sodium channel activity or enhance GABAergic inhibition (e.g., KCNQ2, GABRA1, GABBR).</w:t>
      </w:r>
    </w:p>
    <w:p>
      <w:pPr>
        <w:pStyle w:val="ListParagraph"/>
        <w:numPr>
          <w:ilvl w:val="0"/>
          <w:numId w:val="2"/>
        </w:numPr>
        <w:spacing w:after="100" w:line="360"/>
      </w:pPr>
      <w:r>
        <w:rPr>
          <w:rFonts w:ascii="Arial" w:cs="Arial" w:eastAsia="Arial" w:hAnsi="Arial"/>
          <w:sz w:val="24"/>
          <w:szCs w:val="24"/>
        </w:rPr>
        <w:t xml:space="preserve">Rank downstream targets by synergy potential: dual knockdown (SCN2A + target) predicted to outperform monotherapy &gt;20%.</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SCN2A protein interaction network diagram (high-confidence partners, edge weights)</w:t>
      </w:r>
    </w:p>
    <w:p>
      <w:pPr>
        <w:pStyle w:val="ListParagraph"/>
        <w:numPr>
          <w:ilvl w:val="0"/>
          <w:numId w:val="2"/>
        </w:numPr>
        <w:spacing w:after="100" w:line="360"/>
      </w:pPr>
      <w:r>
        <w:rPr>
          <w:rFonts w:ascii="Arial" w:cs="Arial" w:eastAsia="Arial" w:hAnsi="Arial"/>
          <w:sz w:val="24"/>
          <w:szCs w:val="24"/>
        </w:rPr>
        <w:t xml:space="preserve">Disease variant classification by mechanism (GOF vs. LOF, channel kinetics predictions)</w:t>
      </w:r>
    </w:p>
    <w:p>
      <w:pPr>
        <w:pStyle w:val="ListParagraph"/>
        <w:numPr>
          <w:ilvl w:val="0"/>
          <w:numId w:val="2"/>
        </w:numPr>
        <w:spacing w:after="100" w:line="360"/>
      </w:pPr>
      <w:r>
        <w:rPr>
          <w:rFonts w:ascii="Arial" w:cs="Arial" w:eastAsia="Arial" w:hAnsi="Arial"/>
          <w:sz w:val="24"/>
          <w:szCs w:val="24"/>
        </w:rPr>
        <w:t xml:space="preserve">SCN2A expression profile across neuronal subtypes and developmental stages</w:t>
      </w:r>
    </w:p>
    <w:p>
      <w:pPr>
        <w:pStyle w:val="ListParagraph"/>
        <w:numPr>
          <w:ilvl w:val="0"/>
          <w:numId w:val="2"/>
        </w:numPr>
        <w:spacing w:after="100" w:line="360"/>
      </w:pPr>
      <w:r>
        <w:rPr>
          <w:rFonts w:ascii="Arial" w:cs="Arial" w:eastAsia="Arial" w:hAnsi="Arial"/>
          <w:sz w:val="24"/>
          <w:szCs w:val="24"/>
        </w:rPr>
        <w:t xml:space="preserve">Downstream excitability network map (ion channels, neurotransmitter receptors, kinases)</w:t>
      </w:r>
    </w:p>
    <w:p>
      <w:pPr>
        <w:pStyle w:val="ListParagraph"/>
        <w:numPr>
          <w:ilvl w:val="0"/>
          <w:numId w:val="2"/>
        </w:numPr>
        <w:spacing w:after="100" w:line="360"/>
      </w:pPr>
      <w:r>
        <w:rPr>
          <w:rFonts w:ascii="Arial" w:cs="Arial" w:eastAsia="Arial" w:hAnsi="Arial"/>
          <w:sz w:val="24"/>
          <w:szCs w:val="24"/>
        </w:rPr>
        <w:t xml:space="preserve">Synergistic target scoring matrix (predicted rescue efficacy for each dual-target combination)</w:t>
      </w:r>
    </w:p>
    <w:p>
      <w:pPr>
        <w:pStyle w:val="ListParagraph"/>
        <w:numPr>
          <w:ilvl w:val="0"/>
          <w:numId w:val="2"/>
        </w:numPr>
        <w:spacing w:after="100" w:line="360"/>
      </w:pPr>
      <w:r>
        <w:rPr>
          <w:rFonts w:ascii="Arial" w:cs="Arial" w:eastAsia="Arial" w:hAnsi="Arial"/>
          <w:sz w:val="24"/>
          <w:szCs w:val="24"/>
        </w:rPr>
        <w:t xml:space="preserve">Top 5 recommended co-targets ranked by synergy score and therapeutic rationale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Protein interaction network graph + variant classification table + expression heatmap + synergy scoring matrix + mechanistic pathway diagram</w:t>
      </w:r>
    </w:p>
    <w:p>
      <w:pPr>
        <w:pStyle w:val="Heading2"/>
        <w:spacing w:after="200" w:before="200" w:line="360"/>
      </w:pPr>
      <w:r>
        <w:rPr>
          <w:rFonts w:ascii="Arial" w:cs="Arial" w:eastAsia="Arial" w:hAnsi="Arial"/>
          <w:b/>
          <w:bCs/>
          <w:sz w:val="28"/>
          <w:szCs w:val="28"/>
        </w:rPr>
        <w:t xml:space="preserve">Stage 2: Dual-ASO Design &amp; Target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two complementary ASOs targeting SCN2A and synergistic co-target, optimized for combinatorial efficacy.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SCN2A transcript sequence and alternative isoforms</w:t>
      </w:r>
    </w:p>
    <w:p>
      <w:pPr>
        <w:pStyle w:val="ListParagraph"/>
        <w:numPr>
          <w:ilvl w:val="0"/>
          <w:numId w:val="2"/>
        </w:numPr>
        <w:spacing w:after="100" w:line="360"/>
      </w:pPr>
      <w:r>
        <w:rPr>
          <w:rFonts w:ascii="Arial" w:cs="Arial" w:eastAsia="Arial" w:hAnsi="Arial"/>
          <w:sz w:val="24"/>
          <w:szCs w:val="24"/>
        </w:rPr>
        <w:t xml:space="preserve">Top synergistic co-target (e.g., KCNQ2, GABBR1, GRIN2B) and transcript variants</w:t>
      </w:r>
    </w:p>
    <w:p>
      <w:pPr>
        <w:pStyle w:val="ListParagraph"/>
        <w:numPr>
          <w:ilvl w:val="0"/>
          <w:numId w:val="2"/>
        </w:numPr>
        <w:spacing w:after="100" w:line="360"/>
      </w:pPr>
      <w:r>
        <w:rPr>
          <w:rFonts w:ascii="Arial" w:cs="Arial" w:eastAsia="Arial" w:hAnsi="Arial"/>
          <w:sz w:val="24"/>
          <w:szCs w:val="24"/>
        </w:rPr>
        <w:t xml:space="preserve">Functional requirement: SCN2A knockdown (50–70% reduction); co-target knockdown (30–50% reduction)</w:t>
      </w:r>
    </w:p>
    <w:p>
      <w:pPr>
        <w:pStyle w:val="ListParagraph"/>
        <w:numPr>
          <w:ilvl w:val="0"/>
          <w:numId w:val="2"/>
        </w:numPr>
        <w:spacing w:after="100" w:line="360"/>
      </w:pPr>
      <w:r>
        <w:rPr>
          <w:rFonts w:ascii="Arial" w:cs="Arial" w:eastAsia="Arial" w:hAnsi="Arial"/>
          <w:sz w:val="24"/>
          <w:szCs w:val="24"/>
        </w:rPr>
        <w:t xml:space="preserve">Off-target avoidance: related sodium channels (SCN1A, SCN3A, SCN8A), other potassium channels (KCNQ1, KCNQ4)</w:t>
      </w:r>
    </w:p>
    <w:p>
      <w:pPr>
        <w:pStyle w:val="ListParagraph"/>
        <w:numPr>
          <w:ilvl w:val="0"/>
          <w:numId w:val="2"/>
        </w:numPr>
        <w:spacing w:after="100" w:line="360"/>
      </w:pPr>
      <w:r>
        <w:rPr>
          <w:rFonts w:ascii="Arial" w:cs="Arial" w:eastAsia="Arial" w:hAnsi="Arial"/>
          <w:sz w:val="24"/>
          <w:szCs w:val="24"/>
        </w:rPr>
        <w:t xml:space="preserve">Pharmacokinetic balance: both ASOs should have comparable CNS penetration and half-life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Geneious Pro (dual-target sequence alignment, ASO design for both transcripts)</w:t>
      </w:r>
    </w:p>
    <w:p>
      <w:pPr>
        <w:pStyle w:val="ListParagraph"/>
        <w:numPr>
          <w:ilvl w:val="0"/>
          <w:numId w:val="2"/>
        </w:numPr>
        <w:spacing w:after="100" w:line="360"/>
      </w:pPr>
      <w:r>
        <w:rPr>
          <w:rFonts w:ascii="Arial" w:cs="Arial" w:eastAsia="Arial" w:hAnsi="Arial"/>
          <w:sz w:val="24"/>
          <w:szCs w:val="24"/>
        </w:rPr>
        <w:t xml:space="preserve">ASOD database (known effective ASO designs for SCN and ion channel targets)</w:t>
      </w:r>
    </w:p>
    <w:p>
      <w:pPr>
        <w:pStyle w:val="ListParagraph"/>
        <w:numPr>
          <w:ilvl w:val="0"/>
          <w:numId w:val="2"/>
        </w:numPr>
        <w:spacing w:after="100" w:line="360"/>
      </w:pPr>
      <w:r>
        <w:rPr>
          <w:rFonts w:ascii="Arial" w:cs="Arial" w:eastAsia="Arial" w:hAnsi="Arial"/>
          <w:sz w:val="24"/>
          <w:szCs w:val="24"/>
        </w:rPr>
        <w:t xml:space="preserve">BLAST-N (off-target screening against related ion channel genes)</w:t>
      </w:r>
    </w:p>
    <w:p>
      <w:pPr>
        <w:pStyle w:val="ListParagraph"/>
        <w:numPr>
          <w:ilvl w:val="0"/>
          <w:numId w:val="2"/>
        </w:numPr>
        <w:spacing w:after="100" w:line="360"/>
      </w:pPr>
      <w:r>
        <w:rPr>
          <w:rFonts w:ascii="Arial" w:cs="Arial" w:eastAsia="Arial" w:hAnsi="Arial"/>
          <w:sz w:val="24"/>
          <w:szCs w:val="24"/>
        </w:rPr>
        <w:t xml:space="preserve">ViennaRNA (secondary structure of both targets, accessibility prediction)</w:t>
      </w:r>
    </w:p>
    <w:p>
      <w:pPr>
        <w:pStyle w:val="ListParagraph"/>
        <w:numPr>
          <w:ilvl w:val="0"/>
          <w:numId w:val="2"/>
        </w:numPr>
        <w:spacing w:after="100" w:line="360"/>
      </w:pPr>
      <w:r>
        <w:rPr>
          <w:rFonts w:ascii="Arial" w:cs="Arial" w:eastAsia="Arial" w:hAnsi="Arial"/>
          <w:sz w:val="24"/>
          <w:szCs w:val="24"/>
        </w:rPr>
        <w:t xml:space="preserve">Custom dual-target efficacy predictor (synergy scoring based on functional network models)</w:t>
      </w:r>
    </w:p>
    <w:p>
      <w:pPr>
        <w:pStyle w:val="ListParagraph"/>
        <w:numPr>
          <w:ilvl w:val="0"/>
          <w:numId w:val="2"/>
        </w:numPr>
        <w:spacing w:after="100" w:line="360"/>
      </w:pPr>
      <w:r>
        <w:rPr>
          <w:rFonts w:ascii="Arial" w:cs="Arial" w:eastAsia="Arial" w:hAnsi="Arial"/>
          <w:sz w:val="24"/>
          <w:szCs w:val="24"/>
        </w:rPr>
        <w:t xml:space="preserve">RNase H activity predictor (specificity and cleavage efficiency for each ASO)</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3 ASO candidates targeting SCN2A and 3 candidates targeting co-target (9 dual-ASO combinations possible).</w:t>
      </w:r>
    </w:p>
    <w:p>
      <w:pPr>
        <w:pStyle w:val="ListParagraph"/>
        <w:numPr>
          <w:ilvl w:val="0"/>
          <w:numId w:val="2"/>
        </w:numPr>
        <w:spacing w:after="100" w:line="360"/>
      </w:pPr>
      <w:r>
        <w:rPr>
          <w:rFonts w:ascii="Arial" w:cs="Arial" w:eastAsia="Arial" w:hAnsi="Arial"/>
          <w:sz w:val="24"/>
          <w:szCs w:val="24"/>
        </w:rPr>
        <w:t xml:space="preserve">Predict synergy scores for each dual-ASO combination (using interaction network models and functional prediction).</w:t>
      </w:r>
    </w:p>
    <w:p>
      <w:pPr>
        <w:pStyle w:val="ListParagraph"/>
        <w:numPr>
          <w:ilvl w:val="0"/>
          <w:numId w:val="2"/>
        </w:numPr>
        <w:spacing w:after="100" w:line="360"/>
      </w:pPr>
      <w:r>
        <w:rPr>
          <w:rFonts w:ascii="Arial" w:cs="Arial" w:eastAsia="Arial" w:hAnsi="Arial"/>
          <w:sz w:val="24"/>
          <w:szCs w:val="24"/>
        </w:rPr>
        <w:t xml:space="preserve">Screen all 6 ASOs for off-target binding to related ion channel genes (tolerance: &lt;2 mismatches per off-target).</w:t>
      </w:r>
    </w:p>
    <w:p>
      <w:pPr>
        <w:pStyle w:val="ListParagraph"/>
        <w:numPr>
          <w:ilvl w:val="0"/>
          <w:numId w:val="2"/>
        </w:numPr>
        <w:spacing w:after="100" w:line="360"/>
      </w:pPr>
      <w:r>
        <w:rPr>
          <w:rFonts w:ascii="Arial" w:cs="Arial" w:eastAsia="Arial" w:hAnsi="Arial"/>
          <w:sz w:val="24"/>
          <w:szCs w:val="24"/>
        </w:rPr>
        <w:t xml:space="preserve">Model RNA secondary structure of both targets; predict ASO accessibility and RNase H recruitment efficiency.</w:t>
      </w:r>
    </w:p>
    <w:p>
      <w:pPr>
        <w:pStyle w:val="ListParagraph"/>
        <w:numPr>
          <w:ilvl w:val="0"/>
          <w:numId w:val="2"/>
        </w:numPr>
        <w:spacing w:after="100" w:line="360"/>
      </w:pPr>
      <w:r>
        <w:rPr>
          <w:rFonts w:ascii="Arial" w:cs="Arial" w:eastAsia="Arial" w:hAnsi="Arial"/>
          <w:sz w:val="24"/>
          <w:szCs w:val="24"/>
        </w:rPr>
        <w:t xml:space="preserve">Rank dual-ASO combinations by predicted synergy score; select top 2 for chemical optimization.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dual-ASO combinations (5 top pairs with synergy scores and rationale)</w:t>
      </w:r>
    </w:p>
    <w:p>
      <w:pPr>
        <w:pStyle w:val="ListParagraph"/>
        <w:numPr>
          <w:ilvl w:val="0"/>
          <w:numId w:val="2"/>
        </w:numPr>
        <w:spacing w:after="100" w:line="360"/>
      </w:pPr>
      <w:r>
        <w:rPr>
          <w:rFonts w:ascii="Arial" w:cs="Arial" w:eastAsia="Arial" w:hAnsi="Arial"/>
          <w:sz w:val="24"/>
          <w:szCs w:val="24"/>
        </w:rPr>
        <w:t xml:space="preserve">Individual ASO sequences for SCN2A and co-target (with Tm, GC%, secondary structure predictions)</w:t>
      </w:r>
    </w:p>
    <w:p>
      <w:pPr>
        <w:pStyle w:val="ListParagraph"/>
        <w:numPr>
          <w:ilvl w:val="0"/>
          <w:numId w:val="2"/>
        </w:numPr>
        <w:spacing w:after="100" w:line="360"/>
      </w:pPr>
      <w:r>
        <w:rPr>
          <w:rFonts w:ascii="Arial" w:cs="Arial" w:eastAsia="Arial" w:hAnsi="Arial"/>
          <w:sz w:val="24"/>
          <w:szCs w:val="24"/>
        </w:rPr>
        <w:t xml:space="preserve">Off-target analysis (alignment scores, mismatch counts for related ion channel genes)</w:t>
      </w:r>
    </w:p>
    <w:p>
      <w:pPr>
        <w:pStyle w:val="ListParagraph"/>
        <w:numPr>
          <w:ilvl w:val="0"/>
          <w:numId w:val="2"/>
        </w:numPr>
        <w:spacing w:after="100" w:line="360"/>
      </w:pPr>
      <w:r>
        <w:rPr>
          <w:rFonts w:ascii="Arial" w:cs="Arial" w:eastAsia="Arial" w:hAnsi="Arial"/>
          <w:sz w:val="24"/>
          <w:szCs w:val="24"/>
        </w:rPr>
        <w:t xml:space="preserve">Secondary structure maps with ASO binding sites highlighted for both targets</w:t>
      </w:r>
    </w:p>
    <w:p>
      <w:pPr>
        <w:pStyle w:val="ListParagraph"/>
        <w:numPr>
          <w:ilvl w:val="0"/>
          <w:numId w:val="2"/>
        </w:numPr>
        <w:spacing w:after="100" w:line="360"/>
      </w:pPr>
      <w:r>
        <w:rPr>
          <w:rFonts w:ascii="Arial" w:cs="Arial" w:eastAsia="Arial" w:hAnsi="Arial"/>
          <w:sz w:val="24"/>
          <w:szCs w:val="24"/>
        </w:rPr>
        <w:t xml:space="preserve">Predicted knockdown efficacy per ASO and synergistic rescue per combination</w:t>
      </w:r>
    </w:p>
    <w:p>
      <w:pPr>
        <w:pStyle w:val="ListParagraph"/>
        <w:numPr>
          <w:ilvl w:val="0"/>
          <w:numId w:val="2"/>
        </w:numPr>
        <w:spacing w:after="100" w:line="360"/>
      </w:pPr>
      <w:r>
        <w:rPr>
          <w:rFonts w:ascii="Arial" w:cs="Arial" w:eastAsia="Arial" w:hAnsi="Arial"/>
          <w:sz w:val="24"/>
          <w:szCs w:val="24"/>
        </w:rPr>
        <w:t xml:space="preserve">Dosing recommendations for dual-ASO therapy (estimated EC50, therapeutic window for each ASO)</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Dual-ASO sequence list with scores + off-target alignment matrix + secondary structure diagrams + synergy prediction table + dosing recommendations</w:t>
      </w:r>
    </w:p>
    <w:p>
      <w:pPr>
        <w:pStyle w:val="Heading2"/>
        <w:spacing w:after="200" w:before="200" w:line="360"/>
      </w:pPr>
      <w:r>
        <w:rPr>
          <w:rFonts w:ascii="Arial" w:cs="Arial" w:eastAsia="Arial" w:hAnsi="Arial"/>
          <w:b/>
          <w:bCs/>
          <w:sz w:val="28"/>
          <w:szCs w:val="28"/>
        </w:rPr>
        <w:t xml:space="preserve">Stage 3: Chemical Modification &amp; Balanced CNS Delivery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chemical modifications for both ASOs to achieve balanced CNS delivery with compatible pharmacokinetics.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 dual-ASO combinations selected from design stage</w:t>
      </w:r>
    </w:p>
    <w:p>
      <w:pPr>
        <w:pStyle w:val="ListParagraph"/>
        <w:numPr>
          <w:ilvl w:val="0"/>
          <w:numId w:val="2"/>
        </w:numPr>
        <w:spacing w:after="100" w:line="360"/>
      </w:pPr>
      <w:r>
        <w:rPr>
          <w:rFonts w:ascii="Arial" w:cs="Arial" w:eastAsia="Arial" w:hAnsi="Arial"/>
          <w:sz w:val="24"/>
          <w:szCs w:val="24"/>
        </w:rPr>
        <w:t xml:space="preserve">Target CNS penetration: brain/plasma ratio &gt;0.3 for both ASOs</w:t>
      </w:r>
    </w:p>
    <w:p>
      <w:pPr>
        <w:pStyle w:val="ListParagraph"/>
        <w:numPr>
          <w:ilvl w:val="0"/>
          <w:numId w:val="2"/>
        </w:numPr>
        <w:spacing w:after="100" w:line="360"/>
      </w:pPr>
      <w:r>
        <w:rPr>
          <w:rFonts w:ascii="Arial" w:cs="Arial" w:eastAsia="Arial" w:hAnsi="Arial"/>
          <w:sz w:val="24"/>
          <w:szCs w:val="24"/>
        </w:rPr>
        <w:t xml:space="preserve">Compatible half-life requirement (both ASOs should have similar CSF/brain elimination rates to maintain therapeutic ratio)</w:t>
      </w:r>
    </w:p>
    <w:p>
      <w:pPr>
        <w:pStyle w:val="ListParagraph"/>
        <w:numPr>
          <w:ilvl w:val="0"/>
          <w:numId w:val="2"/>
        </w:numPr>
        <w:spacing w:after="100" w:line="360"/>
      </w:pPr>
      <w:r>
        <w:rPr>
          <w:rFonts w:ascii="Arial" w:cs="Arial" w:eastAsia="Arial" w:hAnsi="Arial"/>
          <w:sz w:val="24"/>
          <w:szCs w:val="24"/>
        </w:rPr>
        <w:t xml:space="preserve">Neuronal uptake requirements for both ion channel targets (likely overlapping neuronal populations)</w:t>
      </w:r>
    </w:p>
    <w:p>
      <w:pPr>
        <w:pStyle w:val="ListParagraph"/>
        <w:numPr>
          <w:ilvl w:val="0"/>
          <w:numId w:val="2"/>
        </w:numPr>
        <w:spacing w:after="100" w:line="360"/>
      </w:pPr>
      <w:r>
        <w:rPr>
          <w:rFonts w:ascii="Arial" w:cs="Arial" w:eastAsia="Arial" w:hAnsi="Arial"/>
          <w:sz w:val="24"/>
          <w:szCs w:val="24"/>
        </w:rPr>
        <w:t xml:space="preserve">Immune tolerance: minimize neuroinflammation while maintaining RNase H activity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Dual-ASO pharmacokinetic modeling tool (predict brain accumulation for both ASOs simultaneously)</w:t>
      </w:r>
    </w:p>
    <w:p>
      <w:pPr>
        <w:pStyle w:val="ListParagraph"/>
        <w:numPr>
          <w:ilvl w:val="0"/>
          <w:numId w:val="2"/>
        </w:numPr>
        <w:spacing w:after="100" w:line="360"/>
      </w:pPr>
      <w:r>
        <w:rPr>
          <w:rFonts w:ascii="Arial" w:cs="Arial" w:eastAsia="Arial" w:hAnsi="Arial"/>
          <w:sz w:val="24"/>
          <w:szCs w:val="24"/>
        </w:rPr>
        <w:t xml:space="preserve">Chemical modification engine (optimize 2'MOE, PS, LNA for matched pharmacokinetics)</w:t>
      </w:r>
    </w:p>
    <w:p>
      <w:pPr>
        <w:pStyle w:val="ListParagraph"/>
        <w:numPr>
          <w:ilvl w:val="0"/>
          <w:numId w:val="2"/>
        </w:numPr>
        <w:spacing w:after="100" w:line="360"/>
      </w:pPr>
      <w:r>
        <w:rPr>
          <w:rFonts w:ascii="Arial" w:cs="Arial" w:eastAsia="Arial" w:hAnsi="Arial"/>
          <w:sz w:val="24"/>
          <w:szCs w:val="24"/>
        </w:rPr>
        <w:t xml:space="preserve">LogP predictor for dual ASOs (ensure comparable BBB penetration)</w:t>
      </w:r>
    </w:p>
    <w:p>
      <w:pPr>
        <w:pStyle w:val="ListParagraph"/>
        <w:numPr>
          <w:ilvl w:val="0"/>
          <w:numId w:val="2"/>
        </w:numPr>
        <w:spacing w:after="100" w:line="360"/>
      </w:pPr>
      <w:r>
        <w:rPr>
          <w:rFonts w:ascii="Arial" w:cs="Arial" w:eastAsia="Arial" w:hAnsi="Arial"/>
          <w:sz w:val="24"/>
          <w:szCs w:val="24"/>
        </w:rPr>
        <w:t xml:space="preserve">RNase H efficiency predictor (verify both ASOs maintain cleavage activity with modifications)</w:t>
      </w:r>
    </w:p>
    <w:p>
      <w:pPr>
        <w:pStyle w:val="ListParagraph"/>
        <w:numPr>
          <w:ilvl w:val="0"/>
          <w:numId w:val="2"/>
        </w:numPr>
        <w:spacing w:after="100" w:line="360"/>
      </w:pPr>
      <w:r>
        <w:rPr>
          <w:rFonts w:ascii="Arial" w:cs="Arial" w:eastAsia="Arial" w:hAnsi="Arial"/>
          <w:sz w:val="24"/>
          <w:szCs w:val="24"/>
        </w:rPr>
        <w:t xml:space="preserve">Neuroinflammation cytokine predictor (combined ASO immune fingerprint)</w:t>
      </w:r>
    </w:p>
    <w:p>
      <w:pPr>
        <w:pStyle w:val="ListParagraph"/>
        <w:numPr>
          <w:ilvl w:val="0"/>
          <w:numId w:val="2"/>
        </w:numPr>
        <w:spacing w:after="100" w:line="360"/>
      </w:pPr>
      <w:r>
        <w:rPr>
          <w:rFonts w:ascii="Arial" w:cs="Arial" w:eastAsia="Arial" w:hAnsi="Arial"/>
          <w:sz w:val="24"/>
          <w:szCs w:val="24"/>
        </w:rPr>
        <w:t xml:space="preserve">Bioequivalence calculator (ensure compatible half-lives and tissue distribution)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matching chemical modification schemes (2'MOE, PS, LNA) for SCN2A and co-target ASOs.</w:t>
      </w:r>
    </w:p>
    <w:p>
      <w:pPr>
        <w:pStyle w:val="ListParagraph"/>
        <w:numPr>
          <w:ilvl w:val="0"/>
          <w:numId w:val="2"/>
        </w:numPr>
        <w:spacing w:after="100" w:line="360"/>
      </w:pPr>
      <w:r>
        <w:rPr>
          <w:rFonts w:ascii="Arial" w:cs="Arial" w:eastAsia="Arial" w:hAnsi="Arial"/>
          <w:sz w:val="24"/>
          <w:szCs w:val="24"/>
        </w:rPr>
        <w:t xml:space="preserve">Predict CNS biodistribution for both ASOs; ensure similar brain uptake kinetics and half-lives (within 2-fold).</w:t>
      </w:r>
    </w:p>
    <w:p>
      <w:pPr>
        <w:pStyle w:val="ListParagraph"/>
        <w:numPr>
          <w:ilvl w:val="0"/>
          <w:numId w:val="2"/>
        </w:numPr>
        <w:spacing w:after="100" w:line="360"/>
      </w:pPr>
      <w:r>
        <w:rPr>
          <w:rFonts w:ascii="Arial" w:cs="Arial" w:eastAsia="Arial" w:hAnsi="Arial"/>
          <w:sz w:val="24"/>
          <w:szCs w:val="24"/>
        </w:rPr>
        <w:t xml:space="preserve">Calculate LogP and charge state for each modified ASO; predict comparable BBB penetration efficiency.</w:t>
      </w:r>
    </w:p>
    <w:p>
      <w:pPr>
        <w:pStyle w:val="ListParagraph"/>
        <w:numPr>
          <w:ilvl w:val="0"/>
          <w:numId w:val="2"/>
        </w:numPr>
        <w:spacing w:after="100" w:line="360"/>
      </w:pPr>
      <w:r>
        <w:rPr>
          <w:rFonts w:ascii="Arial" w:cs="Arial" w:eastAsia="Arial" w:hAnsi="Arial"/>
          <w:sz w:val="24"/>
          <w:szCs w:val="24"/>
        </w:rPr>
        <w:t xml:space="preserve">Model neuroinflammatory activation for dual-ASO cocktail; estimate TNFα, IL-6, IFNγ production.</w:t>
      </w:r>
    </w:p>
    <w:p>
      <w:pPr>
        <w:pStyle w:val="ListParagraph"/>
        <w:numPr>
          <w:ilvl w:val="0"/>
          <w:numId w:val="2"/>
        </w:numPr>
        <w:spacing w:after="100" w:line="360"/>
      </w:pPr>
      <w:r>
        <w:rPr>
          <w:rFonts w:ascii="Arial" w:cs="Arial" w:eastAsia="Arial" w:hAnsi="Arial"/>
          <w:sz w:val="24"/>
          <w:szCs w:val="24"/>
        </w:rPr>
        <w:t xml:space="preserve">Verify RNase H activity for both modified ASOs; ensure ≥60% cleavage efficiency compared to unmodified control.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Optimized dual-ASO sequences with full chemical annotation (2'MOE positions, PS linkages, LNA distribution)</w:t>
      </w:r>
    </w:p>
    <w:p>
      <w:pPr>
        <w:pStyle w:val="ListParagraph"/>
        <w:numPr>
          <w:ilvl w:val="0"/>
          <w:numId w:val="2"/>
        </w:numPr>
        <w:spacing w:after="100" w:line="360"/>
      </w:pPr>
      <w:r>
        <w:rPr>
          <w:rFonts w:ascii="Arial" w:cs="Arial" w:eastAsia="Arial" w:hAnsi="Arial"/>
          <w:sz w:val="24"/>
          <w:szCs w:val="24"/>
        </w:rPr>
        <w:t xml:space="preserve">Matched pharmacokinetic predictions (brain/plasma ratios, CSF half-lives, tissue distribution)</w:t>
      </w:r>
    </w:p>
    <w:p>
      <w:pPr>
        <w:pStyle w:val="ListParagraph"/>
        <w:numPr>
          <w:ilvl w:val="0"/>
          <w:numId w:val="2"/>
        </w:numPr>
        <w:spacing w:after="100" w:line="360"/>
      </w:pPr>
      <w:r>
        <w:rPr>
          <w:rFonts w:ascii="Arial" w:cs="Arial" w:eastAsia="Arial" w:hAnsi="Arial"/>
          <w:sz w:val="24"/>
          <w:szCs w:val="24"/>
        </w:rPr>
        <w:t xml:space="preserve">LogP and charge state comparison (ensure comparable BBB penetration for both ASOs)</w:t>
      </w:r>
    </w:p>
    <w:p>
      <w:pPr>
        <w:pStyle w:val="ListParagraph"/>
        <w:numPr>
          <w:ilvl w:val="0"/>
          <w:numId w:val="2"/>
        </w:numPr>
        <w:spacing w:after="100" w:line="360"/>
      </w:pPr>
      <w:r>
        <w:rPr>
          <w:rFonts w:ascii="Arial" w:cs="Arial" w:eastAsia="Arial" w:hAnsi="Arial"/>
          <w:sz w:val="24"/>
          <w:szCs w:val="24"/>
        </w:rPr>
        <w:t xml:space="preserve">RNase H cleavage efficiency for each modified ASO</w:t>
      </w:r>
    </w:p>
    <w:p>
      <w:pPr>
        <w:pStyle w:val="ListParagraph"/>
        <w:numPr>
          <w:ilvl w:val="0"/>
          <w:numId w:val="2"/>
        </w:numPr>
        <w:spacing w:after="100" w:line="360"/>
      </w:pPr>
      <w:r>
        <w:rPr>
          <w:rFonts w:ascii="Arial" w:cs="Arial" w:eastAsia="Arial" w:hAnsi="Arial"/>
          <w:sz w:val="24"/>
          <w:szCs w:val="24"/>
        </w:rPr>
        <w:t xml:space="preserve">Immune activation profile for dual-ASO cocktail (TNFα, IL-6, IFNγ predictions)</w:t>
      </w:r>
    </w:p>
    <w:p>
      <w:pPr>
        <w:pStyle w:val="ListParagraph"/>
        <w:numPr>
          <w:ilvl w:val="0"/>
          <w:numId w:val="2"/>
        </w:numPr>
        <w:spacing w:after="100" w:line="360"/>
      </w:pPr>
      <w:r>
        <w:rPr>
          <w:rFonts w:ascii="Arial" w:cs="Arial" w:eastAsia="Arial" w:hAnsi="Arial"/>
          <w:sz w:val="24"/>
          <w:szCs w:val="24"/>
        </w:rPr>
        <w:t xml:space="preserve">Recommended co-administration strategy (simultaneous injection, concentration ratio, dosing interval)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Modified ASO sequence notation (dual-ASO pair) + matched PK curves + LogP/charge comparison + cleavage efficiency plots + immune risk profile</w:t>
      </w:r>
    </w:p>
    <w:p>
      <w:pPr>
        <w:pStyle w:val="Heading2"/>
        <w:spacing w:after="200" w:before="200" w:line="360"/>
      </w:pPr>
      <w:r>
        <w:rPr>
          <w:rFonts w:ascii="Arial" w:cs="Arial" w:eastAsia="Arial" w:hAnsi="Arial"/>
          <w:b/>
          <w:bCs/>
          <w:sz w:val="28"/>
          <w:szCs w:val="28"/>
        </w:rPr>
        <w:t xml:space="preserve">Stage 4: Ex Vivo Dual-Target Knockdown &amp; Synergy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combinatorial knockdown efficacy and synergistic rescue of excitability phenotype in patient-derived neurons.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DEE6A patient iPSC-derived neurons with SCN2A mutation (GOF or LOF)</w:t>
      </w:r>
    </w:p>
    <w:p>
      <w:pPr>
        <w:pStyle w:val="ListParagraph"/>
        <w:numPr>
          <w:ilvl w:val="0"/>
          <w:numId w:val="2"/>
        </w:numPr>
        <w:spacing w:after="100" w:line="360"/>
      </w:pPr>
      <w:r>
        <w:rPr>
          <w:rFonts w:ascii="Arial" w:cs="Arial" w:eastAsia="Arial" w:hAnsi="Arial"/>
          <w:sz w:val="24"/>
          <w:szCs w:val="24"/>
        </w:rPr>
        <w:t xml:space="preserve">Wild-type control neurons for functional comparison</w:t>
      </w:r>
    </w:p>
    <w:p>
      <w:pPr>
        <w:pStyle w:val="ListParagraph"/>
        <w:numPr>
          <w:ilvl w:val="0"/>
          <w:numId w:val="2"/>
        </w:numPr>
        <w:spacing w:after="100" w:line="360"/>
      </w:pPr>
      <w:r>
        <w:rPr>
          <w:rFonts w:ascii="Arial" w:cs="Arial" w:eastAsia="Arial" w:hAnsi="Arial"/>
          <w:sz w:val="24"/>
          <w:szCs w:val="24"/>
        </w:rPr>
        <w:t xml:space="preserve">Dual-ASO cocktail (SCN2A ASO + co-target ASO) and monotherapy controls</w:t>
      </w:r>
    </w:p>
    <w:p>
      <w:pPr>
        <w:pStyle w:val="ListParagraph"/>
        <w:numPr>
          <w:ilvl w:val="0"/>
          <w:numId w:val="2"/>
        </w:numPr>
        <w:spacing w:after="100" w:line="360"/>
      </w:pPr>
      <w:r>
        <w:rPr>
          <w:rFonts w:ascii="Arial" w:cs="Arial" w:eastAsia="Arial" w:hAnsi="Arial"/>
          <w:sz w:val="24"/>
          <w:szCs w:val="24"/>
        </w:rPr>
        <w:t xml:space="preserve">Sodium channel function assays: whole-cell patch clamp, voltage clamp</w:t>
      </w:r>
    </w:p>
    <w:p>
      <w:pPr>
        <w:pStyle w:val="ListParagraph"/>
        <w:numPr>
          <w:ilvl w:val="0"/>
          <w:numId w:val="2"/>
        </w:numPr>
        <w:spacing w:after="100" w:line="360"/>
      </w:pPr>
      <w:r>
        <w:rPr>
          <w:rFonts w:ascii="Arial" w:cs="Arial" w:eastAsia="Arial" w:hAnsi="Arial"/>
          <w:sz w:val="24"/>
          <w:szCs w:val="24"/>
        </w:rPr>
        <w:t xml:space="preserve">Downstream target knockdown confirmation: qPCR, Western blot</w:t>
      </w:r>
    </w:p>
    <w:p>
      <w:pPr>
        <w:pStyle w:val="ListParagraph"/>
        <w:numPr>
          <w:ilvl w:val="0"/>
          <w:numId w:val="2"/>
        </w:numPr>
        <w:spacing w:after="100" w:line="360"/>
      </w:pPr>
      <w:r>
        <w:rPr>
          <w:rFonts w:ascii="Arial" w:cs="Arial" w:eastAsia="Arial" w:hAnsi="Arial"/>
          <w:sz w:val="24"/>
          <w:szCs w:val="24"/>
        </w:rPr>
        <w:t xml:space="preserve">Excitability phenotype readouts: input resistance, firing frequency, action potential waveform</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qPCR with target-specific probes (SCN2A and co-target mRNA quantification, knockdown %)</w:t>
      </w:r>
    </w:p>
    <w:p>
      <w:pPr>
        <w:pStyle w:val="ListParagraph"/>
        <w:numPr>
          <w:ilvl w:val="0"/>
          <w:numId w:val="2"/>
        </w:numPr>
        <w:spacing w:after="100" w:line="360"/>
      </w:pPr>
      <w:r>
        <w:rPr>
          <w:rFonts w:ascii="Arial" w:cs="Arial" w:eastAsia="Arial" w:hAnsi="Arial"/>
          <w:sz w:val="24"/>
          <w:szCs w:val="24"/>
        </w:rPr>
        <w:t xml:space="preserve">Whole-cell patch-clamp recording (sodium current measurement, channel kinetics)</w:t>
      </w:r>
    </w:p>
    <w:p>
      <w:pPr>
        <w:pStyle w:val="ListParagraph"/>
        <w:numPr>
          <w:ilvl w:val="0"/>
          <w:numId w:val="2"/>
        </w:numPr>
        <w:spacing w:after="100" w:line="360"/>
      </w:pPr>
      <w:r>
        <w:rPr>
          <w:rFonts w:ascii="Arial" w:cs="Arial" w:eastAsia="Arial" w:hAnsi="Arial"/>
          <w:sz w:val="24"/>
          <w:szCs w:val="24"/>
        </w:rPr>
        <w:t xml:space="preserve">High-speed calcium imaging (neuronal excitability, firing patterns, burst analysis)</w:t>
      </w:r>
    </w:p>
    <w:p>
      <w:pPr>
        <w:pStyle w:val="ListParagraph"/>
        <w:numPr>
          <w:ilvl w:val="0"/>
          <w:numId w:val="2"/>
        </w:numPr>
        <w:spacing w:after="100" w:line="360"/>
      </w:pPr>
      <w:r>
        <w:rPr>
          <w:rFonts w:ascii="Arial" w:cs="Arial" w:eastAsia="Arial" w:hAnsi="Arial"/>
          <w:sz w:val="24"/>
          <w:szCs w:val="24"/>
        </w:rPr>
        <w:t xml:space="preserve">RNA-seq (target-level confirmation, off-target transcript effects)</w:t>
      </w:r>
    </w:p>
    <w:p>
      <w:pPr>
        <w:pStyle w:val="ListParagraph"/>
        <w:numPr>
          <w:ilvl w:val="0"/>
          <w:numId w:val="2"/>
        </w:numPr>
        <w:spacing w:after="100" w:line="360"/>
      </w:pPr>
      <w:r>
        <w:rPr>
          <w:rFonts w:ascii="Arial" w:cs="Arial" w:eastAsia="Arial" w:hAnsi="Arial"/>
          <w:sz w:val="24"/>
          <w:szCs w:val="24"/>
        </w:rPr>
        <w:t xml:space="preserve">Immunofluorescence (NAV1.2 protein expression, localization, co-target protein levels)</w:t>
      </w:r>
    </w:p>
    <w:p>
      <w:pPr>
        <w:pStyle w:val="ListParagraph"/>
        <w:numPr>
          <w:ilvl w:val="0"/>
          <w:numId w:val="2"/>
        </w:numPr>
        <w:spacing w:after="100" w:line="360"/>
      </w:pPr>
      <w:r>
        <w:rPr>
          <w:rFonts w:ascii="Arial" w:cs="Arial" w:eastAsia="Arial" w:hAnsi="Arial"/>
          <w:sz w:val="24"/>
          <w:szCs w:val="24"/>
        </w:rPr>
        <w:t xml:space="preserve">Custom synergy analysis algorithm (calculate synergy scores from electrophysiology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SCN2A mRNA knockdown with SCN2A ASO alone vs. dual-ASO cocktail; quantify synergy.</w:t>
      </w:r>
    </w:p>
    <w:p>
      <w:pPr>
        <w:pStyle w:val="ListParagraph"/>
        <w:numPr>
          <w:ilvl w:val="0"/>
          <w:numId w:val="2"/>
        </w:numPr>
        <w:spacing w:after="100" w:line="360"/>
      </w:pPr>
      <w:r>
        <w:rPr>
          <w:rFonts w:ascii="Arial" w:cs="Arial" w:eastAsia="Arial" w:hAnsi="Arial"/>
          <w:sz w:val="24"/>
          <w:szCs w:val="24"/>
        </w:rPr>
        <w:t xml:space="preserve">Record whole-cell sodium current in DEE6A neurons ± single ASOs vs. dual-ASO cocktail; assess current reduction.</w:t>
      </w:r>
    </w:p>
    <w:p>
      <w:pPr>
        <w:pStyle w:val="ListParagraph"/>
        <w:numPr>
          <w:ilvl w:val="0"/>
          <w:numId w:val="2"/>
        </w:numPr>
        <w:spacing w:after="100" w:line="360"/>
      </w:pPr>
      <w:r>
        <w:rPr>
          <w:rFonts w:ascii="Arial" w:cs="Arial" w:eastAsia="Arial" w:hAnsi="Arial"/>
          <w:sz w:val="24"/>
          <w:szCs w:val="24"/>
        </w:rPr>
        <w:t xml:space="preserve">Quantify resting membrane potential and action potential firing frequency; predict recovery toward wild-type with monotherapy vs. dual-ASO.</w:t>
      </w:r>
    </w:p>
    <w:p>
      <w:pPr>
        <w:pStyle w:val="ListParagraph"/>
        <w:numPr>
          <w:ilvl w:val="0"/>
          <w:numId w:val="2"/>
        </w:numPr>
        <w:spacing w:after="100" w:line="360"/>
      </w:pPr>
      <w:r>
        <w:rPr>
          <w:rFonts w:ascii="Arial" w:cs="Arial" w:eastAsia="Arial" w:hAnsi="Arial"/>
          <w:sz w:val="24"/>
          <w:szCs w:val="24"/>
        </w:rPr>
        <w:t xml:space="preserve">Perform RNA-seq to verify co-target knockdown and assess off-target transcript changes.</w:t>
      </w:r>
    </w:p>
    <w:p>
      <w:pPr>
        <w:pStyle w:val="ListParagraph"/>
        <w:numPr>
          <w:ilvl w:val="0"/>
          <w:numId w:val="2"/>
        </w:numPr>
        <w:spacing w:after="100" w:line="360"/>
      </w:pPr>
      <w:r>
        <w:rPr>
          <w:rFonts w:ascii="Arial" w:cs="Arial" w:eastAsia="Arial" w:hAnsi="Arial"/>
          <w:sz w:val="24"/>
          <w:szCs w:val="24"/>
        </w:rPr>
        <w:t xml:space="preserve">Calculate synergy index: (monotherapy SCN2A knockdown + monotherapy co-target knockdown) vs. actual dual-ASO phenotype rescue.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mRNA knockdown quantification (fold-change for SCN2A and co-target, % reduction per treatment)</w:t>
      </w:r>
    </w:p>
    <w:p>
      <w:pPr>
        <w:pStyle w:val="ListParagraph"/>
        <w:numPr>
          <w:ilvl w:val="0"/>
          <w:numId w:val="2"/>
        </w:numPr>
        <w:spacing w:after="100" w:line="360"/>
      </w:pPr>
      <w:r>
        <w:rPr>
          <w:rFonts w:ascii="Arial" w:cs="Arial" w:eastAsia="Arial" w:hAnsi="Arial"/>
          <w:sz w:val="24"/>
          <w:szCs w:val="24"/>
        </w:rPr>
        <w:t xml:space="preserve">Sodium current measurements (pA, normalized current, kinetics parameters for GOF/LOF variants)</w:t>
      </w:r>
    </w:p>
    <w:p>
      <w:pPr>
        <w:pStyle w:val="ListParagraph"/>
        <w:numPr>
          <w:ilvl w:val="0"/>
          <w:numId w:val="2"/>
        </w:numPr>
        <w:spacing w:after="100" w:line="360"/>
      </w:pPr>
      <w:r>
        <w:rPr>
          <w:rFonts w:ascii="Arial" w:cs="Arial" w:eastAsia="Arial" w:hAnsi="Arial"/>
          <w:sz w:val="24"/>
          <w:szCs w:val="24"/>
        </w:rPr>
        <w:t xml:space="preserve">Neuronal excitability phenotype data (Vm, firing frequency, action potential amplitude and width)</w:t>
      </w:r>
    </w:p>
    <w:p>
      <w:pPr>
        <w:pStyle w:val="ListParagraph"/>
        <w:numPr>
          <w:ilvl w:val="0"/>
          <w:numId w:val="2"/>
        </w:numPr>
        <w:spacing w:after="100" w:line="360"/>
      </w:pPr>
      <w:r>
        <w:rPr>
          <w:rFonts w:ascii="Arial" w:cs="Arial" w:eastAsia="Arial" w:hAnsi="Arial"/>
          <w:sz w:val="24"/>
          <w:szCs w:val="24"/>
        </w:rPr>
        <w:t xml:space="preserve">NAV1.2 protein expression and localization (immunofluorescence quantification, surface vs. intracellular pools)</w:t>
      </w:r>
    </w:p>
    <w:p>
      <w:pPr>
        <w:pStyle w:val="ListParagraph"/>
        <w:numPr>
          <w:ilvl w:val="0"/>
          <w:numId w:val="2"/>
        </w:numPr>
        <w:spacing w:after="100" w:line="360"/>
      </w:pPr>
      <w:r>
        <w:rPr>
          <w:rFonts w:ascii="Arial" w:cs="Arial" w:eastAsia="Arial" w:hAnsi="Arial"/>
          <w:sz w:val="24"/>
          <w:szCs w:val="24"/>
        </w:rPr>
        <w:t xml:space="preserve">Off-target transcript analysis (RNA-seq, top 10 significantly changed genes)</w:t>
      </w:r>
    </w:p>
    <w:p>
      <w:pPr>
        <w:pStyle w:val="ListParagraph"/>
        <w:numPr>
          <w:ilvl w:val="0"/>
          <w:numId w:val="2"/>
        </w:numPr>
        <w:spacing w:after="100" w:line="360"/>
      </w:pPr>
      <w:r>
        <w:rPr>
          <w:rFonts w:ascii="Arial" w:cs="Arial" w:eastAsia="Arial" w:hAnsi="Arial"/>
          <w:sz w:val="24"/>
          <w:szCs w:val="24"/>
        </w:rPr>
        <w:t xml:space="preserve">Synergy index and predicted clinical benefit (monotherapy vs. dual-ASO rescue efficiency)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Target knockdown bar charts + sodium current I-V curves + action potential waveforms + immunofluorescence images + RNA-seq volcano plot + synergy scoring matrix</w:t>
      </w:r>
    </w:p>
    <w:p>
      <w:pPr>
        <w:pStyle w:val="Heading2"/>
        <w:spacing w:after="200" w:before="200" w:line="360"/>
      </w:pPr>
      <w:r>
        <w:rPr>
          <w:rFonts w:ascii="Arial" w:cs="Arial" w:eastAsia="Arial" w:hAnsi="Arial"/>
          <w:b/>
          <w:bCs/>
          <w:sz w:val="28"/>
          <w:szCs w:val="28"/>
        </w:rPr>
        <w:t xml:space="preserve">Stage 5: Network Excitability &amp; Seizure Suppression Assays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dual-ASO effects on neuronal network activity and seizure-like phenotype in patient-derived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DEE6A iPSC-derived neuronal networks (matured co-culture with excitatory and inhibitory neurons)</w:t>
      </w:r>
    </w:p>
    <w:p>
      <w:pPr>
        <w:pStyle w:val="ListParagraph"/>
        <w:numPr>
          <w:ilvl w:val="0"/>
          <w:numId w:val="2"/>
        </w:numPr>
        <w:spacing w:after="100" w:line="360"/>
      </w:pPr>
      <w:r>
        <w:rPr>
          <w:rFonts w:ascii="Arial" w:cs="Arial" w:eastAsia="Arial" w:hAnsi="Arial"/>
          <w:sz w:val="24"/>
          <w:szCs w:val="24"/>
        </w:rPr>
        <w:t xml:space="preserve">Seizure-like activity induction methods (elevated K+, 4-AP, bicuculline, reduced Mg2+)</w:t>
      </w:r>
    </w:p>
    <w:p>
      <w:pPr>
        <w:pStyle w:val="ListParagraph"/>
        <w:numPr>
          <w:ilvl w:val="0"/>
          <w:numId w:val="2"/>
        </w:numPr>
        <w:spacing w:after="100" w:line="360"/>
      </w:pPr>
      <w:r>
        <w:rPr>
          <w:rFonts w:ascii="Arial" w:cs="Arial" w:eastAsia="Arial" w:hAnsi="Arial"/>
          <w:sz w:val="24"/>
          <w:szCs w:val="24"/>
        </w:rPr>
        <w:t xml:space="preserve">Network activity readouts: multi-electrode arrays, calcium imaging, field recordings</w:t>
      </w:r>
    </w:p>
    <w:p>
      <w:pPr>
        <w:pStyle w:val="ListParagraph"/>
        <w:numPr>
          <w:ilvl w:val="0"/>
          <w:numId w:val="2"/>
        </w:numPr>
        <w:spacing w:after="100" w:line="360"/>
      </w:pPr>
      <w:r>
        <w:rPr>
          <w:rFonts w:ascii="Arial" w:cs="Arial" w:eastAsia="Arial" w:hAnsi="Arial"/>
          <w:sz w:val="24"/>
          <w:szCs w:val="24"/>
        </w:rPr>
        <w:t xml:space="preserve">Excitatory-inhibitory balance metrics (E-I ratio, burst properties, network synchrony)</w:t>
      </w:r>
    </w:p>
    <w:p>
      <w:pPr>
        <w:pStyle w:val="ListParagraph"/>
        <w:numPr>
          <w:ilvl w:val="0"/>
          <w:numId w:val="2"/>
        </w:numPr>
        <w:spacing w:after="100" w:line="360"/>
      </w:pPr>
      <w:r>
        <w:rPr>
          <w:rFonts w:ascii="Arial" w:cs="Arial" w:eastAsia="Arial" w:hAnsi="Arial"/>
          <w:sz w:val="24"/>
          <w:szCs w:val="24"/>
        </w:rPr>
        <w:t xml:space="preserve">Biomarkers of seizure suppression: burst frequency, duration, amplitude, inter-burst intervals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(MEA) recording (network spike activity, local field potential, burst analysis)</w:t>
      </w:r>
    </w:p>
    <w:p>
      <w:pPr>
        <w:pStyle w:val="ListParagraph"/>
        <w:numPr>
          <w:ilvl w:val="0"/>
          <w:numId w:val="2"/>
        </w:numPr>
        <w:spacing w:after="100" w:line="360"/>
      </w:pPr>
      <w:r>
        <w:rPr>
          <w:rFonts w:ascii="Arial" w:cs="Arial" w:eastAsia="Arial" w:hAnsi="Arial"/>
          <w:sz w:val="24"/>
          <w:szCs w:val="24"/>
        </w:rPr>
        <w:t xml:space="preserve">Calcium imaging with network reconstruction (neuronal morphology, connectivity, activity dynamics)</w:t>
      </w:r>
    </w:p>
    <w:p>
      <w:pPr>
        <w:pStyle w:val="ListParagraph"/>
        <w:numPr>
          <w:ilvl w:val="0"/>
          <w:numId w:val="2"/>
        </w:numPr>
        <w:spacing w:after="100" w:line="360"/>
      </w:pPr>
      <w:r>
        <w:rPr>
          <w:rFonts w:ascii="Arial" w:cs="Arial" w:eastAsia="Arial" w:hAnsi="Arial"/>
          <w:sz w:val="24"/>
          <w:szCs w:val="24"/>
        </w:rPr>
        <w:t xml:space="preserve">Custom burst detection algorithm (automated seizure-like event identification and quantification)</w:t>
      </w:r>
    </w:p>
    <w:p>
      <w:pPr>
        <w:pStyle w:val="ListParagraph"/>
        <w:numPr>
          <w:ilvl w:val="0"/>
          <w:numId w:val="2"/>
        </w:numPr>
        <w:spacing w:after="100" w:line="360"/>
      </w:pPr>
      <w:r>
        <w:rPr>
          <w:rFonts w:ascii="Arial" w:cs="Arial" w:eastAsia="Arial" w:hAnsi="Arial"/>
          <w:sz w:val="24"/>
          <w:szCs w:val="24"/>
        </w:rPr>
        <w:t xml:space="preserve">Network analysis tools (graph theory metrics: clustering, path length, degree distribution)</w:t>
      </w:r>
    </w:p>
    <w:p>
      <w:pPr>
        <w:pStyle w:val="ListParagraph"/>
        <w:numPr>
          <w:ilvl w:val="0"/>
          <w:numId w:val="2"/>
        </w:numPr>
        <w:spacing w:after="100" w:line="360"/>
      </w:pPr>
      <w:r>
        <w:rPr>
          <w:rFonts w:ascii="Arial" w:cs="Arial" w:eastAsia="Arial" w:hAnsi="Arial"/>
          <w:sz w:val="24"/>
          <w:szCs w:val="24"/>
        </w:rPr>
        <w:t xml:space="preserve">E-I balance quantification software (excitatory vs. inhibitory current contribution estimation)</w:t>
      </w:r>
    </w:p>
    <w:p>
      <w:pPr>
        <w:pStyle w:val="ListParagraph"/>
        <w:numPr>
          <w:ilvl w:val="0"/>
          <w:numId w:val="2"/>
        </w:numPr>
        <w:spacing w:after="100" w:line="360"/>
      </w:pPr>
      <w:r>
        <w:rPr>
          <w:rFonts w:ascii="Arial" w:cs="Arial" w:eastAsia="Arial" w:hAnsi="Arial"/>
          <w:sz w:val="24"/>
          <w:szCs w:val="24"/>
        </w:rPr>
        <w:t xml:space="preserve">Statistical analysis (two-way ANOVA, synergy testing: Loewe additivity model)</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Induce seizure-like activity in DEE6A networks; measure baseline burst frequency and characterize morphology.</w:t>
      </w:r>
    </w:p>
    <w:p>
      <w:pPr>
        <w:pStyle w:val="ListParagraph"/>
        <w:numPr>
          <w:ilvl w:val="0"/>
          <w:numId w:val="2"/>
        </w:numPr>
        <w:spacing w:after="100" w:line="360"/>
      </w:pPr>
      <w:r>
        <w:rPr>
          <w:rFonts w:ascii="Arial" w:cs="Arial" w:eastAsia="Arial" w:hAnsi="Arial"/>
          <w:sz w:val="24"/>
          <w:szCs w:val="24"/>
        </w:rPr>
        <w:t xml:space="preserve">Treat networks with monotherapy ASOs (SCN2A or co-target) and dual-ASO cocktail; measure seizure frequency reduction.</w:t>
      </w:r>
    </w:p>
    <w:p>
      <w:pPr>
        <w:pStyle w:val="ListParagraph"/>
        <w:numPr>
          <w:ilvl w:val="0"/>
          <w:numId w:val="2"/>
        </w:numPr>
        <w:spacing w:after="100" w:line="360"/>
      </w:pPr>
      <w:r>
        <w:rPr>
          <w:rFonts w:ascii="Arial" w:cs="Arial" w:eastAsia="Arial" w:hAnsi="Arial"/>
          <w:sz w:val="24"/>
          <w:szCs w:val="24"/>
        </w:rPr>
        <w:t xml:space="preserve">Quantify E-I balance in each condition; predict mechanism of synergistic seizure suppression.</w:t>
      </w:r>
    </w:p>
    <w:p>
      <w:pPr>
        <w:pStyle w:val="ListParagraph"/>
        <w:numPr>
          <w:ilvl w:val="0"/>
          <w:numId w:val="2"/>
        </w:numPr>
        <w:spacing w:after="100" w:line="360"/>
      </w:pPr>
      <w:r>
        <w:rPr>
          <w:rFonts w:ascii="Arial" w:cs="Arial" w:eastAsia="Arial" w:hAnsi="Arial"/>
          <w:sz w:val="24"/>
          <w:szCs w:val="24"/>
        </w:rPr>
        <w:t xml:space="preserve">Perform calcium imaging during seizure-like activity; measure network synchrony and propagation patterns.</w:t>
      </w:r>
    </w:p>
    <w:p>
      <w:pPr>
        <w:pStyle w:val="ListParagraph"/>
        <w:numPr>
          <w:ilvl w:val="0"/>
          <w:numId w:val="2"/>
        </w:numPr>
        <w:spacing w:after="100" w:line="360"/>
      </w:pPr>
      <w:r>
        <w:rPr>
          <w:rFonts w:ascii="Arial" w:cs="Arial" w:eastAsia="Arial" w:hAnsi="Arial"/>
          <w:sz w:val="24"/>
          <w:szCs w:val="24"/>
        </w:rPr>
        <w:t xml:space="preserve">Calculate synergy index using Loewe additivity model; determine if dual-ASO &gt; predicted additive effect.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seizure-like activity characterization (burst frequency, duration, amplitude)</w:t>
      </w:r>
    </w:p>
    <w:p>
      <w:pPr>
        <w:pStyle w:val="ListParagraph"/>
        <w:numPr>
          <w:ilvl w:val="0"/>
          <w:numId w:val="2"/>
        </w:numPr>
        <w:spacing w:after="100" w:line="360"/>
      </w:pPr>
      <w:r>
        <w:rPr>
          <w:rFonts w:ascii="Arial" w:cs="Arial" w:eastAsia="Arial" w:hAnsi="Arial"/>
          <w:sz w:val="24"/>
          <w:szCs w:val="24"/>
        </w:rPr>
        <w:t xml:space="preserve">Seizure suppression quantification per treatment (% reduction in burst frequency, normalized by monotherapy effects)</w:t>
      </w:r>
    </w:p>
    <w:p>
      <w:pPr>
        <w:pStyle w:val="ListParagraph"/>
        <w:numPr>
          <w:ilvl w:val="0"/>
          <w:numId w:val="2"/>
        </w:numPr>
        <w:spacing w:after="100" w:line="360"/>
      </w:pPr>
      <w:r>
        <w:rPr>
          <w:rFonts w:ascii="Arial" w:cs="Arial" w:eastAsia="Arial" w:hAnsi="Arial"/>
          <w:sz w:val="24"/>
          <w:szCs w:val="24"/>
        </w:rPr>
        <w:t xml:space="preserve">E-I balance metrics (excitatory current, inhibitory current, ratio)</w:t>
      </w:r>
    </w:p>
    <w:p>
      <w:pPr>
        <w:pStyle w:val="ListParagraph"/>
        <w:numPr>
          <w:ilvl w:val="0"/>
          <w:numId w:val="2"/>
        </w:numPr>
        <w:spacing w:after="100" w:line="360"/>
      </w:pPr>
      <w:r>
        <w:rPr>
          <w:rFonts w:ascii="Arial" w:cs="Arial" w:eastAsia="Arial" w:hAnsi="Arial"/>
          <w:sz w:val="24"/>
          <w:szCs w:val="24"/>
        </w:rPr>
        <w:t xml:space="preserve">Network synchrony analysis (correlation of firing across neurons, burst propagation velocity)</w:t>
      </w:r>
    </w:p>
    <w:p>
      <w:pPr>
        <w:pStyle w:val="ListParagraph"/>
        <w:numPr>
          <w:ilvl w:val="0"/>
          <w:numId w:val="2"/>
        </w:numPr>
        <w:spacing w:after="100" w:line="360"/>
      </w:pPr>
      <w:r>
        <w:rPr>
          <w:rFonts w:ascii="Arial" w:cs="Arial" w:eastAsia="Arial" w:hAnsi="Arial"/>
          <w:sz w:val="24"/>
          <w:szCs w:val="24"/>
        </w:rPr>
        <w:t xml:space="preserve">Synergy scores per treatment pair (Loewe additivity analysis, combination index)</w:t>
      </w:r>
    </w:p>
    <w:p>
      <w:pPr>
        <w:pStyle w:val="ListParagraph"/>
        <w:numPr>
          <w:ilvl w:val="0"/>
          <w:numId w:val="2"/>
        </w:numPr>
        <w:spacing w:after="100" w:line="360"/>
      </w:pPr>
      <w:r>
        <w:rPr>
          <w:rFonts w:ascii="Arial" w:cs="Arial" w:eastAsia="Arial" w:hAnsi="Arial"/>
          <w:sz w:val="24"/>
          <w:szCs w:val="24"/>
        </w:rPr>
        <w:t xml:space="preserve">Mechanistic insights (which network property change drives synergistic seizure suppression)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MEA burst raster plots + calcium imaging heatmaps + seizure frequency reduction bar charts + E-I balance pie charts + network connectivity diagrams + synergy matrices</w:t>
      </w:r>
    </w:p>
    <w:p>
      <w:pPr>
        <w:pStyle w:val="Heading2"/>
        <w:spacing w:after="200" w:before="200" w:line="360"/>
      </w:pPr>
      <w:r>
        <w:rPr>
          <w:rFonts w:ascii="Arial" w:cs="Arial" w:eastAsia="Arial" w:hAnsi="Arial"/>
          <w:b/>
          <w:bCs/>
          <w:sz w:val="28"/>
          <w:szCs w:val="28"/>
        </w:rPr>
        <w:t xml:space="preserve">Stage 6: In Vivo Synergistic Efficacy &amp; Behavioral Rescue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in vivo studies demonstrating dual-ASO synergistic efficacy, seizure suppression, and developmental improvement in DEE6A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DEE6A transgenic mouse model (SCN2A GOF or LOF mutation, developmental epilepsy phenotype)</w:t>
      </w:r>
    </w:p>
    <w:p>
      <w:pPr>
        <w:pStyle w:val="ListParagraph"/>
        <w:numPr>
          <w:ilvl w:val="0"/>
          <w:numId w:val="2"/>
        </w:numPr>
        <w:spacing w:after="100" w:line="360"/>
      </w:pPr>
      <w:r>
        <w:rPr>
          <w:rFonts w:ascii="Arial" w:cs="Arial" w:eastAsia="Arial" w:hAnsi="Arial"/>
          <w:sz w:val="24"/>
          <w:szCs w:val="24"/>
        </w:rPr>
        <w:t xml:space="preserve">Age for ASO administration (early symptomatic, pre-peak seizure onset)</w:t>
      </w:r>
    </w:p>
    <w:p>
      <w:pPr>
        <w:pStyle w:val="ListParagraph"/>
        <w:numPr>
          <w:ilvl w:val="0"/>
          <w:numId w:val="2"/>
        </w:numPr>
        <w:spacing w:after="100" w:line="360"/>
      </w:pPr>
      <w:r>
        <w:rPr>
          <w:rFonts w:ascii="Arial" w:cs="Arial" w:eastAsia="Arial" w:hAnsi="Arial"/>
          <w:sz w:val="24"/>
          <w:szCs w:val="24"/>
        </w:rPr>
        <w:t xml:space="preserve">Dual-ASO dosing regimen (single or repeated ICV/intrathecal injection; dose ratio optimization)</w:t>
      </w:r>
    </w:p>
    <w:p>
      <w:pPr>
        <w:pStyle w:val="ListParagraph"/>
        <w:numPr>
          <w:ilvl w:val="0"/>
          <w:numId w:val="2"/>
        </w:numPr>
        <w:spacing w:after="100" w:line="360"/>
      </w:pPr>
      <w:r>
        <w:rPr>
          <w:rFonts w:ascii="Arial" w:cs="Arial" w:eastAsia="Arial" w:hAnsi="Arial"/>
          <w:sz w:val="24"/>
          <w:szCs w:val="24"/>
        </w:rPr>
        <w:t xml:space="preserve">Primary efficacy endpoints (seizure suppression, SCN2A and co-target tissue knockdown, survival)</w:t>
      </w:r>
    </w:p>
    <w:p>
      <w:pPr>
        <w:pStyle w:val="ListParagraph"/>
        <w:numPr>
          <w:ilvl w:val="0"/>
          <w:numId w:val="2"/>
        </w:numPr>
        <w:spacing w:after="100" w:line="360"/>
      </w:pPr>
      <w:r>
        <w:rPr>
          <w:rFonts w:ascii="Arial" w:cs="Arial" w:eastAsia="Arial" w:hAnsi="Arial"/>
          <w:sz w:val="24"/>
          <w:szCs w:val="24"/>
        </w:rPr>
        <w:t xml:space="preserve">Secondary endpoints (motor development, cognitive function, general health, mortality)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Continuous EEG monitoring (seizure detection, quantification of spontaneous and evoked seizures)</w:t>
      </w:r>
    </w:p>
    <w:p>
      <w:pPr>
        <w:pStyle w:val="ListParagraph"/>
        <w:numPr>
          <w:ilvl w:val="0"/>
          <w:numId w:val="2"/>
        </w:numPr>
        <w:spacing w:after="100" w:line="360"/>
      </w:pPr>
      <w:r>
        <w:rPr>
          <w:rFonts w:ascii="Arial" w:cs="Arial" w:eastAsia="Arial" w:hAnsi="Arial"/>
          <w:sz w:val="24"/>
          <w:szCs w:val="24"/>
        </w:rPr>
        <w:t xml:space="preserve">Video monitoring + PACS analysis (motor behavior during seizures, postictal phase duration)</w:t>
      </w:r>
    </w:p>
    <w:p>
      <w:pPr>
        <w:pStyle w:val="ListParagraph"/>
        <w:numPr>
          <w:ilvl w:val="0"/>
          <w:numId w:val="2"/>
        </w:numPr>
        <w:spacing w:after="100" w:line="360"/>
      </w:pPr>
      <w:r>
        <w:rPr>
          <w:rFonts w:ascii="Arial" w:cs="Arial" w:eastAsia="Arial" w:hAnsi="Arial"/>
          <w:sz w:val="24"/>
          <w:szCs w:val="24"/>
        </w:rPr>
        <w:t xml:space="preserve">qPCR with target-specific probes (SCN2A and co-target knockdown in brain tissue)</w:t>
      </w:r>
    </w:p>
    <w:p>
      <w:pPr>
        <w:pStyle w:val="ListParagraph"/>
        <w:numPr>
          <w:ilvl w:val="0"/>
          <w:numId w:val="2"/>
        </w:numPr>
        <w:spacing w:after="100" w:line="360"/>
      </w:pPr>
      <w:r>
        <w:rPr>
          <w:rFonts w:ascii="Arial" w:cs="Arial" w:eastAsia="Arial" w:hAnsi="Arial"/>
          <w:sz w:val="24"/>
          <w:szCs w:val="24"/>
        </w:rPr>
        <w:t xml:space="preserve">Behavioral phenotyping suite (open field, rotarod, developing motor milestones, mortality tracking)</w:t>
      </w:r>
    </w:p>
    <w:p>
      <w:pPr>
        <w:pStyle w:val="ListParagraph"/>
        <w:numPr>
          <w:ilvl w:val="0"/>
          <w:numId w:val="2"/>
        </w:numPr>
        <w:spacing w:after="100" w:line="360"/>
      </w:pPr>
      <w:r>
        <w:rPr>
          <w:rFonts w:ascii="Arial" w:cs="Arial" w:eastAsia="Arial" w:hAnsi="Arial"/>
          <w:sz w:val="24"/>
          <w:szCs w:val="24"/>
        </w:rPr>
        <w:t xml:space="preserve">Brain slice electrophysiology (in vitro network excitability, synaptic plasticity assessment)</w:t>
      </w:r>
    </w:p>
    <w:p>
      <w:pPr>
        <w:pStyle w:val="ListParagraph"/>
        <w:numPr>
          <w:ilvl w:val="0"/>
          <w:numId w:val="2"/>
        </w:numPr>
        <w:spacing w:after="100" w:line="360"/>
      </w:pPr>
      <w:r>
        <w:rPr>
          <w:rFonts w:ascii="Arial" w:cs="Arial" w:eastAsia="Arial" w:hAnsi="Arial"/>
          <w:sz w:val="24"/>
          <w:szCs w:val="24"/>
        </w:rPr>
        <w:t xml:space="preserve">Histopathology (neuronal density, excitatory/inhibitory neuron counts, neuroinflammation markers)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dual-ASO dosing regimen: optimize dose ratio (e.g., SCN2A:co-target = 2:1 or 1:1) based on ex vivo synergy data.</w:t>
      </w:r>
    </w:p>
    <w:p>
      <w:pPr>
        <w:pStyle w:val="ListParagraph"/>
        <w:numPr>
          <w:ilvl w:val="0"/>
          <w:numId w:val="2"/>
        </w:numPr>
        <w:spacing w:after="100" w:line="360"/>
      </w:pPr>
      <w:r>
        <w:rPr>
          <w:rFonts w:ascii="Arial" w:cs="Arial" w:eastAsia="Arial" w:hAnsi="Arial"/>
          <w:sz w:val="24"/>
          <w:szCs w:val="24"/>
        </w:rPr>
        <w:t xml:space="preserve">Plan EEG-monitoring study: establish baseline seizure frequency; predict ≥50% reduction with dual-ASO vs. monotherapy.</w:t>
      </w:r>
    </w:p>
    <w:p>
      <w:pPr>
        <w:pStyle w:val="ListParagraph"/>
        <w:numPr>
          <w:ilvl w:val="0"/>
          <w:numId w:val="2"/>
        </w:numPr>
        <w:spacing w:after="100" w:line="360"/>
      </w:pPr>
      <w:r>
        <w:rPr>
          <w:rFonts w:ascii="Arial" w:cs="Arial" w:eastAsia="Arial" w:hAnsi="Arial"/>
          <w:sz w:val="24"/>
          <w:szCs w:val="24"/>
        </w:rPr>
        <w:t xml:space="preserve">Design behavioral battery to assess developmental milestones and motor function recovery (eye opening, righting, coordination).</w:t>
      </w:r>
    </w:p>
    <w:p>
      <w:pPr>
        <w:pStyle w:val="ListParagraph"/>
        <w:numPr>
          <w:ilvl w:val="0"/>
          <w:numId w:val="2"/>
        </w:numPr>
        <w:spacing w:after="100" w:line="360"/>
      </w:pPr>
      <w:r>
        <w:rPr>
          <w:rFonts w:ascii="Arial" w:cs="Arial" w:eastAsia="Arial" w:hAnsi="Arial"/>
          <w:sz w:val="24"/>
          <w:szCs w:val="24"/>
        </w:rPr>
        <w:t xml:space="preserve">Plan tissue knockdown verification: qPCR from striatum, hippocampus, cortex; expect synergistic target-level reductions.</w:t>
      </w:r>
    </w:p>
    <w:p>
      <w:pPr>
        <w:pStyle w:val="ListParagraph"/>
        <w:numPr>
          <w:ilvl w:val="0"/>
          <w:numId w:val="2"/>
        </w:numPr>
        <w:spacing w:after="100" w:line="360"/>
      </w:pPr>
      <w:r>
        <w:rPr>
          <w:rFonts w:ascii="Arial" w:cs="Arial" w:eastAsia="Arial" w:hAnsi="Arial"/>
          <w:sz w:val="24"/>
          <w:szCs w:val="24"/>
        </w:rPr>
        <w:t xml:space="preserve">Design post-mortem network excitability analysis: slice electrophysiology to assess persistent improvements in network properties.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 vivo study protocol (DEE6A model, age, dual-ASO dosing regimen, dose ratio, route, sampling timeline)</w:t>
      </w:r>
    </w:p>
    <w:p>
      <w:pPr>
        <w:pStyle w:val="ListParagraph"/>
        <w:numPr>
          <w:ilvl w:val="0"/>
          <w:numId w:val="2"/>
        </w:numPr>
        <w:spacing w:after="100" w:line="360"/>
      </w:pPr>
      <w:r>
        <w:rPr>
          <w:rFonts w:ascii="Arial" w:cs="Arial" w:eastAsia="Arial" w:hAnsi="Arial"/>
          <w:sz w:val="24"/>
          <w:szCs w:val="24"/>
        </w:rPr>
        <w:t xml:space="preserve">Seizure suppression predictions by treatment (baseline frequency, expected % reduction, timeline to effect)</w:t>
      </w:r>
    </w:p>
    <w:p>
      <w:pPr>
        <w:pStyle w:val="ListParagraph"/>
        <w:numPr>
          <w:ilvl w:val="0"/>
          <w:numId w:val="2"/>
        </w:numPr>
        <w:spacing w:after="100" w:line="360"/>
      </w:pPr>
      <w:r>
        <w:rPr>
          <w:rFonts w:ascii="Arial" w:cs="Arial" w:eastAsia="Arial" w:hAnsi="Arial"/>
          <w:sz w:val="24"/>
          <w:szCs w:val="24"/>
        </w:rPr>
        <w:t xml:space="preserve">Tissue-level knockdown predictions (SCN2A and co-target % reduction in key brain regions)</w:t>
      </w:r>
    </w:p>
    <w:p>
      <w:pPr>
        <w:pStyle w:val="ListParagraph"/>
        <w:numPr>
          <w:ilvl w:val="0"/>
          <w:numId w:val="2"/>
        </w:numPr>
        <w:spacing w:after="100" w:line="360"/>
      </w:pPr>
      <w:r>
        <w:rPr>
          <w:rFonts w:ascii="Arial" w:cs="Arial" w:eastAsia="Arial" w:hAnsi="Arial"/>
          <w:sz w:val="24"/>
          <w:szCs w:val="24"/>
        </w:rPr>
        <w:t xml:space="preserve">Behavioral outcome predictions (mortality improvement, motor milestone recovery, developmental acceleration)</w:t>
      </w:r>
    </w:p>
    <w:p>
      <w:pPr>
        <w:pStyle w:val="ListParagraph"/>
        <w:numPr>
          <w:ilvl w:val="0"/>
          <w:numId w:val="2"/>
        </w:numPr>
        <w:spacing w:after="100" w:line="360"/>
      </w:pPr>
      <w:r>
        <w:rPr>
          <w:rFonts w:ascii="Arial" w:cs="Arial" w:eastAsia="Arial" w:hAnsi="Arial"/>
          <w:sz w:val="24"/>
          <w:szCs w:val="24"/>
        </w:rPr>
        <w:t xml:space="preserve">Network excitability biomarkers (brain slice recording protocols, predicted improvements in network stability)</w:t>
      </w:r>
    </w:p>
    <w:p>
      <w:pPr>
        <w:pStyle w:val="ListParagraph"/>
        <w:numPr>
          <w:ilvl w:val="0"/>
          <w:numId w:val="2"/>
        </w:numPr>
        <w:spacing w:after="100" w:line="360"/>
      </w:pPr>
      <w:r>
        <w:rPr>
          <w:rFonts w:ascii="Arial" w:cs="Arial" w:eastAsia="Arial" w:hAnsi="Arial"/>
          <w:sz w:val="24"/>
          <w:szCs w:val="24"/>
        </w:rPr>
        <w:t xml:space="preserve">Synergistic efficacy summary (monotherapy vs. dual-ASO magnitude of benefit, cost-benefit analysis)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 vivo study protocol + EEG seizure suppression curves + tissue knockdown bar charts + behavioral milestone tracking + slice electrophysiology predictions + synergy efficacy summary</w:t>
      </w:r>
    </w:p>
    <w:p>
      <w:pPr>
        <w:pStyle w:val="Heading2"/>
        <w:spacing w:after="200" w:before="200" w:line="36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reference, conservation tracks, regulatory elements)</w:t>
      </w:r>
    </w:p>
    <w:p>
      <w:pPr>
        <w:pStyle w:val="ListParagraph"/>
        <w:numPr>
          <w:ilvl w:val="0"/>
          <w:numId w:val="2"/>
        </w:numPr>
        <w:spacing w:after="100" w:line="360"/>
      </w:pPr>
      <w:r>
        <w:rPr>
          <w:rFonts w:ascii="Arial" w:cs="Arial" w:eastAsia="Arial" w:hAnsi="Arial"/>
          <w:sz w:val="24"/>
          <w:szCs w:val="24"/>
        </w:rPr>
        <w:t xml:space="preserve">gnomAD variant database (population allele frequencies, loss-of-function constraints)</w:t>
      </w:r>
    </w:p>
    <w:p>
      <w:pPr>
        <w:pStyle w:val="ListParagraph"/>
        <w:numPr>
          <w:ilvl w:val="0"/>
          <w:numId w:val="2"/>
        </w:numPr>
        <w:spacing w:after="100" w:line="360"/>
      </w:pPr>
      <w:r>
        <w:rPr>
          <w:rFonts w:ascii="Arial" w:cs="Arial" w:eastAsia="Arial" w:hAnsi="Arial"/>
          <w:sz w:val="24"/>
          <w:szCs w:val="24"/>
        </w:rPr>
        <w:t xml:space="preserve">ENCODE/Roadmap Epigenomics (histone modifications, DNA methylation, chromatin accessibility)</w:t>
      </w:r>
    </w:p>
    <w:p>
      <w:pPr>
        <w:pStyle w:val="ListParagraph"/>
        <w:numPr>
          <w:ilvl w:val="0"/>
          <w:numId w:val="2"/>
        </w:numPr>
        <w:spacing w:after="100" w:line="360"/>
      </w:pPr>
      <w:r>
        <w:rPr>
          <w:rFonts w:ascii="Arial" w:cs="Arial" w:eastAsia="Arial" w:hAnsi="Arial"/>
          <w:sz w:val="24"/>
          <w:szCs w:val="24"/>
        </w:rPr>
        <w:t xml:space="preserve">STRING/BioGRID (protein-protein interaction networks, pathway analysis)</w:t>
      </w:r>
    </w:p>
    <w:p>
      <w:pPr>
        <w:pStyle w:val="ListParagraph"/>
        <w:numPr>
          <w:ilvl w:val="0"/>
          <w:numId w:val="2"/>
        </w:numPr>
        <w:spacing w:after="100" w:line="360"/>
      </w:pPr>
      <w:r>
        <w:rPr>
          <w:rFonts w:ascii="Arial" w:cs="Arial" w:eastAsia="Arial" w:hAnsi="Arial"/>
          <w:sz w:val="24"/>
          <w:szCs w:val="24"/>
        </w:rPr>
        <w:t xml:space="preserve">Geneious Pro (sequence analysis, alignment, ASO design)</w:t>
      </w:r>
    </w:p>
    <w:p>
      <w:pPr>
        <w:pStyle w:val="ListParagraph"/>
        <w:numPr>
          <w:ilvl w:val="0"/>
          <w:numId w:val="2"/>
        </w:numPr>
        <w:spacing w:after="100" w:line="360"/>
      </w:pPr>
      <w:r>
        <w:rPr>
          <w:rFonts w:ascii="Arial" w:cs="Arial" w:eastAsia="Arial" w:hAnsi="Arial"/>
          <w:sz w:val="24"/>
          <w:szCs w:val="24"/>
        </w:rPr>
        <w:t xml:space="preserve">ViennaRNA (RNA secondary structure prediction, accessibility modeling)</w:t>
      </w:r>
    </w:p>
    <w:p>
      <w:pPr>
        <w:pStyle w:val="ListParagraph"/>
        <w:numPr>
          <w:ilvl w:val="0"/>
          <w:numId w:val="2"/>
        </w:numPr>
        <w:spacing w:after="100" w:line="360"/>
      </w:pPr>
      <w:r>
        <w:rPr>
          <w:rFonts w:ascii="Arial" w:cs="Arial" w:eastAsia="Arial" w:hAnsi="Arial"/>
          <w:sz w:val="24"/>
          <w:szCs w:val="24"/>
        </w:rPr>
        <w:t xml:space="preserve">BLAST (sequence homology, off-target screening, species conservation)</w:t>
      </w:r>
    </w:p>
    <w:p>
      <w:pPr>
        <w:pStyle w:val="ListParagraph"/>
        <w:numPr>
          <w:ilvl w:val="0"/>
          <w:numId w:val="2"/>
        </w:numPr>
        <w:spacing w:after="100" w:line="360"/>
      </w:pPr>
      <w:r>
        <w:rPr>
          <w:rFonts w:ascii="Arial" w:cs="Arial" w:eastAsia="Arial" w:hAnsi="Arial"/>
          <w:sz w:val="24"/>
          <w:szCs w:val="24"/>
        </w:rPr>
        <w:t xml:space="preserve">MaxEnt splice site predictor (splicing outcome prediction, branch point analysis)</w:t>
      </w:r>
    </w:p>
    <w:p>
      <w:pPr>
        <w:pStyle w:val="ListParagraph"/>
        <w:numPr>
          <w:ilvl w:val="0"/>
          <w:numId w:val="2"/>
        </w:numPr>
        <w:spacing w:after="100" w:line="360"/>
      </w:pPr>
      <w:r>
        <w:rPr>
          <w:rFonts w:ascii="Arial" w:cs="Arial" w:eastAsia="Arial" w:hAnsi="Arial"/>
          <w:sz w:val="24"/>
          <w:szCs w:val="24"/>
        </w:rPr>
        <w:t xml:space="preserve">Patch-clamp electrophysiology rig (whole-cell recording, network electrode arrays)</w:t>
      </w:r>
    </w:p>
    <w:p>
      <w:pPr>
        <w:pStyle w:val="ListParagraph"/>
        <w:numPr>
          <w:ilvl w:val="0"/>
          <w:numId w:val="2"/>
        </w:numPr>
        <w:spacing w:after="100" w:line="360"/>
      </w:pPr>
      <w:r>
        <w:rPr>
          <w:rFonts w:ascii="Arial" w:cs="Arial" w:eastAsia="Arial" w:hAnsi="Arial"/>
          <w:sz w:val="24"/>
          <w:szCs w:val="24"/>
        </w:rPr>
        <w:t xml:space="preserve">High-content imaging systems (automated quantification, phenotype analysis)</w:t>
      </w:r>
    </w:p>
    <w:p>
      <w:pPr>
        <w:pStyle w:val="ListParagraph"/>
        <w:numPr>
          <w:ilvl w:val="0"/>
          <w:numId w:val="2"/>
        </w:numPr>
        <w:spacing w:after="100" w:line="360"/>
      </w:pPr>
      <w:r>
        <w:rPr>
          <w:rFonts w:ascii="Arial" w:cs="Arial" w:eastAsia="Arial" w:hAnsi="Arial"/>
          <w:sz w:val="24"/>
          <w:szCs w:val="24"/>
        </w:rPr>
        <w:t xml:space="preserve">RNA-seq and long-read Nanopore sequencing (transcript profiling, isoform identification)</w:t>
      </w:r>
    </w:p>
    <w:p>
      <w:pPr>
        <w:pStyle w:val="ListParagraph"/>
        <w:numPr>
          <w:ilvl w:val="0"/>
          <w:numId w:val="2"/>
        </w:numPr>
        <w:spacing w:after="100" w:line="360"/>
      </w:pPr>
      <w:r>
        <w:rPr>
          <w:rFonts w:ascii="Arial" w:cs="Arial" w:eastAsia="Arial" w:hAnsi="Arial"/>
          <w:sz w:val="24"/>
          <w:szCs w:val="24"/>
        </w:rPr>
        <w:t xml:space="preserve">Mass spectrometry (protein identification, post-translational modification analysis)</w:t>
      </w:r>
    </w:p>
    <w:p>
      <w:pPr>
        <w:pStyle w:val="ListParagraph"/>
        <w:numPr>
          <w:ilvl w:val="0"/>
          <w:numId w:val="2"/>
        </w:numPr>
        <w:spacing w:after="100" w:line="360"/>
      </w:pPr>
      <w:r>
        <w:rPr>
          <w:rFonts w:ascii="Arial" w:cs="Arial" w:eastAsia="Arial" w:hAnsi="Arial"/>
          <w:sz w:val="24"/>
          <w:szCs w:val="24"/>
        </w:rPr>
        <w:t xml:space="preserve">Multiplex cytokine assays (Luminex, Bioplex; immune activation quantification)</w:t>
      </w:r>
    </w:p>
    <w:p>
      <w:pPr>
        <w:pStyle w:val="ListParagraph"/>
        <w:numPr>
          <w:ilvl w:val="0"/>
          <w:numId w:val="2"/>
        </w:numPr>
        <w:spacing w:after="100" w:line="360"/>
      </w:pPr>
      <w:r>
        <w:rPr>
          <w:rFonts w:ascii="Arial" w:cs="Arial" w:eastAsia="Arial" w:hAnsi="Arial"/>
          <w:sz w:val="24"/>
          <w:szCs w:val="24"/>
        </w:rPr>
        <w:t xml:space="preserve">Multi-electrode array (MEA) recording (network activity, burst analysis)</w:t>
      </w:r>
    </w:p>
    <w:p>
      <w:pPr>
        <w:pStyle w:val="ListParagraph"/>
        <w:numPr>
          <w:ilvl w:val="0"/>
          <w:numId w:val="2"/>
        </w:numPr>
        <w:spacing w:after="100" w:line="360"/>
      </w:pPr>
      <w:r>
        <w:rPr>
          <w:rFonts w:ascii="Arial" w:cs="Arial" w:eastAsia="Arial" w:hAnsi="Arial"/>
          <w:sz w:val="24"/>
          <w:szCs w:val="24"/>
        </w:rPr>
        <w:t xml:space="preserve">In vivo imaging (PET, SPECT, MRI; biodistribution and efficacy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2026-03-04T19:57:16.484Z</dcterms:created>
  <dcterms:modified xsi:type="dcterms:W3CDTF">2026-03-04T19:57:16.484Z</dcterms:modified>
</cp:coreProperties>
</file>

<file path=docProps/custom.xml><?xml version="1.0" encoding="utf-8"?>
<Properties xmlns="http://schemas.openxmlformats.org/officeDocument/2006/custom-properties" xmlns:vt="http://schemas.openxmlformats.org/officeDocument/2006/docPropsVTypes"/>
</file>