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026E5" w14:textId="77777777" w:rsidR="000C50DF" w:rsidRPr="00902EDA" w:rsidRDefault="00000000">
      <w:pPr>
        <w:pStyle w:val="Heading1"/>
        <w:rPr>
          <w:rFonts w:ascii="Arial" w:hAnsi="Arial" w:cs="Arial"/>
          <w:sz w:val="24"/>
          <w:szCs w:val="24"/>
        </w:rPr>
      </w:pPr>
      <w:r w:rsidRPr="00902EDA">
        <w:rPr>
          <w:rFonts w:ascii="Arial" w:hAnsi="Arial" w:cs="Arial"/>
          <w:sz w:val="24"/>
          <w:szCs w:val="24"/>
        </w:rPr>
        <w:t>Sapphire Ground Truth Validation Scenarios</w:t>
      </w:r>
    </w:p>
    <w:p w14:paraId="4390EA58" w14:textId="77777777" w:rsidR="000C50DF" w:rsidRPr="00902EDA" w:rsidRDefault="00000000">
      <w:pPr>
        <w:spacing w:after="240"/>
        <w:rPr>
          <w:rFonts w:cs="Arial"/>
          <w:szCs w:val="24"/>
        </w:rPr>
      </w:pPr>
      <w:r w:rsidRPr="00902EDA">
        <w:rPr>
          <w:rFonts w:cs="Arial"/>
          <w:b/>
          <w:szCs w:val="24"/>
        </w:rPr>
        <w:t>Prepared for Exponential AI — March 2026</w:t>
      </w:r>
    </w:p>
    <w:p w14:paraId="297B12ED" w14:textId="77777777" w:rsidR="000C50DF" w:rsidRPr="00902EDA" w:rsidRDefault="00000000">
      <w:pPr>
        <w:pStyle w:val="Heading2"/>
        <w:rPr>
          <w:rFonts w:ascii="Arial" w:hAnsi="Arial" w:cs="Arial"/>
          <w:sz w:val="24"/>
          <w:szCs w:val="24"/>
        </w:rPr>
      </w:pPr>
      <w:r w:rsidRPr="00902EDA">
        <w:rPr>
          <w:rFonts w:ascii="Arial" w:hAnsi="Arial" w:cs="Arial"/>
          <w:sz w:val="24"/>
          <w:szCs w:val="24"/>
        </w:rPr>
        <w:t>Introduction</w:t>
      </w:r>
    </w:p>
    <w:p w14:paraId="7191E995" w14:textId="77777777" w:rsidR="000C50DF" w:rsidRPr="00902EDA" w:rsidRDefault="00000000">
      <w:pPr>
        <w:spacing w:after="240" w:line="360" w:lineRule="auto"/>
        <w:rPr>
          <w:rFonts w:cs="Arial"/>
          <w:szCs w:val="24"/>
        </w:rPr>
      </w:pPr>
      <w:r w:rsidRPr="00902EDA">
        <w:rPr>
          <w:rFonts w:cs="Arial"/>
          <w:szCs w:val="24"/>
        </w:rPr>
        <w:t>This document provides ground truth validation scenarios for the Sapphire AI platform. Each scenario consists of a specific prompt (query), an expected ground truth answer, the reasoning behind prompt selection, and an assessment of ground truth validity. These scenarios are designed to verify that Sapphire correctly integrates Quiver's proprietary electrophysiology (EP) data with external data sources to produce accurate, actionable outputs.</w:t>
      </w:r>
    </w:p>
    <w:p w14:paraId="05BAF105" w14:textId="77777777" w:rsidR="000C50DF" w:rsidRPr="00902EDA" w:rsidRDefault="00000000">
      <w:pPr>
        <w:spacing w:after="240" w:line="360" w:lineRule="auto"/>
        <w:rPr>
          <w:rFonts w:cs="Arial"/>
          <w:szCs w:val="24"/>
        </w:rPr>
      </w:pPr>
      <w:r w:rsidRPr="00902EDA">
        <w:rPr>
          <w:rFonts w:cs="Arial"/>
          <w:szCs w:val="24"/>
        </w:rPr>
        <w:t>Quiver's EP data foundation consists of two core datasets: the Gene Perturbation Atlas (~18,000 CRISPR gene perturbations in human iPSC-derived neurons, capturing 500+ quantitative EP features per neuron at single-cell, single-action-potential resolution) and the Compound Perturbation Atlas (~3,500 drug/compound perturbations with analogous EP fingerprinting). Together these provide the functional phenotypic layer that Sapphire enriches with external databases.</w:t>
      </w:r>
    </w:p>
    <w:p w14:paraId="6FBCF1E7" w14:textId="77777777" w:rsidR="000C50DF" w:rsidRPr="00902EDA" w:rsidRDefault="00000000">
      <w:pPr>
        <w:spacing w:after="240" w:line="360" w:lineRule="auto"/>
        <w:rPr>
          <w:rFonts w:cs="Arial"/>
          <w:szCs w:val="24"/>
        </w:rPr>
      </w:pPr>
      <w:r w:rsidRPr="00902EDA">
        <w:rPr>
          <w:rFonts w:cs="Arial"/>
          <w:szCs w:val="24"/>
        </w:rPr>
        <w:t xml:space="preserve">The scenarios are organized into two buckets. Bucket 1 covers </w:t>
      </w:r>
      <w:proofErr w:type="gramStart"/>
      <w:r w:rsidRPr="00902EDA">
        <w:rPr>
          <w:rFonts w:cs="Arial"/>
          <w:szCs w:val="24"/>
        </w:rPr>
        <w:t>prompts</w:t>
      </w:r>
      <w:proofErr w:type="gramEnd"/>
      <w:r w:rsidRPr="00902EDA">
        <w:rPr>
          <w:rFonts w:cs="Arial"/>
          <w:szCs w:val="24"/>
        </w:rPr>
        <w:t xml:space="preserve"> answerable using only the data sources already loaded into Sapphire. Bucket 2 covers prompts that become answerable once the currently-loading sources are fully integrated, demonstrating the incremental value of the new data.</w:t>
      </w:r>
    </w:p>
    <w:p w14:paraId="3E9927C0" w14:textId="77777777" w:rsidR="000C50DF" w:rsidRPr="00902EDA" w:rsidRDefault="00000000">
      <w:pPr>
        <w:pStyle w:val="Heading2"/>
        <w:rPr>
          <w:rFonts w:ascii="Arial" w:hAnsi="Arial" w:cs="Arial"/>
          <w:sz w:val="24"/>
          <w:szCs w:val="24"/>
        </w:rPr>
      </w:pPr>
      <w:r w:rsidRPr="00902EDA">
        <w:rPr>
          <w:rFonts w:ascii="Arial" w:hAnsi="Arial" w:cs="Arial"/>
          <w:sz w:val="24"/>
          <w:szCs w:val="24"/>
        </w:rPr>
        <w:t>Data Sources Reference</w:t>
      </w:r>
    </w:p>
    <w:p w14:paraId="1496BBC2" w14:textId="77777777" w:rsidR="000C50DF" w:rsidRPr="00902EDA" w:rsidRDefault="00000000">
      <w:pPr>
        <w:spacing w:after="240" w:line="360" w:lineRule="auto"/>
        <w:rPr>
          <w:rFonts w:cs="Arial"/>
          <w:szCs w:val="24"/>
        </w:rPr>
      </w:pPr>
      <w:r w:rsidRPr="00902EDA">
        <w:rPr>
          <w:rFonts w:cs="Arial"/>
          <w:szCs w:val="24"/>
        </w:rPr>
        <w:t>The following sources are referenced throughout this document.</w:t>
      </w:r>
    </w:p>
    <w:p w14:paraId="75ADAE22" w14:textId="77777777" w:rsidR="000C50DF" w:rsidRPr="00902EDA" w:rsidRDefault="00000000">
      <w:pPr>
        <w:spacing w:after="240" w:line="360" w:lineRule="auto"/>
        <w:rPr>
          <w:rFonts w:cs="Arial"/>
          <w:szCs w:val="24"/>
        </w:rPr>
      </w:pPr>
      <w:r w:rsidRPr="00902EDA">
        <w:rPr>
          <w:rFonts w:cs="Arial"/>
          <w:b/>
          <w:szCs w:val="24"/>
        </w:rPr>
        <w:t>Already Loaded (28 sources):</w:t>
      </w:r>
    </w:p>
    <w:p w14:paraId="22FE3215" w14:textId="77777777" w:rsidR="000C50DF" w:rsidRPr="00902EDA" w:rsidRDefault="00000000">
      <w:pPr>
        <w:pStyle w:val="ListBullet"/>
        <w:spacing w:after="120" w:line="360" w:lineRule="auto"/>
        <w:rPr>
          <w:rFonts w:cs="Arial"/>
          <w:szCs w:val="24"/>
        </w:rPr>
      </w:pPr>
      <w:r w:rsidRPr="00902EDA">
        <w:rPr>
          <w:rFonts w:cs="Arial"/>
          <w:szCs w:val="24"/>
        </w:rPr>
        <w:t>RxNorm — standardized drug nomenclature and mapping</w:t>
      </w:r>
    </w:p>
    <w:p w14:paraId="0CD4207B" w14:textId="77777777" w:rsidR="000C50DF" w:rsidRPr="00902EDA" w:rsidRDefault="00000000">
      <w:pPr>
        <w:pStyle w:val="ListBullet"/>
        <w:spacing w:after="120" w:line="360" w:lineRule="auto"/>
        <w:rPr>
          <w:rFonts w:cs="Arial"/>
          <w:szCs w:val="24"/>
        </w:rPr>
      </w:pPr>
      <w:r w:rsidRPr="00902EDA">
        <w:rPr>
          <w:rFonts w:cs="Arial"/>
          <w:szCs w:val="24"/>
        </w:rPr>
        <w:t>HPO (Human Phenotype Ontology) — phenotype vocabulary for disease-gene associations</w:t>
      </w:r>
    </w:p>
    <w:p w14:paraId="40EEC1C9" w14:textId="77777777" w:rsidR="000C50DF" w:rsidRPr="00902EDA" w:rsidRDefault="00000000">
      <w:pPr>
        <w:pStyle w:val="ListBullet"/>
        <w:spacing w:after="120" w:line="360" w:lineRule="auto"/>
        <w:rPr>
          <w:rFonts w:cs="Arial"/>
          <w:szCs w:val="24"/>
        </w:rPr>
      </w:pPr>
      <w:r w:rsidRPr="00902EDA">
        <w:rPr>
          <w:rFonts w:cs="Arial"/>
          <w:szCs w:val="24"/>
        </w:rPr>
        <w:t>NHGRI-EBI GWAS Catalog — genome-wide association study results</w:t>
      </w:r>
    </w:p>
    <w:p w14:paraId="228D1137" w14:textId="77777777" w:rsidR="000C50DF" w:rsidRPr="00902EDA" w:rsidRDefault="00000000">
      <w:pPr>
        <w:pStyle w:val="ListBullet"/>
        <w:spacing w:after="120" w:line="360" w:lineRule="auto"/>
        <w:rPr>
          <w:rFonts w:cs="Arial"/>
          <w:szCs w:val="24"/>
        </w:rPr>
      </w:pPr>
      <w:r w:rsidRPr="00902EDA">
        <w:rPr>
          <w:rFonts w:cs="Arial"/>
          <w:szCs w:val="24"/>
        </w:rPr>
        <w:t>DGIdb (Drug-Gene Interaction Database) — known and predicted drug-gene interactions</w:t>
      </w:r>
    </w:p>
    <w:p w14:paraId="18DA329D" w14:textId="77777777" w:rsidR="000C50DF" w:rsidRPr="00902EDA" w:rsidRDefault="00000000">
      <w:pPr>
        <w:pStyle w:val="ListBullet"/>
        <w:spacing w:after="120" w:line="360" w:lineRule="auto"/>
        <w:rPr>
          <w:rFonts w:cs="Arial"/>
          <w:szCs w:val="24"/>
        </w:rPr>
      </w:pPr>
      <w:r w:rsidRPr="00902EDA">
        <w:rPr>
          <w:rFonts w:cs="Arial"/>
          <w:szCs w:val="24"/>
        </w:rPr>
        <w:t>NCBI E-utilities — programmatic access to PubMed, Gene, Protein, and other NCBI databases</w:t>
      </w:r>
    </w:p>
    <w:p w14:paraId="05D47D64" w14:textId="77777777" w:rsidR="000C50DF" w:rsidRPr="00902EDA" w:rsidRDefault="00000000">
      <w:pPr>
        <w:pStyle w:val="ListBullet"/>
        <w:spacing w:after="120" w:line="360" w:lineRule="auto"/>
        <w:rPr>
          <w:rFonts w:cs="Arial"/>
          <w:szCs w:val="24"/>
        </w:rPr>
      </w:pPr>
      <w:r w:rsidRPr="00902EDA">
        <w:rPr>
          <w:rFonts w:cs="Arial"/>
          <w:szCs w:val="24"/>
        </w:rPr>
        <w:t>OMIM (Online Mendelian Inheritance in Man) — gene-disease relationships for Mendelian disorders</w:t>
      </w:r>
    </w:p>
    <w:p w14:paraId="43DB1C53" w14:textId="77777777" w:rsidR="000C50DF" w:rsidRPr="00902EDA" w:rsidRDefault="00000000">
      <w:pPr>
        <w:pStyle w:val="ListBullet"/>
        <w:spacing w:after="120" w:line="360" w:lineRule="auto"/>
        <w:rPr>
          <w:rFonts w:cs="Arial"/>
          <w:szCs w:val="24"/>
        </w:rPr>
      </w:pPr>
      <w:r w:rsidRPr="00902EDA">
        <w:rPr>
          <w:rFonts w:cs="Arial"/>
          <w:szCs w:val="24"/>
        </w:rPr>
        <w:t>STRING — protein-protein interaction networks and functional associations</w:t>
      </w:r>
    </w:p>
    <w:p w14:paraId="47DA826E" w14:textId="77777777" w:rsidR="000C50DF" w:rsidRPr="00902EDA" w:rsidRDefault="00000000">
      <w:pPr>
        <w:pStyle w:val="ListBullet"/>
        <w:spacing w:after="120" w:line="360" w:lineRule="auto"/>
        <w:rPr>
          <w:rFonts w:cs="Arial"/>
          <w:szCs w:val="24"/>
        </w:rPr>
      </w:pPr>
      <w:r w:rsidRPr="00902EDA">
        <w:rPr>
          <w:rFonts w:cs="Arial"/>
          <w:szCs w:val="24"/>
        </w:rPr>
        <w:t>Gene Ontology — functional annotations (molecular function, biological process, cellular component)</w:t>
      </w:r>
    </w:p>
    <w:p w14:paraId="24CA8D7B" w14:textId="77777777" w:rsidR="000C50DF" w:rsidRPr="00902EDA" w:rsidRDefault="00000000">
      <w:pPr>
        <w:pStyle w:val="ListBullet"/>
        <w:spacing w:after="120" w:line="360" w:lineRule="auto"/>
        <w:rPr>
          <w:rFonts w:cs="Arial"/>
          <w:szCs w:val="24"/>
        </w:rPr>
      </w:pPr>
      <w:r w:rsidRPr="00902EDA">
        <w:rPr>
          <w:rFonts w:cs="Arial"/>
          <w:szCs w:val="24"/>
        </w:rPr>
        <w:t>GTEx (Genotype-Tissue Expression) — tissue-specific gene expression including brain regions</w:t>
      </w:r>
    </w:p>
    <w:p w14:paraId="09A26128" w14:textId="77777777" w:rsidR="000C50DF" w:rsidRPr="00902EDA" w:rsidRDefault="00000000">
      <w:pPr>
        <w:pStyle w:val="ListBullet"/>
        <w:spacing w:after="120" w:line="360" w:lineRule="auto"/>
        <w:rPr>
          <w:rFonts w:cs="Arial"/>
          <w:szCs w:val="24"/>
        </w:rPr>
      </w:pPr>
      <w:r w:rsidRPr="00902EDA">
        <w:rPr>
          <w:rFonts w:cs="Arial"/>
          <w:szCs w:val="24"/>
        </w:rPr>
        <w:lastRenderedPageBreak/>
        <w:t>OmniPath — integrated signaling pathway and regulatory interaction database</w:t>
      </w:r>
    </w:p>
    <w:p w14:paraId="3575FB39" w14:textId="77777777" w:rsidR="000C50DF" w:rsidRPr="00902EDA" w:rsidRDefault="00000000">
      <w:pPr>
        <w:pStyle w:val="ListBullet"/>
        <w:spacing w:after="120" w:line="360" w:lineRule="auto"/>
        <w:rPr>
          <w:rFonts w:cs="Arial"/>
          <w:szCs w:val="24"/>
        </w:rPr>
      </w:pPr>
      <w:r w:rsidRPr="00902EDA">
        <w:rPr>
          <w:rFonts w:cs="Arial"/>
          <w:szCs w:val="24"/>
        </w:rPr>
        <w:t>DrugBank — comprehensive drug and drug target information</w:t>
      </w:r>
    </w:p>
    <w:p w14:paraId="0A337C52" w14:textId="77777777" w:rsidR="000C50DF" w:rsidRPr="00902EDA" w:rsidRDefault="00000000">
      <w:pPr>
        <w:pStyle w:val="ListBullet"/>
        <w:spacing w:after="120" w:line="360" w:lineRule="auto"/>
        <w:rPr>
          <w:rFonts w:cs="Arial"/>
          <w:szCs w:val="24"/>
        </w:rPr>
      </w:pPr>
      <w:r w:rsidRPr="00902EDA">
        <w:rPr>
          <w:rFonts w:cs="Arial"/>
          <w:szCs w:val="24"/>
        </w:rPr>
        <w:t>BioGRID — curated protein and genetic interaction data</w:t>
      </w:r>
    </w:p>
    <w:p w14:paraId="74351B9F" w14:textId="77777777" w:rsidR="000C50DF" w:rsidRPr="00902EDA" w:rsidRDefault="00000000">
      <w:pPr>
        <w:pStyle w:val="ListBullet"/>
        <w:spacing w:after="120" w:line="360" w:lineRule="auto"/>
        <w:rPr>
          <w:rFonts w:cs="Arial"/>
          <w:szCs w:val="24"/>
        </w:rPr>
      </w:pPr>
      <w:r w:rsidRPr="00902EDA">
        <w:rPr>
          <w:rFonts w:cs="Arial"/>
          <w:szCs w:val="24"/>
        </w:rPr>
        <w:t>LINCS/L1000 — transcriptomic signatures of drug and gene perturbations</w:t>
      </w:r>
    </w:p>
    <w:p w14:paraId="347187B1" w14:textId="77777777" w:rsidR="000C50DF" w:rsidRPr="00902EDA" w:rsidRDefault="00000000">
      <w:pPr>
        <w:pStyle w:val="ListBullet"/>
        <w:spacing w:after="120" w:line="360" w:lineRule="auto"/>
        <w:rPr>
          <w:rFonts w:cs="Arial"/>
          <w:szCs w:val="24"/>
        </w:rPr>
      </w:pPr>
      <w:r w:rsidRPr="00902EDA">
        <w:rPr>
          <w:rFonts w:cs="Arial"/>
          <w:szCs w:val="24"/>
        </w:rPr>
        <w:t>Reactome — curated biological pathway database</w:t>
      </w:r>
    </w:p>
    <w:p w14:paraId="026F5E8E" w14:textId="77777777" w:rsidR="000C50DF" w:rsidRPr="00902EDA" w:rsidRDefault="00000000">
      <w:pPr>
        <w:pStyle w:val="ListBullet"/>
        <w:spacing w:after="120" w:line="360" w:lineRule="auto"/>
        <w:rPr>
          <w:rFonts w:cs="Arial"/>
          <w:szCs w:val="24"/>
        </w:rPr>
      </w:pPr>
      <w:r w:rsidRPr="00902EDA">
        <w:rPr>
          <w:rFonts w:cs="Arial"/>
          <w:szCs w:val="24"/>
        </w:rPr>
        <w:t>PubMed Central Open Access Subset (PMC OA) — full-text biomedical literature</w:t>
      </w:r>
    </w:p>
    <w:p w14:paraId="058B2B7B" w14:textId="77777777" w:rsidR="000C50DF" w:rsidRPr="00902EDA" w:rsidRDefault="00000000">
      <w:pPr>
        <w:pStyle w:val="ListBullet"/>
        <w:spacing w:after="120" w:line="360" w:lineRule="auto"/>
        <w:rPr>
          <w:rFonts w:cs="Arial"/>
          <w:szCs w:val="24"/>
        </w:rPr>
      </w:pPr>
      <w:r w:rsidRPr="00902EDA">
        <w:rPr>
          <w:rFonts w:cs="Arial"/>
          <w:szCs w:val="24"/>
        </w:rPr>
        <w:t>BindingDB — measured binding affinities for drug-target interactions</w:t>
      </w:r>
    </w:p>
    <w:p w14:paraId="470FC283" w14:textId="77777777" w:rsidR="000C50DF" w:rsidRPr="00902EDA" w:rsidRDefault="00000000">
      <w:pPr>
        <w:pStyle w:val="ListBullet"/>
        <w:spacing w:after="120" w:line="360" w:lineRule="auto"/>
        <w:rPr>
          <w:rFonts w:cs="Arial"/>
          <w:szCs w:val="24"/>
        </w:rPr>
      </w:pPr>
      <w:r w:rsidRPr="00902EDA">
        <w:rPr>
          <w:rFonts w:cs="Arial"/>
          <w:szCs w:val="24"/>
        </w:rPr>
        <w:t>PubChem (Compound/Substance/BioAssay) — chemical structures, properties, and bioactivity data</w:t>
      </w:r>
    </w:p>
    <w:p w14:paraId="42A5E83D" w14:textId="77777777" w:rsidR="000C50DF" w:rsidRPr="00902EDA" w:rsidRDefault="00000000">
      <w:pPr>
        <w:pStyle w:val="ListBullet"/>
        <w:spacing w:after="120" w:line="360" w:lineRule="auto"/>
        <w:rPr>
          <w:rFonts w:cs="Arial"/>
          <w:szCs w:val="24"/>
        </w:rPr>
      </w:pPr>
      <w:r w:rsidRPr="00902EDA">
        <w:rPr>
          <w:rFonts w:cs="Arial"/>
          <w:szCs w:val="24"/>
        </w:rPr>
        <w:t>gnomAD — population-level allele frequency and constraint metrics</w:t>
      </w:r>
    </w:p>
    <w:p w14:paraId="71CB3763" w14:textId="77777777" w:rsidR="000C50DF" w:rsidRPr="00902EDA" w:rsidRDefault="00000000">
      <w:pPr>
        <w:pStyle w:val="ListBullet"/>
        <w:spacing w:after="120" w:line="360" w:lineRule="auto"/>
        <w:rPr>
          <w:rFonts w:cs="Arial"/>
          <w:szCs w:val="24"/>
        </w:rPr>
      </w:pPr>
      <w:r w:rsidRPr="00902EDA">
        <w:rPr>
          <w:rFonts w:cs="Arial"/>
          <w:szCs w:val="24"/>
        </w:rPr>
        <w:t>CTD (Comparative Toxicogenomics Database) — chemical-gene-disease relationships</w:t>
      </w:r>
    </w:p>
    <w:p w14:paraId="1C18B8E5" w14:textId="77777777" w:rsidR="000C50DF" w:rsidRPr="00902EDA" w:rsidRDefault="00000000">
      <w:pPr>
        <w:pStyle w:val="ListBullet"/>
        <w:spacing w:after="120" w:line="360" w:lineRule="auto"/>
        <w:rPr>
          <w:rFonts w:cs="Arial"/>
          <w:szCs w:val="24"/>
        </w:rPr>
      </w:pPr>
      <w:r w:rsidRPr="00902EDA">
        <w:rPr>
          <w:rFonts w:cs="Arial"/>
          <w:szCs w:val="24"/>
        </w:rPr>
        <w:t>IntAct — molecular interaction data from literature curation</w:t>
      </w:r>
    </w:p>
    <w:p w14:paraId="7B79DA44" w14:textId="77777777" w:rsidR="000C50DF" w:rsidRPr="00902EDA" w:rsidRDefault="00000000">
      <w:pPr>
        <w:pStyle w:val="ListBullet"/>
        <w:spacing w:after="120" w:line="360" w:lineRule="auto"/>
        <w:rPr>
          <w:rFonts w:cs="Arial"/>
          <w:szCs w:val="24"/>
        </w:rPr>
      </w:pPr>
      <w:r w:rsidRPr="00902EDA">
        <w:rPr>
          <w:rFonts w:cs="Arial"/>
          <w:szCs w:val="24"/>
        </w:rPr>
        <w:t>KEGG PATHWAY — pathway maps linking genes, compounds, and diseases</w:t>
      </w:r>
    </w:p>
    <w:p w14:paraId="0CB761EF" w14:textId="77777777" w:rsidR="000C50DF" w:rsidRPr="00902EDA" w:rsidRDefault="00000000">
      <w:pPr>
        <w:pStyle w:val="ListBullet"/>
        <w:spacing w:after="120" w:line="360" w:lineRule="auto"/>
        <w:rPr>
          <w:rFonts w:cs="Arial"/>
          <w:szCs w:val="24"/>
        </w:rPr>
      </w:pPr>
      <w:r w:rsidRPr="00902EDA">
        <w:rPr>
          <w:rFonts w:cs="Arial"/>
          <w:szCs w:val="24"/>
        </w:rPr>
        <w:t>WikiPathways — community-curated biological pathway models</w:t>
      </w:r>
    </w:p>
    <w:p w14:paraId="7234D1A2" w14:textId="77777777" w:rsidR="000C50DF" w:rsidRPr="00902EDA" w:rsidRDefault="00000000">
      <w:pPr>
        <w:pStyle w:val="ListBullet"/>
        <w:spacing w:after="120" w:line="360" w:lineRule="auto"/>
        <w:rPr>
          <w:rFonts w:cs="Arial"/>
          <w:szCs w:val="24"/>
        </w:rPr>
      </w:pPr>
      <w:r w:rsidRPr="00902EDA">
        <w:rPr>
          <w:rFonts w:cs="Arial"/>
          <w:szCs w:val="24"/>
        </w:rPr>
        <w:t>NIH (all repositories) — grants, clinical data, and research outputs</w:t>
      </w:r>
    </w:p>
    <w:p w14:paraId="6F5B1C73" w14:textId="77777777" w:rsidR="000C50DF" w:rsidRPr="00902EDA" w:rsidRDefault="00000000">
      <w:pPr>
        <w:pStyle w:val="ListBullet"/>
        <w:spacing w:after="120" w:line="360" w:lineRule="auto"/>
        <w:rPr>
          <w:rFonts w:cs="Arial"/>
          <w:szCs w:val="24"/>
        </w:rPr>
      </w:pPr>
      <w:r w:rsidRPr="00902EDA">
        <w:rPr>
          <w:rFonts w:cs="Arial"/>
          <w:szCs w:val="24"/>
        </w:rPr>
        <w:t>Drugs@FDA — FDA-approved drug labeling, approval history, and regulatory actions</w:t>
      </w:r>
    </w:p>
    <w:p w14:paraId="155F5780" w14:textId="77777777" w:rsidR="000C50DF" w:rsidRPr="00902EDA" w:rsidRDefault="00000000">
      <w:pPr>
        <w:pStyle w:val="ListBullet"/>
        <w:spacing w:after="120" w:line="360" w:lineRule="auto"/>
        <w:rPr>
          <w:rFonts w:cs="Arial"/>
          <w:szCs w:val="24"/>
        </w:rPr>
      </w:pPr>
      <w:r w:rsidRPr="00902EDA">
        <w:rPr>
          <w:rFonts w:cs="Arial"/>
          <w:szCs w:val="24"/>
        </w:rPr>
        <w:t>ClinPGx (successor to PharmGKB) — pharmacogenomic relationships</w:t>
      </w:r>
    </w:p>
    <w:p w14:paraId="05AC7663" w14:textId="77777777" w:rsidR="000C50DF" w:rsidRPr="00902EDA" w:rsidRDefault="00000000">
      <w:pPr>
        <w:pStyle w:val="ListBullet"/>
        <w:spacing w:after="120" w:line="360" w:lineRule="auto"/>
        <w:rPr>
          <w:rFonts w:cs="Arial"/>
          <w:szCs w:val="24"/>
        </w:rPr>
      </w:pPr>
      <w:r w:rsidRPr="00902EDA">
        <w:rPr>
          <w:rFonts w:cs="Arial"/>
          <w:szCs w:val="24"/>
        </w:rPr>
        <w:t>RCSB PDB — experimentally determined 3D protein structures</w:t>
      </w:r>
    </w:p>
    <w:p w14:paraId="44465FDF" w14:textId="77777777" w:rsidR="000C50DF" w:rsidRPr="00902EDA" w:rsidRDefault="00000000">
      <w:pPr>
        <w:pStyle w:val="ListBullet"/>
        <w:spacing w:after="120" w:line="360" w:lineRule="auto"/>
        <w:rPr>
          <w:rFonts w:cs="Arial"/>
          <w:szCs w:val="24"/>
        </w:rPr>
      </w:pPr>
      <w:r w:rsidRPr="00902EDA">
        <w:rPr>
          <w:rFonts w:cs="Arial"/>
          <w:szCs w:val="24"/>
        </w:rPr>
        <w:t>AlphaFold Protein Structure Database (EMBL-EBI) — predicted protein structures</w:t>
      </w:r>
    </w:p>
    <w:p w14:paraId="5AD8D8C9" w14:textId="77777777" w:rsidR="000C50DF" w:rsidRPr="00902EDA" w:rsidRDefault="00000000">
      <w:pPr>
        <w:pStyle w:val="ListBullet"/>
        <w:spacing w:after="120" w:line="360" w:lineRule="auto"/>
        <w:rPr>
          <w:rFonts w:cs="Arial"/>
          <w:szCs w:val="24"/>
        </w:rPr>
      </w:pPr>
      <w:r w:rsidRPr="00902EDA">
        <w:rPr>
          <w:rFonts w:cs="Arial"/>
          <w:szCs w:val="24"/>
        </w:rPr>
        <w:t>CORUM — curated mammalian protein complex catalog</w:t>
      </w:r>
    </w:p>
    <w:p w14:paraId="4C016AA4" w14:textId="77777777" w:rsidR="000C50DF" w:rsidRPr="00902EDA" w:rsidRDefault="00000000">
      <w:pPr>
        <w:spacing w:after="240" w:line="360" w:lineRule="auto"/>
        <w:rPr>
          <w:rFonts w:cs="Arial"/>
          <w:szCs w:val="24"/>
        </w:rPr>
      </w:pPr>
      <w:r w:rsidRPr="00902EDA">
        <w:rPr>
          <w:rFonts w:cs="Arial"/>
          <w:b/>
          <w:szCs w:val="24"/>
        </w:rPr>
        <w:t>Currently Loading (20 sources):</w:t>
      </w:r>
    </w:p>
    <w:p w14:paraId="6D64E453" w14:textId="77777777" w:rsidR="000C50DF" w:rsidRPr="00902EDA" w:rsidRDefault="00000000">
      <w:pPr>
        <w:pStyle w:val="ListBullet"/>
        <w:spacing w:after="120" w:line="360" w:lineRule="auto"/>
        <w:rPr>
          <w:rFonts w:cs="Arial"/>
          <w:szCs w:val="24"/>
        </w:rPr>
      </w:pPr>
      <w:r w:rsidRPr="00902EDA">
        <w:rPr>
          <w:rFonts w:cs="Arial"/>
          <w:szCs w:val="24"/>
        </w:rPr>
        <w:t>UniProt — protein sequences, function, and annotation</w:t>
      </w:r>
    </w:p>
    <w:p w14:paraId="529840AF" w14:textId="77777777" w:rsidR="000C50DF" w:rsidRPr="00902EDA" w:rsidRDefault="00000000">
      <w:pPr>
        <w:pStyle w:val="ListBullet"/>
        <w:spacing w:after="120" w:line="360" w:lineRule="auto"/>
        <w:rPr>
          <w:rFonts w:cs="Arial"/>
          <w:szCs w:val="24"/>
        </w:rPr>
      </w:pPr>
      <w:r w:rsidRPr="00902EDA">
        <w:rPr>
          <w:rFonts w:cs="Arial"/>
          <w:szCs w:val="24"/>
        </w:rPr>
        <w:t>HGNC — standardized human gene nomenclature</w:t>
      </w:r>
    </w:p>
    <w:p w14:paraId="35F64F11" w14:textId="77777777" w:rsidR="000C50DF" w:rsidRPr="00902EDA" w:rsidRDefault="00000000">
      <w:pPr>
        <w:pStyle w:val="ListBullet"/>
        <w:spacing w:after="120" w:line="360" w:lineRule="auto"/>
        <w:rPr>
          <w:rFonts w:cs="Arial"/>
          <w:szCs w:val="24"/>
        </w:rPr>
      </w:pPr>
      <w:r w:rsidRPr="00902EDA">
        <w:rPr>
          <w:rFonts w:cs="Arial"/>
          <w:szCs w:val="24"/>
        </w:rPr>
        <w:t>ClinGen — gene-disease clinical validity curation</w:t>
      </w:r>
    </w:p>
    <w:p w14:paraId="454422AE" w14:textId="77777777" w:rsidR="000C50DF" w:rsidRPr="00902EDA" w:rsidRDefault="00000000">
      <w:pPr>
        <w:pStyle w:val="ListBullet"/>
        <w:spacing w:after="120" w:line="360" w:lineRule="auto"/>
        <w:rPr>
          <w:rFonts w:cs="Arial"/>
          <w:szCs w:val="24"/>
        </w:rPr>
      </w:pPr>
      <w:r w:rsidRPr="00902EDA">
        <w:rPr>
          <w:rFonts w:cs="Arial"/>
          <w:szCs w:val="24"/>
        </w:rPr>
        <w:t>MONDO — unified disease ontology</w:t>
      </w:r>
    </w:p>
    <w:p w14:paraId="61F34F71" w14:textId="77777777" w:rsidR="000C50DF" w:rsidRPr="00902EDA" w:rsidRDefault="00000000">
      <w:pPr>
        <w:pStyle w:val="ListBullet"/>
        <w:spacing w:after="120" w:line="360" w:lineRule="auto"/>
        <w:rPr>
          <w:rFonts w:cs="Arial"/>
          <w:szCs w:val="24"/>
        </w:rPr>
      </w:pPr>
      <w:r w:rsidRPr="00902EDA">
        <w:rPr>
          <w:rFonts w:cs="Arial"/>
          <w:szCs w:val="24"/>
        </w:rPr>
        <w:t>PubMed CNS — CNS-focused biomedical literature subset</w:t>
      </w:r>
    </w:p>
    <w:p w14:paraId="4E3B80E9" w14:textId="77777777" w:rsidR="000C50DF" w:rsidRPr="00902EDA" w:rsidRDefault="00000000">
      <w:pPr>
        <w:pStyle w:val="ListBullet"/>
        <w:spacing w:after="120" w:line="360" w:lineRule="auto"/>
        <w:rPr>
          <w:rFonts w:cs="Arial"/>
          <w:szCs w:val="24"/>
        </w:rPr>
      </w:pPr>
      <w:r w:rsidRPr="00902EDA">
        <w:rPr>
          <w:rFonts w:cs="Arial"/>
          <w:szCs w:val="24"/>
        </w:rPr>
        <w:t>UniChem — cross-referencing chemical structure identifiers</w:t>
      </w:r>
    </w:p>
    <w:p w14:paraId="5BCD42D5" w14:textId="77777777" w:rsidR="000C50DF" w:rsidRPr="00902EDA" w:rsidRDefault="00000000">
      <w:pPr>
        <w:pStyle w:val="ListBullet"/>
        <w:spacing w:after="120" w:line="360" w:lineRule="auto"/>
        <w:rPr>
          <w:rFonts w:cs="Arial"/>
          <w:szCs w:val="24"/>
        </w:rPr>
      </w:pPr>
      <w:r w:rsidRPr="00902EDA">
        <w:rPr>
          <w:rFonts w:cs="Arial"/>
          <w:szCs w:val="24"/>
        </w:rPr>
        <w:t>Crossref — scholarly publication metadata and citation linking</w:t>
      </w:r>
    </w:p>
    <w:p w14:paraId="6C89DD90" w14:textId="77777777" w:rsidR="000C50DF" w:rsidRPr="00902EDA" w:rsidRDefault="00000000">
      <w:pPr>
        <w:pStyle w:val="ListBullet"/>
        <w:spacing w:after="120" w:line="360" w:lineRule="auto"/>
        <w:rPr>
          <w:rFonts w:cs="Arial"/>
          <w:szCs w:val="24"/>
        </w:rPr>
      </w:pPr>
      <w:r w:rsidRPr="00902EDA">
        <w:rPr>
          <w:rFonts w:cs="Arial"/>
          <w:szCs w:val="24"/>
        </w:rPr>
        <w:t>Europe PMC — European biomedical literature with text-mining annotations</w:t>
      </w:r>
    </w:p>
    <w:p w14:paraId="0005C4A5" w14:textId="77777777" w:rsidR="000C50DF" w:rsidRPr="00902EDA" w:rsidRDefault="00000000">
      <w:pPr>
        <w:pStyle w:val="ListBullet"/>
        <w:spacing w:after="120" w:line="360" w:lineRule="auto"/>
        <w:rPr>
          <w:rFonts w:cs="Arial"/>
          <w:szCs w:val="24"/>
        </w:rPr>
      </w:pPr>
      <w:r w:rsidRPr="00902EDA">
        <w:rPr>
          <w:rFonts w:cs="Arial"/>
          <w:szCs w:val="24"/>
        </w:rPr>
        <w:t>ChEMBL — bioactivity data for drug-like compounds</w:t>
      </w:r>
    </w:p>
    <w:p w14:paraId="78558DA2" w14:textId="77777777" w:rsidR="000C50DF" w:rsidRPr="00902EDA" w:rsidRDefault="00000000">
      <w:pPr>
        <w:pStyle w:val="ListBullet"/>
        <w:spacing w:after="120" w:line="360" w:lineRule="auto"/>
        <w:rPr>
          <w:rFonts w:cs="Arial"/>
          <w:szCs w:val="24"/>
        </w:rPr>
      </w:pPr>
      <w:r w:rsidRPr="00902EDA">
        <w:rPr>
          <w:rFonts w:cs="Arial"/>
          <w:szCs w:val="24"/>
        </w:rPr>
        <w:t>Open Targets — systematic target-disease association evidence</w:t>
      </w:r>
    </w:p>
    <w:p w14:paraId="052779B1" w14:textId="77777777" w:rsidR="000C50DF" w:rsidRPr="00902EDA" w:rsidRDefault="00000000">
      <w:pPr>
        <w:pStyle w:val="ListBullet"/>
        <w:spacing w:after="120" w:line="360" w:lineRule="auto"/>
        <w:rPr>
          <w:rFonts w:cs="Arial"/>
          <w:szCs w:val="24"/>
        </w:rPr>
      </w:pPr>
      <w:r w:rsidRPr="00902EDA">
        <w:rPr>
          <w:rFonts w:cs="Arial"/>
          <w:szCs w:val="24"/>
        </w:rPr>
        <w:t>Pharos/TCRD (Target Central Resource Database) — understudied target illumination</w:t>
      </w:r>
    </w:p>
    <w:p w14:paraId="56742389" w14:textId="77777777" w:rsidR="000C50DF" w:rsidRPr="00902EDA" w:rsidRDefault="00000000">
      <w:pPr>
        <w:pStyle w:val="ListBullet"/>
        <w:spacing w:after="120" w:line="360" w:lineRule="auto"/>
        <w:rPr>
          <w:rFonts w:cs="Arial"/>
          <w:szCs w:val="24"/>
        </w:rPr>
      </w:pPr>
      <w:r w:rsidRPr="00902EDA">
        <w:rPr>
          <w:rFonts w:cs="Arial"/>
          <w:szCs w:val="24"/>
        </w:rPr>
        <w:t>ClinVar — clinical significance of genomic variants</w:t>
      </w:r>
    </w:p>
    <w:p w14:paraId="40842D5D" w14:textId="77777777" w:rsidR="000C50DF" w:rsidRPr="00902EDA" w:rsidRDefault="00000000">
      <w:pPr>
        <w:pStyle w:val="ListBullet"/>
        <w:spacing w:after="120" w:line="360" w:lineRule="auto"/>
        <w:rPr>
          <w:rFonts w:cs="Arial"/>
          <w:szCs w:val="24"/>
        </w:rPr>
      </w:pPr>
      <w:r w:rsidRPr="00902EDA">
        <w:rPr>
          <w:rFonts w:cs="Arial"/>
          <w:szCs w:val="24"/>
        </w:rPr>
        <w:lastRenderedPageBreak/>
        <w:t>OpenAlex — open scholarly metadata and citation graph</w:t>
      </w:r>
    </w:p>
    <w:p w14:paraId="29CD2686" w14:textId="77777777" w:rsidR="000C50DF" w:rsidRPr="00902EDA" w:rsidRDefault="00000000">
      <w:pPr>
        <w:pStyle w:val="ListBullet"/>
        <w:spacing w:after="120" w:line="360" w:lineRule="auto"/>
        <w:rPr>
          <w:rFonts w:cs="Arial"/>
          <w:szCs w:val="24"/>
        </w:rPr>
      </w:pPr>
      <w:r w:rsidRPr="00902EDA">
        <w:rPr>
          <w:rFonts w:cs="Arial"/>
          <w:szCs w:val="24"/>
        </w:rPr>
        <w:t>ClinicalTrials.gov — registered clinical trial protocols and results</w:t>
      </w:r>
    </w:p>
    <w:p w14:paraId="3E4B9F13" w14:textId="77777777" w:rsidR="000C50DF" w:rsidRPr="00902EDA" w:rsidRDefault="00000000">
      <w:pPr>
        <w:pStyle w:val="ListBullet"/>
        <w:spacing w:after="120" w:line="360" w:lineRule="auto"/>
        <w:rPr>
          <w:rFonts w:cs="Arial"/>
          <w:szCs w:val="24"/>
        </w:rPr>
      </w:pPr>
      <w:r w:rsidRPr="00902EDA">
        <w:rPr>
          <w:rFonts w:cs="Arial"/>
          <w:szCs w:val="24"/>
        </w:rPr>
        <w:t>FAERS (FDA Adverse Event Reporting System) — post-market adverse event reports</w:t>
      </w:r>
    </w:p>
    <w:p w14:paraId="76225ECF" w14:textId="77777777" w:rsidR="000C50DF" w:rsidRPr="00902EDA" w:rsidRDefault="00000000">
      <w:pPr>
        <w:pStyle w:val="ListBullet"/>
        <w:spacing w:after="120" w:line="360" w:lineRule="auto"/>
        <w:rPr>
          <w:rFonts w:cs="Arial"/>
          <w:szCs w:val="24"/>
        </w:rPr>
      </w:pPr>
      <w:r w:rsidRPr="00902EDA">
        <w:rPr>
          <w:rFonts w:cs="Arial"/>
          <w:szCs w:val="24"/>
        </w:rPr>
        <w:t>openFDA — FDA regulatory data including adverse events and labeling</w:t>
      </w:r>
    </w:p>
    <w:p w14:paraId="1F9C3345" w14:textId="77777777" w:rsidR="000C50DF" w:rsidRPr="00902EDA" w:rsidRDefault="00000000">
      <w:pPr>
        <w:pStyle w:val="ListBullet"/>
        <w:spacing w:after="120" w:line="360" w:lineRule="auto"/>
        <w:rPr>
          <w:rFonts w:cs="Arial"/>
          <w:szCs w:val="24"/>
        </w:rPr>
      </w:pPr>
      <w:r w:rsidRPr="00902EDA">
        <w:rPr>
          <w:rFonts w:cs="Arial"/>
          <w:szCs w:val="24"/>
        </w:rPr>
        <w:t>SIDER — drug side effect associations extracted from labeling</w:t>
      </w:r>
    </w:p>
    <w:p w14:paraId="4667B283" w14:textId="77777777" w:rsidR="000C50DF" w:rsidRPr="00902EDA" w:rsidRDefault="00000000">
      <w:pPr>
        <w:pStyle w:val="ListBullet"/>
        <w:spacing w:after="120" w:line="360" w:lineRule="auto"/>
        <w:rPr>
          <w:rFonts w:cs="Arial"/>
          <w:szCs w:val="24"/>
        </w:rPr>
      </w:pPr>
      <w:r w:rsidRPr="00902EDA">
        <w:rPr>
          <w:rFonts w:cs="Arial"/>
          <w:szCs w:val="24"/>
        </w:rPr>
        <w:t>TRRUST — transcriptional regulatory relationships</w:t>
      </w:r>
    </w:p>
    <w:p w14:paraId="6A5471E6" w14:textId="61CBD7CB" w:rsidR="000C50DF" w:rsidRPr="00902EDA" w:rsidRDefault="00000000" w:rsidP="00902EDA">
      <w:pPr>
        <w:rPr>
          <w:rFonts w:cs="Arial"/>
          <w:szCs w:val="24"/>
        </w:rPr>
      </w:pPr>
      <w:r w:rsidRPr="00902EDA">
        <w:rPr>
          <w:rFonts w:cs="Arial"/>
          <w:szCs w:val="24"/>
        </w:rPr>
        <w:br w:type="page"/>
      </w:r>
      <w:r w:rsidRPr="00902EDA">
        <w:rPr>
          <w:rFonts w:cs="Arial"/>
          <w:b/>
          <w:szCs w:val="24"/>
        </w:rPr>
        <w:lastRenderedPageBreak/>
        <w:t>Bucket 1 — Ground Truths Using Already-Loaded Sources</w:t>
      </w:r>
    </w:p>
    <w:p w14:paraId="44A28488" w14:textId="77777777" w:rsidR="000C50DF" w:rsidRPr="00902EDA" w:rsidRDefault="00000000">
      <w:pPr>
        <w:spacing w:after="240" w:line="360" w:lineRule="auto"/>
        <w:rPr>
          <w:rFonts w:cs="Arial"/>
          <w:szCs w:val="24"/>
        </w:rPr>
      </w:pPr>
      <w:r w:rsidRPr="00902EDA">
        <w:rPr>
          <w:rFonts w:cs="Arial"/>
          <w:szCs w:val="24"/>
        </w:rPr>
        <w:t>These five scenarios can be fully answered using Quiver EP data combined with the 28 sources already loaded into Sapphire. Each scenario is designed so that the expected answer is verifiable against publicly accessible data, allowing the ExpoAI team to confirm correctness.</w:t>
      </w:r>
    </w:p>
    <w:p w14:paraId="29C3388A" w14:textId="77777777" w:rsidR="000C50DF" w:rsidRPr="00902EDA" w:rsidRDefault="00000000">
      <w:pPr>
        <w:pStyle w:val="Heading2"/>
        <w:rPr>
          <w:rFonts w:ascii="Arial" w:hAnsi="Arial" w:cs="Arial"/>
          <w:sz w:val="24"/>
          <w:szCs w:val="24"/>
        </w:rPr>
      </w:pPr>
      <w:r w:rsidRPr="00902EDA">
        <w:rPr>
          <w:rFonts w:ascii="Arial" w:hAnsi="Arial" w:cs="Arial"/>
          <w:sz w:val="24"/>
          <w:szCs w:val="24"/>
        </w:rPr>
        <w:t xml:space="preserve">Scenario 1.1: Identify the top 5 gene perturbations in Quiver's CRISPR atlas that are functionally most </w:t>
      </w:r>
      <w:proofErr w:type="gramStart"/>
      <w:r w:rsidRPr="00902EDA">
        <w:rPr>
          <w:rFonts w:ascii="Arial" w:hAnsi="Arial" w:cs="Arial"/>
          <w:sz w:val="24"/>
          <w:szCs w:val="24"/>
        </w:rPr>
        <w:t>similar to</w:t>
      </w:r>
      <w:proofErr w:type="gramEnd"/>
      <w:r w:rsidRPr="00902EDA">
        <w:rPr>
          <w:rFonts w:ascii="Arial" w:hAnsi="Arial" w:cs="Arial"/>
          <w:sz w:val="24"/>
          <w:szCs w:val="24"/>
        </w:rPr>
        <w:t xml:space="preserve"> TSC2 loss-of-function, and for each, report whether it belongs to the mTOR signaling pathway (KEGG), its OMIM disease association, and its gnomAD loss-of-function observed/expected upper fraction (LOEUF) score.</w:t>
      </w:r>
    </w:p>
    <w:p w14:paraId="7A2E64E3" w14:textId="77777777" w:rsidR="00902EDA" w:rsidRDefault="00902EDA">
      <w:pPr>
        <w:spacing w:after="240" w:line="360" w:lineRule="auto"/>
        <w:rPr>
          <w:rFonts w:cs="Arial"/>
          <w:b/>
          <w:szCs w:val="24"/>
        </w:rPr>
      </w:pPr>
    </w:p>
    <w:p w14:paraId="415CC586" w14:textId="74CD11BD" w:rsidR="000C50DF" w:rsidRPr="00902EDA" w:rsidRDefault="00000000">
      <w:pPr>
        <w:spacing w:after="240" w:line="360" w:lineRule="auto"/>
        <w:rPr>
          <w:rFonts w:cs="Arial"/>
          <w:szCs w:val="24"/>
        </w:rPr>
      </w:pPr>
      <w:r w:rsidRPr="00902EDA">
        <w:rPr>
          <w:rFonts w:cs="Arial"/>
          <w:b/>
          <w:szCs w:val="24"/>
        </w:rPr>
        <w:t>Prompt</w:t>
      </w:r>
    </w:p>
    <w:p w14:paraId="1F1272C9" w14:textId="77777777" w:rsidR="000C50DF" w:rsidRPr="00902EDA" w:rsidRDefault="00000000">
      <w:pPr>
        <w:spacing w:after="240" w:line="360" w:lineRule="auto"/>
        <w:rPr>
          <w:rFonts w:cs="Arial"/>
          <w:szCs w:val="24"/>
        </w:rPr>
      </w:pPr>
      <w:r w:rsidRPr="00902EDA">
        <w:rPr>
          <w:rFonts w:cs="Arial"/>
          <w:szCs w:val="24"/>
        </w:rPr>
        <w:t>"From Quiver's gene perturbation atlas, identify the 5 gene perturbations whose EP fingerprints are most similar to TSC2 loss-of-function. For each hit, report: (a) whether the gene is annotated in the KEGG mTOR signaling pathway (hsa04150), (b) the associated OMIM disease phenotype(s), and (c) the gnomAD LOEUF score indicating tolerance to loss-of-function variation."</w:t>
      </w:r>
    </w:p>
    <w:p w14:paraId="21CA38FA" w14:textId="77777777" w:rsidR="000C50DF" w:rsidRPr="00902EDA" w:rsidRDefault="00000000">
      <w:pPr>
        <w:spacing w:after="240" w:line="360" w:lineRule="auto"/>
        <w:rPr>
          <w:rFonts w:cs="Arial"/>
          <w:szCs w:val="24"/>
        </w:rPr>
      </w:pPr>
      <w:r w:rsidRPr="00902EDA">
        <w:rPr>
          <w:rFonts w:cs="Arial"/>
          <w:b/>
          <w:szCs w:val="24"/>
        </w:rPr>
        <w:t>Expected Ground Truth</w:t>
      </w:r>
    </w:p>
    <w:p w14:paraId="65F88BE3" w14:textId="77777777" w:rsidR="000C50DF" w:rsidRPr="00902EDA" w:rsidRDefault="00000000">
      <w:pPr>
        <w:spacing w:after="240" w:line="360" w:lineRule="auto"/>
        <w:rPr>
          <w:rFonts w:cs="Arial"/>
          <w:szCs w:val="24"/>
        </w:rPr>
      </w:pPr>
      <w:r w:rsidRPr="00902EDA">
        <w:rPr>
          <w:rFonts w:cs="Arial"/>
          <w:szCs w:val="24"/>
        </w:rPr>
        <w:t>The EP similarity ranking itself comes from Quiver's proprietary embedding space and cannot be independently verified by ExpoAI — this is the core Quiver output that Sapphire wraps. However, once Sapphire returns the top 5 gene names, every external annotation is independently verifiable:</w:t>
      </w:r>
    </w:p>
    <w:p w14:paraId="0B1B5EBB" w14:textId="77777777" w:rsidR="000C50DF" w:rsidRPr="00902EDA" w:rsidRDefault="00000000">
      <w:pPr>
        <w:pStyle w:val="ListBullet"/>
        <w:spacing w:after="120" w:line="360" w:lineRule="auto"/>
        <w:rPr>
          <w:rFonts w:cs="Arial"/>
          <w:szCs w:val="24"/>
        </w:rPr>
      </w:pPr>
      <w:r w:rsidRPr="00902EDA">
        <w:rPr>
          <w:rFonts w:cs="Arial"/>
          <w:szCs w:val="24"/>
        </w:rPr>
        <w:t>KEGG verification: Query KEGG pathway hsa04150 (mTOR signaling) via the KEGG API. Genes like TSC1, MTOR, RHEB, RPTOR, AKT1, PIK3CA, PTEN, RPS6KB1, and EIF4EBP1 are members. If a returned gene appears in this list, the annotation is correct. For example, TSC1 should be flagged as an mTOR pathway member; a gene like CACNA1A should not.</w:t>
      </w:r>
    </w:p>
    <w:p w14:paraId="340DE88D" w14:textId="77777777" w:rsidR="000C50DF" w:rsidRPr="00902EDA" w:rsidRDefault="00000000">
      <w:pPr>
        <w:pStyle w:val="ListBullet"/>
        <w:spacing w:after="120" w:line="360" w:lineRule="auto"/>
        <w:rPr>
          <w:rFonts w:cs="Arial"/>
          <w:szCs w:val="24"/>
        </w:rPr>
      </w:pPr>
      <w:r w:rsidRPr="00902EDA">
        <w:rPr>
          <w:rFonts w:cs="Arial"/>
          <w:szCs w:val="24"/>
        </w:rPr>
        <w:t>OMIM verification: Each gene's OMIM entry lists associated phenotypes. For example, TSC1 maps to OMIM #191100 (Tuberous Sclerosis Complex); PTEN maps to #158350 (Cowden Syndrome) and #601728 (PTEN Hamartoma Tumor Syndrome). The returned disease associations should match OMIM's curated entries exactly.</w:t>
      </w:r>
    </w:p>
    <w:p w14:paraId="149F410B" w14:textId="77777777" w:rsidR="000C50DF" w:rsidRPr="00902EDA" w:rsidRDefault="00000000">
      <w:pPr>
        <w:pStyle w:val="ListBullet"/>
        <w:spacing w:after="120" w:line="360" w:lineRule="auto"/>
        <w:rPr>
          <w:rFonts w:cs="Arial"/>
          <w:szCs w:val="24"/>
        </w:rPr>
      </w:pPr>
      <w:r w:rsidRPr="00902EDA">
        <w:rPr>
          <w:rFonts w:cs="Arial"/>
          <w:szCs w:val="24"/>
        </w:rPr>
        <w:t>gnomAD LOEUF verification: gnomAD v4 constraint files provide LOEUF scores for each gene. Essential genes typically have LOEUF &lt; 0.35 (strongly constrained against loss-of-function). For example, TSC2 itself has a LOEUF of approximately 0.15, indicating high constraint. The returned scores should match gnomAD's published values within rounding precision.</w:t>
      </w:r>
    </w:p>
    <w:p w14:paraId="3C8EF1FA" w14:textId="77777777" w:rsidR="000C50DF" w:rsidRPr="00902EDA" w:rsidRDefault="00000000">
      <w:pPr>
        <w:spacing w:after="240" w:line="360" w:lineRule="auto"/>
        <w:rPr>
          <w:rFonts w:cs="Arial"/>
          <w:szCs w:val="24"/>
        </w:rPr>
      </w:pPr>
      <w:r w:rsidRPr="00902EDA">
        <w:rPr>
          <w:rFonts w:cs="Arial"/>
          <w:b/>
          <w:szCs w:val="24"/>
        </w:rPr>
        <w:t>Reasoning for Prompt Selection</w:t>
      </w:r>
    </w:p>
    <w:p w14:paraId="52E5D963" w14:textId="77777777" w:rsidR="000C50DF" w:rsidRPr="00902EDA" w:rsidRDefault="00000000">
      <w:pPr>
        <w:spacing w:after="240" w:line="360" w:lineRule="auto"/>
        <w:rPr>
          <w:rFonts w:cs="Arial"/>
          <w:szCs w:val="24"/>
        </w:rPr>
      </w:pPr>
      <w:r w:rsidRPr="00902EDA">
        <w:rPr>
          <w:rFonts w:cs="Arial"/>
          <w:szCs w:val="24"/>
        </w:rPr>
        <w:lastRenderedPageBreak/>
        <w:t>This prompt was selected because it exercises the core Quiver capability (EP similarity search across the gene perturbation atlas) while requiring Sapphire to correctly join results against three distinct already-loaded sources (KEGG, OMIM, gnomAD). It tests whether Sapphire can take a proprietary functional output and systematically annotate it with pathway membership, disease relevance, and population genetics context. The mTOR/TSC2 axis was chosen because it is Quiver's most publicly documented use case, providing the ExpoAI team with biological context to evaluate plausibility of results.</w:t>
      </w:r>
    </w:p>
    <w:p w14:paraId="56D19570" w14:textId="77777777" w:rsidR="000C50DF" w:rsidRPr="00902EDA" w:rsidRDefault="00000000">
      <w:pPr>
        <w:spacing w:after="240" w:line="360" w:lineRule="auto"/>
        <w:rPr>
          <w:rFonts w:cs="Arial"/>
          <w:szCs w:val="24"/>
        </w:rPr>
      </w:pPr>
      <w:r w:rsidRPr="00902EDA">
        <w:rPr>
          <w:rFonts w:cs="Arial"/>
          <w:b/>
          <w:szCs w:val="24"/>
        </w:rPr>
        <w:t>Ground Truth Validity Assessment</w:t>
      </w:r>
    </w:p>
    <w:p w14:paraId="415EC7CC" w14:textId="77777777" w:rsidR="000C50DF" w:rsidRPr="00902EDA" w:rsidRDefault="00000000">
      <w:pPr>
        <w:spacing w:after="240" w:line="360" w:lineRule="auto"/>
        <w:rPr>
          <w:rFonts w:cs="Arial"/>
          <w:szCs w:val="24"/>
        </w:rPr>
      </w:pPr>
      <w:r w:rsidRPr="00902EDA">
        <w:rPr>
          <w:rFonts w:cs="Arial"/>
          <w:szCs w:val="24"/>
        </w:rPr>
        <w:t>High validity. The Quiver EP similarity component is a black-box output that must be accepted as given, but the three external annotations are each independently verifiable against authoritative public databases with deterministic answers. KEGG pathway membership is binary (gene is or is not in hsa04150). OMIM phenotypes are curated text entries. gnomAD LOEUF scores are published numerical values. If any of these annotations are incorrect in Sapphire's output, it indicates a data integration error that ExpoAI can pinpoint to the specific source.</w:t>
      </w:r>
    </w:p>
    <w:p w14:paraId="6C23BC57" w14:textId="77777777" w:rsidR="000C50DF" w:rsidRPr="00902EDA" w:rsidRDefault="00000000">
      <w:pPr>
        <w:pStyle w:val="Heading2"/>
        <w:rPr>
          <w:rFonts w:ascii="Arial" w:hAnsi="Arial" w:cs="Arial"/>
          <w:sz w:val="24"/>
          <w:szCs w:val="24"/>
        </w:rPr>
      </w:pPr>
      <w:r w:rsidRPr="00902EDA">
        <w:rPr>
          <w:rFonts w:ascii="Arial" w:hAnsi="Arial" w:cs="Arial"/>
          <w:sz w:val="24"/>
          <w:szCs w:val="24"/>
        </w:rPr>
        <w:t>Scenario 1.2: For the compound in Quiver's drug atlas whose EP fingerprint is most antipodal (functionally opposite) to the SCN2A gain-of-function perturbation, retrieve its DrugBank drug-target interaction profile, RxNorm clinical drug name, and KEGG drug metabolism pathway.</w:t>
      </w:r>
    </w:p>
    <w:p w14:paraId="31FD50A4" w14:textId="77777777" w:rsidR="000C50DF" w:rsidRPr="00902EDA" w:rsidRDefault="00000000">
      <w:pPr>
        <w:spacing w:after="240" w:line="360" w:lineRule="auto"/>
        <w:rPr>
          <w:rFonts w:cs="Arial"/>
          <w:szCs w:val="24"/>
        </w:rPr>
      </w:pPr>
      <w:r w:rsidRPr="00902EDA">
        <w:rPr>
          <w:rFonts w:cs="Arial"/>
          <w:b/>
          <w:szCs w:val="24"/>
        </w:rPr>
        <w:t>Prompt</w:t>
      </w:r>
    </w:p>
    <w:p w14:paraId="5E0B60CB" w14:textId="77777777" w:rsidR="000C50DF" w:rsidRPr="00902EDA" w:rsidRDefault="00000000">
      <w:pPr>
        <w:spacing w:after="240" w:line="360" w:lineRule="auto"/>
        <w:rPr>
          <w:rFonts w:cs="Arial"/>
          <w:szCs w:val="24"/>
        </w:rPr>
      </w:pPr>
      <w:r w:rsidRPr="00902EDA">
        <w:rPr>
          <w:rFonts w:cs="Arial"/>
          <w:szCs w:val="24"/>
        </w:rPr>
        <w:t>"Identify the compound in Quiver's compound perturbation atlas that produces the EP profile most antipodal (functionally opposite) to the SCN2A gain-of-function CRISPR perturbation. For this compound, return: (a) all known drug targets from DrugBank with their pharmacological action (inhibitor, agonist, etc.), (b) the RxNorm standardized clinical drug name and RxCUI identifier, and (c) the KEGG drug metabolism pathway(s) the compound participates in."</w:t>
      </w:r>
    </w:p>
    <w:p w14:paraId="758D34F1" w14:textId="77777777" w:rsidR="000C50DF" w:rsidRPr="00902EDA" w:rsidRDefault="00000000">
      <w:pPr>
        <w:spacing w:after="240" w:line="360" w:lineRule="auto"/>
        <w:rPr>
          <w:rFonts w:cs="Arial"/>
          <w:szCs w:val="24"/>
        </w:rPr>
      </w:pPr>
      <w:r w:rsidRPr="00902EDA">
        <w:rPr>
          <w:rFonts w:cs="Arial"/>
          <w:b/>
          <w:szCs w:val="24"/>
        </w:rPr>
        <w:t>Expected Ground Truth</w:t>
      </w:r>
    </w:p>
    <w:p w14:paraId="453502A7" w14:textId="77777777" w:rsidR="000C50DF" w:rsidRPr="00902EDA" w:rsidRDefault="00000000">
      <w:pPr>
        <w:spacing w:after="240" w:line="360" w:lineRule="auto"/>
        <w:rPr>
          <w:rFonts w:cs="Arial"/>
          <w:szCs w:val="24"/>
        </w:rPr>
      </w:pPr>
      <w:r w:rsidRPr="00902EDA">
        <w:rPr>
          <w:rFonts w:cs="Arial"/>
          <w:szCs w:val="24"/>
        </w:rPr>
        <w:t>SCN2A gain-of-function mutations cause early-onset epilepsy through neuronal hyperexcitability — increased firing rate, reduced action potential threshold, and broadened spike waveform. A functionally antipodal compound from Quiver's atlas should therefore be one that reduces excitability. Biologically plausible antipodal compounds would include sodium channel blockers (e.g., phenytoin, carbamazepine, lacosamide) or other anti-epileptic drugs. Once Sapphire returns the compound identity:</w:t>
      </w:r>
    </w:p>
    <w:p w14:paraId="1DB39950" w14:textId="77777777" w:rsidR="000C50DF" w:rsidRPr="00902EDA" w:rsidRDefault="00000000">
      <w:pPr>
        <w:pStyle w:val="ListBullet"/>
        <w:spacing w:after="120" w:line="360" w:lineRule="auto"/>
        <w:rPr>
          <w:rFonts w:cs="Arial"/>
          <w:szCs w:val="24"/>
        </w:rPr>
      </w:pPr>
      <w:r w:rsidRPr="00902EDA">
        <w:rPr>
          <w:rFonts w:cs="Arial"/>
          <w:szCs w:val="24"/>
        </w:rPr>
        <w:lastRenderedPageBreak/>
        <w:t>DrugBank verification: Search DrugBank by compound name or structure. For example, if the returned compound is phenytoin (DrugBank DB00252), DrugBank lists targets including SCN1A, SCN2A, SCN3A (all as inhibitor), plus additional targets like CYP2C9 and CYP2C19 (as substrate). The target list and pharmacological actions should match DrugBank's curated entries.</w:t>
      </w:r>
    </w:p>
    <w:p w14:paraId="0E0D40F9" w14:textId="77777777" w:rsidR="000C50DF" w:rsidRPr="00902EDA" w:rsidRDefault="00000000">
      <w:pPr>
        <w:pStyle w:val="ListBullet"/>
        <w:spacing w:after="120" w:line="360" w:lineRule="auto"/>
        <w:rPr>
          <w:rFonts w:cs="Arial"/>
          <w:szCs w:val="24"/>
        </w:rPr>
      </w:pPr>
      <w:r w:rsidRPr="00902EDA">
        <w:rPr>
          <w:rFonts w:cs="Arial"/>
          <w:szCs w:val="24"/>
        </w:rPr>
        <w:t>RxNorm verification: Query RxNorm via the NCBI API. Phenytoin maps to RxCUI 8183; the standardized clinical drug name is "phenytoin." Extended phenytoin sodium capsule formulations have distinct RxCUIs. The returned RxNorm name and identifier should be verifiable through the RxNorm REST API.</w:t>
      </w:r>
    </w:p>
    <w:p w14:paraId="2D8238B2" w14:textId="77777777" w:rsidR="000C50DF" w:rsidRPr="00902EDA" w:rsidRDefault="00000000">
      <w:pPr>
        <w:pStyle w:val="ListBullet"/>
        <w:spacing w:after="120" w:line="360" w:lineRule="auto"/>
        <w:rPr>
          <w:rFonts w:cs="Arial"/>
          <w:szCs w:val="24"/>
        </w:rPr>
      </w:pPr>
      <w:r w:rsidRPr="00902EDA">
        <w:rPr>
          <w:rFonts w:cs="Arial"/>
          <w:szCs w:val="24"/>
        </w:rPr>
        <w:t>KEGG drug metabolism verification: KEGG maps phenytoin to the drug metabolism pathway (CYP2C9/CYP2C19-mediated hydroxylation). The compound should appear in the relevant KEGG drug metabolism map with correct enzymatic relationships.</w:t>
      </w:r>
    </w:p>
    <w:p w14:paraId="77C5CCE4" w14:textId="77777777" w:rsidR="000C50DF" w:rsidRPr="00902EDA" w:rsidRDefault="00000000">
      <w:pPr>
        <w:spacing w:after="240" w:line="360" w:lineRule="auto"/>
        <w:rPr>
          <w:rFonts w:cs="Arial"/>
          <w:szCs w:val="24"/>
        </w:rPr>
      </w:pPr>
      <w:r w:rsidRPr="00902EDA">
        <w:rPr>
          <w:rFonts w:cs="Arial"/>
          <w:b/>
          <w:szCs w:val="24"/>
        </w:rPr>
        <w:t>Reasoning for Prompt Selection</w:t>
      </w:r>
    </w:p>
    <w:p w14:paraId="7A524AEC" w14:textId="77777777" w:rsidR="000C50DF" w:rsidRPr="00902EDA" w:rsidRDefault="00000000">
      <w:pPr>
        <w:spacing w:after="240" w:line="360" w:lineRule="auto"/>
        <w:rPr>
          <w:rFonts w:cs="Arial"/>
          <w:szCs w:val="24"/>
        </w:rPr>
      </w:pPr>
      <w:r w:rsidRPr="00902EDA">
        <w:rPr>
          <w:rFonts w:cs="Arial"/>
          <w:szCs w:val="24"/>
        </w:rPr>
        <w:t xml:space="preserve">This prompt tests Sapphire's ability to bridge from Quiver's compound atlas (functional EP data) to three pharmacological knowledge bases already in the system. It validates the drug-gene matching capability that is central to Sapphire's therapeutic discovery workflow. The SCN2A gain-of-function case was selected because it has well-established pharmacology (sodium channel blockers are standard of care), giving ExpoAI a strong biological prior to </w:t>
      </w:r>
      <w:proofErr w:type="gramStart"/>
      <w:r w:rsidRPr="00902EDA">
        <w:rPr>
          <w:rFonts w:cs="Arial"/>
          <w:szCs w:val="24"/>
        </w:rPr>
        <w:t>evaluate</w:t>
      </w:r>
      <w:proofErr w:type="gramEnd"/>
      <w:r w:rsidRPr="00902EDA">
        <w:rPr>
          <w:rFonts w:cs="Arial"/>
          <w:szCs w:val="24"/>
        </w:rPr>
        <w:t xml:space="preserve"> whether the antipodal compound identification is plausible. All three external lookups (DrugBank, RxNorm, KEGG) are independently queryable.</w:t>
      </w:r>
    </w:p>
    <w:p w14:paraId="421148EE" w14:textId="77777777" w:rsidR="000C50DF" w:rsidRPr="00902EDA" w:rsidRDefault="00000000">
      <w:pPr>
        <w:spacing w:after="240" w:line="360" w:lineRule="auto"/>
        <w:rPr>
          <w:rFonts w:cs="Arial"/>
          <w:szCs w:val="24"/>
        </w:rPr>
      </w:pPr>
      <w:r w:rsidRPr="00902EDA">
        <w:rPr>
          <w:rFonts w:cs="Arial"/>
          <w:b/>
          <w:szCs w:val="24"/>
        </w:rPr>
        <w:t>Ground Truth Validity Assessment</w:t>
      </w:r>
    </w:p>
    <w:p w14:paraId="2C279C6B" w14:textId="77777777" w:rsidR="000C50DF" w:rsidRPr="00902EDA" w:rsidRDefault="00000000">
      <w:pPr>
        <w:spacing w:after="240" w:line="360" w:lineRule="auto"/>
        <w:rPr>
          <w:rFonts w:cs="Arial"/>
          <w:szCs w:val="24"/>
        </w:rPr>
      </w:pPr>
      <w:r w:rsidRPr="00902EDA">
        <w:rPr>
          <w:rFonts w:cs="Arial"/>
          <w:szCs w:val="24"/>
        </w:rPr>
        <w:t>High validity for the external annotations; moderate validity for the antipodal compound selection. The compound identity itself depends on Quiver's EP embedding space and is not independently verifiable, but it should be biologically plausible (an excitability-reducing agent). The DrugBank target profile, RxNorm identifier, and KEGG pathway are all deterministic lookups that ExpoAI can verify to the letter. A mismatch in any of these indicates a Sapphire integration issue, not a Quiver data issue.</w:t>
      </w:r>
    </w:p>
    <w:p w14:paraId="06A87311" w14:textId="77777777" w:rsidR="000C50DF" w:rsidRPr="00902EDA" w:rsidRDefault="00000000">
      <w:pPr>
        <w:pStyle w:val="Heading2"/>
        <w:rPr>
          <w:rFonts w:ascii="Arial" w:hAnsi="Arial" w:cs="Arial"/>
          <w:sz w:val="24"/>
          <w:szCs w:val="24"/>
        </w:rPr>
      </w:pPr>
      <w:r w:rsidRPr="00902EDA">
        <w:rPr>
          <w:rFonts w:ascii="Arial" w:hAnsi="Arial" w:cs="Arial"/>
          <w:sz w:val="24"/>
          <w:szCs w:val="24"/>
        </w:rPr>
        <w:t>Scenario 1.3: Identify gene perturbations in Quiver's atlas that normalize excitatory/inhibitory (E/I) imbalance AND overlap with schizophrenia GWAS loci. For each, report STRING protein-protein interaction partners and GTEx brain expression levels.</w:t>
      </w:r>
    </w:p>
    <w:p w14:paraId="0752FD84" w14:textId="77777777" w:rsidR="000C50DF" w:rsidRPr="00902EDA" w:rsidRDefault="00000000">
      <w:pPr>
        <w:spacing w:after="240" w:line="360" w:lineRule="auto"/>
        <w:rPr>
          <w:rFonts w:cs="Arial"/>
          <w:szCs w:val="24"/>
        </w:rPr>
      </w:pPr>
      <w:r w:rsidRPr="00902EDA">
        <w:rPr>
          <w:rFonts w:cs="Arial"/>
          <w:b/>
          <w:szCs w:val="24"/>
        </w:rPr>
        <w:t>Prompt</w:t>
      </w:r>
    </w:p>
    <w:p w14:paraId="15D4561F" w14:textId="77777777" w:rsidR="000C50DF" w:rsidRPr="00902EDA" w:rsidRDefault="00000000">
      <w:pPr>
        <w:spacing w:after="240" w:line="360" w:lineRule="auto"/>
        <w:rPr>
          <w:rFonts w:cs="Arial"/>
          <w:szCs w:val="24"/>
        </w:rPr>
      </w:pPr>
      <w:r w:rsidRPr="00902EDA">
        <w:rPr>
          <w:rFonts w:cs="Arial"/>
          <w:szCs w:val="24"/>
        </w:rPr>
        <w:t xml:space="preserve">"From Quiver's gene perturbation atlas, identify genes whose CRISPR knockout normalizes E/I balance metrics (restoring excitatory-to-inhibitory firing ratio toward baseline). Filter these to retain only genes that overlap with genome-wide significant loci (p &lt; 5e-8) in the NHGRI-EBI GWAS </w:t>
      </w:r>
      <w:r w:rsidRPr="00902EDA">
        <w:rPr>
          <w:rFonts w:cs="Arial"/>
          <w:szCs w:val="24"/>
        </w:rPr>
        <w:lastRenderedPageBreak/>
        <w:t>Catalog for schizophrenia (EFO_0000692). For the top 5 hits, return: (a) the top 10 STRING interaction partners (combined score &gt; 0.7), and (b) GTEx median TPM expression in brain cortex, brain cerebellum, and brain hippocampus."</w:t>
      </w:r>
    </w:p>
    <w:p w14:paraId="0DF89A56" w14:textId="77777777" w:rsidR="000C50DF" w:rsidRPr="00902EDA" w:rsidRDefault="00000000">
      <w:pPr>
        <w:spacing w:after="240" w:line="360" w:lineRule="auto"/>
        <w:rPr>
          <w:rFonts w:cs="Arial"/>
          <w:szCs w:val="24"/>
        </w:rPr>
      </w:pPr>
      <w:r w:rsidRPr="00902EDA">
        <w:rPr>
          <w:rFonts w:cs="Arial"/>
          <w:b/>
          <w:szCs w:val="24"/>
        </w:rPr>
        <w:t>Expected Ground Truth</w:t>
      </w:r>
    </w:p>
    <w:p w14:paraId="15459C21" w14:textId="77777777" w:rsidR="000C50DF" w:rsidRPr="00902EDA" w:rsidRDefault="00000000">
      <w:pPr>
        <w:spacing w:after="240" w:line="360" w:lineRule="auto"/>
        <w:rPr>
          <w:rFonts w:cs="Arial"/>
          <w:szCs w:val="24"/>
        </w:rPr>
      </w:pPr>
      <w:r w:rsidRPr="00902EDA">
        <w:rPr>
          <w:rFonts w:cs="Arial"/>
          <w:szCs w:val="24"/>
        </w:rPr>
        <w:t>The E/I balance normalization is a Quiver-internal metric derived from comparing excitatory and inhibitory neuron firing patterns. The GWAS overlap filter can be verified:</w:t>
      </w:r>
    </w:p>
    <w:p w14:paraId="2A834B06" w14:textId="77777777" w:rsidR="000C50DF" w:rsidRPr="00902EDA" w:rsidRDefault="00000000">
      <w:pPr>
        <w:pStyle w:val="ListBullet"/>
        <w:spacing w:after="120" w:line="360" w:lineRule="auto"/>
        <w:rPr>
          <w:rFonts w:cs="Arial"/>
          <w:szCs w:val="24"/>
        </w:rPr>
      </w:pPr>
      <w:r w:rsidRPr="00902EDA">
        <w:rPr>
          <w:rFonts w:cs="Arial"/>
          <w:szCs w:val="24"/>
        </w:rPr>
        <w:t>GWAS Catalog verification: Query the NHGRI-EBI GWAS Catalog (www.ebi.ac.uk/gwas) for schizophrenia (EFO_0000692). Well-established schizophrenia GWAS genes include CACNA1C, GRIN2A, DRD2, RIMS1, SYNGAP1, NRGN, GRIA1, among hundreds of loci from the PGC3 mega-analysis. If a Quiver hit gene does not appear in any schizophrenia GWAS locus, it should be filtered out. The presence or absence of a gene in the GWAS Catalog for this trait is binary and verifiable.</w:t>
      </w:r>
    </w:p>
    <w:p w14:paraId="09E1DF07" w14:textId="77777777" w:rsidR="000C50DF" w:rsidRPr="00902EDA" w:rsidRDefault="00000000">
      <w:pPr>
        <w:pStyle w:val="ListBullet"/>
        <w:spacing w:after="120" w:line="360" w:lineRule="auto"/>
        <w:rPr>
          <w:rFonts w:cs="Arial"/>
          <w:szCs w:val="24"/>
        </w:rPr>
      </w:pPr>
      <w:r w:rsidRPr="00902EDA">
        <w:rPr>
          <w:rFonts w:cs="Arial"/>
          <w:szCs w:val="24"/>
        </w:rPr>
        <w:t>STRING verification: For any returned gene (e.g., CACNA1C), STRING (string-db.org) provides interaction partners with combined scores. CACNA1C's high-confidence partners include CACNB2, CACNA2D1, CALM1, CALM2, CALM3, and others. The top 10 partners by score should match STRING's current database. ExpoAI can verify this by querying STRING's API with the gene identifier and filtering for combined_score &gt; 700.</w:t>
      </w:r>
    </w:p>
    <w:p w14:paraId="3935CBB6" w14:textId="77777777" w:rsidR="000C50DF" w:rsidRPr="00902EDA" w:rsidRDefault="00000000">
      <w:pPr>
        <w:pStyle w:val="ListBullet"/>
        <w:spacing w:after="120" w:line="360" w:lineRule="auto"/>
        <w:rPr>
          <w:rFonts w:cs="Arial"/>
          <w:szCs w:val="24"/>
        </w:rPr>
      </w:pPr>
      <w:r w:rsidRPr="00902EDA">
        <w:rPr>
          <w:rFonts w:cs="Arial"/>
          <w:szCs w:val="24"/>
        </w:rPr>
        <w:t>GTEx verification: GTEx (gtexportal.org) provides median TPM by tissue. For CACNA1C, brain cortex expression is approximately 15-25 TPM, cerebellum approximately 8-15 TPM, and hippocampus approximately 20-30 TPM (values vary by GTEx release). The order of magnitude and relative tissue ranking should be consistent with GTEx v8 published values.</w:t>
      </w:r>
    </w:p>
    <w:p w14:paraId="5FD4D97C" w14:textId="77777777" w:rsidR="000C50DF" w:rsidRPr="00902EDA" w:rsidRDefault="00000000">
      <w:pPr>
        <w:spacing w:after="240" w:line="360" w:lineRule="auto"/>
        <w:rPr>
          <w:rFonts w:cs="Arial"/>
          <w:szCs w:val="24"/>
        </w:rPr>
      </w:pPr>
      <w:r w:rsidRPr="00902EDA">
        <w:rPr>
          <w:rFonts w:cs="Arial"/>
          <w:b/>
          <w:szCs w:val="24"/>
        </w:rPr>
        <w:t>Reasoning for Prompt Selection</w:t>
      </w:r>
    </w:p>
    <w:p w14:paraId="03A8581F" w14:textId="77777777" w:rsidR="000C50DF" w:rsidRPr="00902EDA" w:rsidRDefault="00000000">
      <w:pPr>
        <w:spacing w:after="240" w:line="360" w:lineRule="auto"/>
        <w:rPr>
          <w:rFonts w:cs="Arial"/>
          <w:szCs w:val="24"/>
        </w:rPr>
      </w:pPr>
      <w:r w:rsidRPr="00902EDA">
        <w:rPr>
          <w:rFonts w:cs="Arial"/>
          <w:szCs w:val="24"/>
        </w:rPr>
        <w:t>This prompt was chosen because it chains together Quiver's functional phenotyping (E/I balance), a genetic association filter (GWAS Catalog), a network biology layer (STRING), and a tissue expression layer (GTEx) — four data sources in one query. Schizophrenia was chosen because it is a core CNS indication with extensive GWAS data, and E/I imbalance is a leading mechanistic hypothesis, making the prompt both scientifically grounded and practically relevant to Quiver's mission. Every external component can be independently checked.</w:t>
      </w:r>
    </w:p>
    <w:p w14:paraId="6C494A37" w14:textId="77777777" w:rsidR="000C50DF" w:rsidRPr="00902EDA" w:rsidRDefault="00000000">
      <w:pPr>
        <w:spacing w:after="240" w:line="360" w:lineRule="auto"/>
        <w:rPr>
          <w:rFonts w:cs="Arial"/>
          <w:szCs w:val="24"/>
        </w:rPr>
      </w:pPr>
      <w:r w:rsidRPr="00902EDA">
        <w:rPr>
          <w:rFonts w:cs="Arial"/>
          <w:b/>
          <w:szCs w:val="24"/>
        </w:rPr>
        <w:t>Ground Truth Validity Assessment</w:t>
      </w:r>
    </w:p>
    <w:p w14:paraId="52B11F95" w14:textId="77777777" w:rsidR="000C50DF" w:rsidRPr="00902EDA" w:rsidRDefault="00000000">
      <w:pPr>
        <w:spacing w:after="240" w:line="360" w:lineRule="auto"/>
        <w:rPr>
          <w:rFonts w:cs="Arial"/>
          <w:szCs w:val="24"/>
        </w:rPr>
      </w:pPr>
      <w:r w:rsidRPr="00902EDA">
        <w:rPr>
          <w:rFonts w:cs="Arial"/>
          <w:szCs w:val="24"/>
        </w:rPr>
        <w:t xml:space="preserve">High validity for external lookups. The GWAS Catalog overlap is binary and unambiguous. STRING interaction partners are versioned and reproducible for a given database release. GTEx values are </w:t>
      </w:r>
      <w:r w:rsidRPr="00902EDA">
        <w:rPr>
          <w:rFonts w:cs="Arial"/>
          <w:szCs w:val="24"/>
        </w:rPr>
        <w:lastRenderedPageBreak/>
        <w:t>published and stable across releases (small numerical shifts are expected between v8 and later versions but relative rankings should hold). The Quiver E/I normalization step is internal and must be taken on trust, but the downstream annotation chain is fully verifiable.</w:t>
      </w:r>
    </w:p>
    <w:p w14:paraId="70157DDA" w14:textId="77777777" w:rsidR="000C50DF" w:rsidRPr="00902EDA" w:rsidRDefault="00000000">
      <w:pPr>
        <w:pStyle w:val="Heading2"/>
        <w:rPr>
          <w:rFonts w:ascii="Arial" w:hAnsi="Arial" w:cs="Arial"/>
          <w:sz w:val="24"/>
          <w:szCs w:val="24"/>
        </w:rPr>
      </w:pPr>
      <w:r w:rsidRPr="00902EDA">
        <w:rPr>
          <w:rFonts w:ascii="Arial" w:hAnsi="Arial" w:cs="Arial"/>
          <w:sz w:val="24"/>
          <w:szCs w:val="24"/>
        </w:rPr>
        <w:t xml:space="preserve">Scenario 1.4: For the KEGG mTOR signaling pathway, compute the average pairwise EP similarity among all member genes </w:t>
      </w:r>
      <w:proofErr w:type="gramStart"/>
      <w:r w:rsidRPr="00902EDA">
        <w:rPr>
          <w:rFonts w:ascii="Arial" w:hAnsi="Arial" w:cs="Arial"/>
          <w:sz w:val="24"/>
          <w:szCs w:val="24"/>
        </w:rPr>
        <w:t>present</w:t>
      </w:r>
      <w:proofErr w:type="gramEnd"/>
      <w:r w:rsidRPr="00902EDA">
        <w:rPr>
          <w:rFonts w:ascii="Arial" w:hAnsi="Arial" w:cs="Arial"/>
          <w:sz w:val="24"/>
          <w:szCs w:val="24"/>
        </w:rPr>
        <w:t xml:space="preserve"> in Quiver's atlas, compare to the average pairwise similarity of 100 random gene sets of equal size, and report the enrichment z-score. Cross-reference each mTOR member's BioGRID physical interaction count and Reactome sub-pathway assignment.</w:t>
      </w:r>
    </w:p>
    <w:p w14:paraId="038A1587" w14:textId="77777777" w:rsidR="000C50DF" w:rsidRPr="00902EDA" w:rsidRDefault="00000000">
      <w:pPr>
        <w:spacing w:after="240" w:line="360" w:lineRule="auto"/>
        <w:rPr>
          <w:rFonts w:cs="Arial"/>
          <w:szCs w:val="24"/>
        </w:rPr>
      </w:pPr>
      <w:r w:rsidRPr="00902EDA">
        <w:rPr>
          <w:rFonts w:cs="Arial"/>
          <w:b/>
          <w:szCs w:val="24"/>
        </w:rPr>
        <w:t>Prompt</w:t>
      </w:r>
    </w:p>
    <w:p w14:paraId="63687CC9" w14:textId="77777777" w:rsidR="000C50DF" w:rsidRPr="00902EDA" w:rsidRDefault="00000000">
      <w:pPr>
        <w:spacing w:after="240" w:line="360" w:lineRule="auto"/>
        <w:rPr>
          <w:rFonts w:cs="Arial"/>
          <w:szCs w:val="24"/>
        </w:rPr>
      </w:pPr>
      <w:r w:rsidRPr="00902EDA">
        <w:rPr>
          <w:rFonts w:cs="Arial"/>
          <w:szCs w:val="24"/>
        </w:rPr>
        <w:t>"Retrieve all genes annotated in the KEGG mTOR signaling pathway (hsa04150) that are also present in Quiver's gene perturbation atlas. Compute the mean pairwise EP cosine similarity among these genes. Generate 100 random gene sets of equal size from the atlas and compute their mean pairwise similarities. Report the enrichment z-score. Additionally, for each mTOR pathway member in the atlas, report: (a) total physical interaction count from BioGRID, and (b) the specific Reactome sub-pathway(s) it belongs to within mTOR signaling."</w:t>
      </w:r>
    </w:p>
    <w:p w14:paraId="3A881352" w14:textId="77777777" w:rsidR="000C50DF" w:rsidRPr="00902EDA" w:rsidRDefault="00000000">
      <w:pPr>
        <w:spacing w:after="240" w:line="360" w:lineRule="auto"/>
        <w:rPr>
          <w:rFonts w:cs="Arial"/>
          <w:szCs w:val="24"/>
        </w:rPr>
      </w:pPr>
      <w:r w:rsidRPr="00902EDA">
        <w:rPr>
          <w:rFonts w:cs="Arial"/>
          <w:b/>
          <w:szCs w:val="24"/>
        </w:rPr>
        <w:t>Expected Ground Truth</w:t>
      </w:r>
    </w:p>
    <w:p w14:paraId="115A04A3" w14:textId="77777777" w:rsidR="000C50DF" w:rsidRPr="00902EDA" w:rsidRDefault="00000000">
      <w:pPr>
        <w:spacing w:after="240" w:line="360" w:lineRule="auto"/>
        <w:rPr>
          <w:rFonts w:cs="Arial"/>
          <w:szCs w:val="24"/>
        </w:rPr>
      </w:pPr>
      <w:r w:rsidRPr="00902EDA">
        <w:rPr>
          <w:rFonts w:cs="Arial"/>
          <w:szCs w:val="24"/>
        </w:rPr>
        <w:t>The core hypothesis — that mTOR pathway genes should cluster more tightly in EP space than random genes — is a key Quiver platform validation. The z-score itself depends on Quiver's embedding, but the supporting annotations are verifiable:</w:t>
      </w:r>
    </w:p>
    <w:p w14:paraId="45709E82" w14:textId="77777777" w:rsidR="000C50DF" w:rsidRPr="00902EDA" w:rsidRDefault="00000000">
      <w:pPr>
        <w:pStyle w:val="ListBullet"/>
        <w:spacing w:after="120" w:line="360" w:lineRule="auto"/>
        <w:rPr>
          <w:rFonts w:cs="Arial"/>
          <w:szCs w:val="24"/>
        </w:rPr>
      </w:pPr>
      <w:r w:rsidRPr="00902EDA">
        <w:rPr>
          <w:rFonts w:cs="Arial"/>
          <w:szCs w:val="24"/>
        </w:rPr>
        <w:t>KEGG pathway membership: The gene list for hsa04150 is publicly available via the KEGG API. As of current release, the pathway contains approximately 50-60 genes. Not all will be present in Quiver's 18k perturbation atlas, but core members (MTOR, TSC1, TSC2, RPTOR, RICTOR, AKT1, AKT2, PIK3CA, PTEN, RPS6KB1, EIF4EBP1, RHEB, etc.) should be. The gene list intersection should be verifiable.</w:t>
      </w:r>
    </w:p>
    <w:p w14:paraId="0C7DAB09" w14:textId="77777777" w:rsidR="000C50DF" w:rsidRPr="00902EDA" w:rsidRDefault="00000000">
      <w:pPr>
        <w:pStyle w:val="ListBullet"/>
        <w:spacing w:after="120" w:line="360" w:lineRule="auto"/>
        <w:rPr>
          <w:rFonts w:cs="Arial"/>
          <w:szCs w:val="24"/>
        </w:rPr>
      </w:pPr>
      <w:r w:rsidRPr="00902EDA">
        <w:rPr>
          <w:rFonts w:cs="Arial"/>
          <w:szCs w:val="24"/>
        </w:rPr>
        <w:t xml:space="preserve">BioGRID interaction count: BioGRID (thebiogrid.org) provides curated interaction counts per gene. For example, MTOR has approximately 500-700 physical interactions; AKT1 has approximately 400-600; TSC2 has approximately 100-200. These counts change with each BioGRID </w:t>
      </w:r>
      <w:proofErr w:type="gramStart"/>
      <w:r w:rsidRPr="00902EDA">
        <w:rPr>
          <w:rFonts w:cs="Arial"/>
          <w:szCs w:val="24"/>
        </w:rPr>
        <w:t>release</w:t>
      </w:r>
      <w:proofErr w:type="gramEnd"/>
      <w:r w:rsidRPr="00902EDA">
        <w:rPr>
          <w:rFonts w:cs="Arial"/>
          <w:szCs w:val="24"/>
        </w:rPr>
        <w:t xml:space="preserve"> but the order of magnitude should be consistent. ExpoAI can verify by querying the BioGRID REST API.</w:t>
      </w:r>
    </w:p>
    <w:p w14:paraId="4C172886" w14:textId="77777777" w:rsidR="000C50DF" w:rsidRPr="00902EDA" w:rsidRDefault="00000000">
      <w:pPr>
        <w:pStyle w:val="ListBullet"/>
        <w:spacing w:after="120" w:line="360" w:lineRule="auto"/>
        <w:rPr>
          <w:rFonts w:cs="Arial"/>
          <w:szCs w:val="24"/>
        </w:rPr>
      </w:pPr>
      <w:r w:rsidRPr="00902EDA">
        <w:rPr>
          <w:rFonts w:cs="Arial"/>
          <w:szCs w:val="24"/>
        </w:rPr>
        <w:t xml:space="preserve">Reactome sub-pathways: Reactome (reactome.org) provides hierarchical pathway annotation. MTOR maps to "mTOR signalling" (R-HSA-165159) with sub-pathways including "mTORC1-mediated signalling" and "mTORC2-mediated signalling." TSC1/TSC2 map to "Negative regulation </w:t>
      </w:r>
      <w:r w:rsidRPr="00902EDA">
        <w:rPr>
          <w:rFonts w:cs="Arial"/>
          <w:szCs w:val="24"/>
        </w:rPr>
        <w:lastRenderedPageBreak/>
        <w:t>of mTOR signaling." Each gene's sub-pathway assignment is deterministic and verifiable through Reactome's API.</w:t>
      </w:r>
    </w:p>
    <w:p w14:paraId="2F7A759F" w14:textId="77777777" w:rsidR="000C50DF" w:rsidRPr="00902EDA" w:rsidRDefault="00000000">
      <w:pPr>
        <w:spacing w:after="240" w:line="360" w:lineRule="auto"/>
        <w:rPr>
          <w:rFonts w:cs="Arial"/>
          <w:szCs w:val="24"/>
        </w:rPr>
      </w:pPr>
      <w:r w:rsidRPr="00902EDA">
        <w:rPr>
          <w:rFonts w:cs="Arial"/>
          <w:b/>
          <w:szCs w:val="24"/>
        </w:rPr>
        <w:t>Reasoning for Prompt Selection</w:t>
      </w:r>
    </w:p>
    <w:p w14:paraId="07FF1F8B" w14:textId="77777777" w:rsidR="000C50DF" w:rsidRPr="00902EDA" w:rsidRDefault="00000000">
      <w:pPr>
        <w:spacing w:after="240" w:line="360" w:lineRule="auto"/>
        <w:rPr>
          <w:rFonts w:cs="Arial"/>
          <w:szCs w:val="24"/>
        </w:rPr>
      </w:pPr>
      <w:r w:rsidRPr="00902EDA">
        <w:rPr>
          <w:rFonts w:cs="Arial"/>
          <w:szCs w:val="24"/>
        </w:rPr>
        <w:t>This prompt tests Sapphire's analytical computation capability (pairwise similarity, permutation testing, z-score calculation) combined with multi-source annotation. It is scientifically critical because pathway coherence in EP space is one of Quiver's core platform validation claims. The mTOR pathway was chosen because of its direct relevance to TSC (Quiver's lead indication area) and because it is well-curated in all three databases. The permutation test adds statistical rigor that ExpoAI can evaluate methodologically.</w:t>
      </w:r>
    </w:p>
    <w:p w14:paraId="6169D59C" w14:textId="77777777" w:rsidR="000C50DF" w:rsidRPr="00902EDA" w:rsidRDefault="00000000">
      <w:pPr>
        <w:spacing w:after="240" w:line="360" w:lineRule="auto"/>
        <w:rPr>
          <w:rFonts w:cs="Arial"/>
          <w:szCs w:val="24"/>
        </w:rPr>
      </w:pPr>
      <w:r w:rsidRPr="00902EDA">
        <w:rPr>
          <w:rFonts w:cs="Arial"/>
          <w:b/>
          <w:szCs w:val="24"/>
        </w:rPr>
        <w:t>Ground Truth Validity Assessment</w:t>
      </w:r>
    </w:p>
    <w:p w14:paraId="3434B1C4" w14:textId="77777777" w:rsidR="000C50DF" w:rsidRPr="00902EDA" w:rsidRDefault="00000000">
      <w:pPr>
        <w:spacing w:after="240" w:line="360" w:lineRule="auto"/>
        <w:rPr>
          <w:rFonts w:cs="Arial"/>
          <w:szCs w:val="24"/>
        </w:rPr>
      </w:pPr>
      <w:r w:rsidRPr="00902EDA">
        <w:rPr>
          <w:rFonts w:cs="Arial"/>
          <w:szCs w:val="24"/>
        </w:rPr>
        <w:t>Moderate-to-high validity. The z-score itself is a computed output that depends on Quiver's EP data and cannot be externally verified, but it should be positive and statistically significant (z &gt; 2) if the platform claim of pathway coherence holds. If the z-score is near zero or negative, it would indicate either a data integration error or a fundamental issue with the EP-pathway hypothesis. The BioGRID counts and Reactome sub-pathways are independently verifiable with high precision.</w:t>
      </w:r>
    </w:p>
    <w:p w14:paraId="64947BDA" w14:textId="77777777" w:rsidR="000C50DF" w:rsidRPr="00902EDA" w:rsidRDefault="00000000">
      <w:pPr>
        <w:pStyle w:val="Heading2"/>
        <w:rPr>
          <w:rFonts w:ascii="Arial" w:hAnsi="Arial" w:cs="Arial"/>
          <w:sz w:val="24"/>
          <w:szCs w:val="24"/>
        </w:rPr>
      </w:pPr>
      <w:r w:rsidRPr="00902EDA">
        <w:rPr>
          <w:rFonts w:ascii="Arial" w:hAnsi="Arial" w:cs="Arial"/>
          <w:sz w:val="24"/>
          <w:szCs w:val="24"/>
        </w:rPr>
        <w:t>Scenario 1.5: Identify the top 10 FDA-approved drugs in Quiver's compound atlas that most strongly rescue the PTEN loss-of-function EP phenotype. For each, return the Drugs@FDA approval date, DrugBank mechanism of action, and DGIdb drug-gene interaction types.</w:t>
      </w:r>
    </w:p>
    <w:p w14:paraId="2F603742" w14:textId="77777777" w:rsidR="000C50DF" w:rsidRPr="00902EDA" w:rsidRDefault="00000000">
      <w:pPr>
        <w:spacing w:after="240" w:line="360" w:lineRule="auto"/>
        <w:rPr>
          <w:rFonts w:cs="Arial"/>
          <w:szCs w:val="24"/>
        </w:rPr>
      </w:pPr>
      <w:r w:rsidRPr="00902EDA">
        <w:rPr>
          <w:rFonts w:cs="Arial"/>
          <w:b/>
          <w:szCs w:val="24"/>
        </w:rPr>
        <w:t>Prompt</w:t>
      </w:r>
    </w:p>
    <w:p w14:paraId="1934A962" w14:textId="77777777" w:rsidR="000C50DF" w:rsidRPr="00902EDA" w:rsidRDefault="00000000">
      <w:pPr>
        <w:spacing w:after="240" w:line="360" w:lineRule="auto"/>
        <w:rPr>
          <w:rFonts w:cs="Arial"/>
          <w:szCs w:val="24"/>
        </w:rPr>
      </w:pPr>
      <w:r w:rsidRPr="00902EDA">
        <w:rPr>
          <w:rFonts w:cs="Arial"/>
          <w:szCs w:val="24"/>
        </w:rPr>
        <w:t>"From Quiver's compound perturbation atlas, identify the 10 FDA-approved drugs whose EP profiles most strongly rescue (are most antipodal to) the PTEN loss-of-function CRISPR perturbation. For each compound, report: (a) the Drugs@FDA original approval date and approved indication(s), (b) the DrugBank mechanism of action description, and (c) all DGIdb interaction types for this drug (e.g., inhibitor, activator, antibody, etc.) and its target genes."</w:t>
      </w:r>
    </w:p>
    <w:p w14:paraId="1452D63E" w14:textId="77777777" w:rsidR="000C50DF" w:rsidRPr="00902EDA" w:rsidRDefault="00000000">
      <w:pPr>
        <w:spacing w:after="240" w:line="360" w:lineRule="auto"/>
        <w:rPr>
          <w:rFonts w:cs="Arial"/>
          <w:szCs w:val="24"/>
        </w:rPr>
      </w:pPr>
      <w:r w:rsidRPr="00902EDA">
        <w:rPr>
          <w:rFonts w:cs="Arial"/>
          <w:b/>
          <w:szCs w:val="24"/>
        </w:rPr>
        <w:t>Expected Ground Truth</w:t>
      </w:r>
    </w:p>
    <w:p w14:paraId="48F1C07F" w14:textId="77777777" w:rsidR="000C50DF" w:rsidRPr="00902EDA" w:rsidRDefault="00000000">
      <w:pPr>
        <w:spacing w:after="240" w:line="360" w:lineRule="auto"/>
        <w:rPr>
          <w:rFonts w:cs="Arial"/>
          <w:szCs w:val="24"/>
        </w:rPr>
      </w:pPr>
      <w:r w:rsidRPr="00902EDA">
        <w:rPr>
          <w:rFonts w:cs="Arial"/>
          <w:szCs w:val="24"/>
        </w:rPr>
        <w:t>PTEN loss-of-function leads to mTOR pathway hyperactivation, causing increased neuronal size, altered dendritic morphology, and aberrant excitability. Functionally rescuing compounds should include mTOR inhibitors (e.g., rapamycin/sirolimus, everolimus) or PI3K inhibitors, as these directly counteract the PTEN-loss phenotype. Once Sapphire returns the ranked drug list:</w:t>
      </w:r>
    </w:p>
    <w:p w14:paraId="7D7295E9" w14:textId="77777777" w:rsidR="000C50DF" w:rsidRPr="00902EDA" w:rsidRDefault="00000000">
      <w:pPr>
        <w:pStyle w:val="ListBullet"/>
        <w:spacing w:after="120" w:line="360" w:lineRule="auto"/>
        <w:rPr>
          <w:rFonts w:cs="Arial"/>
          <w:szCs w:val="24"/>
        </w:rPr>
      </w:pPr>
      <w:r w:rsidRPr="00902EDA">
        <w:rPr>
          <w:rFonts w:cs="Arial"/>
          <w:szCs w:val="24"/>
        </w:rPr>
        <w:lastRenderedPageBreak/>
        <w:t>Drugs@FDA verification: Query Drugs@FDA (accessdata.fda.gov) for each compound. Sirolimus was approved December 1999 for renal transplant rejection prophylaxis; everolimus was approved March 2009 for renal cell carcinoma. The approval dates and original indications are public record. Any discrepancy indicates a data loading or mapping error.</w:t>
      </w:r>
    </w:p>
    <w:p w14:paraId="2FEDFA51" w14:textId="77777777" w:rsidR="000C50DF" w:rsidRPr="00902EDA" w:rsidRDefault="00000000">
      <w:pPr>
        <w:pStyle w:val="ListBullet"/>
        <w:spacing w:after="120" w:line="360" w:lineRule="auto"/>
        <w:rPr>
          <w:rFonts w:cs="Arial"/>
          <w:szCs w:val="24"/>
        </w:rPr>
      </w:pPr>
      <w:r w:rsidRPr="00902EDA">
        <w:rPr>
          <w:rFonts w:cs="Arial"/>
          <w:szCs w:val="24"/>
        </w:rPr>
        <w:t>DrugBank mechanism of action: DrugBank provides mechanism narratives. Sirolimus (DB00877): "Binds to FKBP12, forming a complex that inhibits mTOR, blocking cell cycle progression." Everolimus (DB01590): similar mTOR inhibition mechanism. The mechanism text should match DrugBank's curated entries.</w:t>
      </w:r>
    </w:p>
    <w:p w14:paraId="57A8B3D7" w14:textId="77777777" w:rsidR="000C50DF" w:rsidRPr="00902EDA" w:rsidRDefault="00000000">
      <w:pPr>
        <w:pStyle w:val="ListBullet"/>
        <w:spacing w:after="120" w:line="360" w:lineRule="auto"/>
        <w:rPr>
          <w:rFonts w:cs="Arial"/>
          <w:szCs w:val="24"/>
        </w:rPr>
      </w:pPr>
      <w:r w:rsidRPr="00902EDA">
        <w:rPr>
          <w:rFonts w:cs="Arial"/>
          <w:szCs w:val="24"/>
        </w:rPr>
        <w:t>DGIdb interaction types: DGIdb (dgidb.org) classifies interactions. For sirolimus, DGIdb lists interactions including MTOR (inhibitor), FKBP1A (binder). For any returned compound, the interaction types and target genes should match DGIdb's current database. ExpoAI can verify these through the DGIdb API (api.dgidb.org).</w:t>
      </w:r>
    </w:p>
    <w:p w14:paraId="7E0824B4" w14:textId="77777777" w:rsidR="000C50DF" w:rsidRPr="00902EDA" w:rsidRDefault="00000000">
      <w:pPr>
        <w:spacing w:after="240" w:line="360" w:lineRule="auto"/>
        <w:rPr>
          <w:rFonts w:cs="Arial"/>
          <w:szCs w:val="24"/>
        </w:rPr>
      </w:pPr>
      <w:r w:rsidRPr="00902EDA">
        <w:rPr>
          <w:rFonts w:cs="Arial"/>
          <w:b/>
          <w:szCs w:val="24"/>
        </w:rPr>
        <w:t>Reasoning for Prompt Selection</w:t>
      </w:r>
    </w:p>
    <w:p w14:paraId="19751949" w14:textId="77777777" w:rsidR="000C50DF" w:rsidRPr="00902EDA" w:rsidRDefault="00000000">
      <w:pPr>
        <w:spacing w:after="240" w:line="360" w:lineRule="auto"/>
        <w:rPr>
          <w:rFonts w:cs="Arial"/>
          <w:szCs w:val="24"/>
        </w:rPr>
      </w:pPr>
      <w:r w:rsidRPr="00902EDA">
        <w:rPr>
          <w:rFonts w:cs="Arial"/>
          <w:szCs w:val="24"/>
        </w:rPr>
        <w:t>This prompt exercises Sapphire's drug repurposing workflow — starting from a disease-relevant genetic perturbation in Quiver's atlas, finding functionally rescuing compounds, and annotating them with regulatory, mechanistic, and interaction data from three complementary pharmacological databases. PTEN was chosen because its biology (mTOR hyperactivation) has well-characterized pharmacological interventions, allowing ExpoAI to evaluate biological plausibility of the ranked list. All three annotations are independently queryable through public APIs.</w:t>
      </w:r>
    </w:p>
    <w:p w14:paraId="3C57BDCB" w14:textId="77777777" w:rsidR="000C50DF" w:rsidRPr="00902EDA" w:rsidRDefault="00000000">
      <w:pPr>
        <w:spacing w:after="240" w:line="360" w:lineRule="auto"/>
        <w:rPr>
          <w:rFonts w:cs="Arial"/>
          <w:szCs w:val="24"/>
        </w:rPr>
      </w:pPr>
      <w:r w:rsidRPr="00902EDA">
        <w:rPr>
          <w:rFonts w:cs="Arial"/>
          <w:b/>
          <w:szCs w:val="24"/>
        </w:rPr>
        <w:t>Ground Truth Validity Assessment</w:t>
      </w:r>
    </w:p>
    <w:p w14:paraId="0D18D809" w14:textId="77777777" w:rsidR="000C50DF" w:rsidRPr="00902EDA" w:rsidRDefault="00000000">
      <w:pPr>
        <w:spacing w:after="240" w:line="360" w:lineRule="auto"/>
        <w:rPr>
          <w:rFonts w:cs="Arial"/>
          <w:szCs w:val="24"/>
        </w:rPr>
      </w:pPr>
      <w:r w:rsidRPr="00902EDA">
        <w:rPr>
          <w:rFonts w:cs="Arial"/>
          <w:szCs w:val="24"/>
        </w:rPr>
        <w:t xml:space="preserve">High validity for external annotations. Drugs@FDA approval data is federal public record with exact dates. DrugBank mechanisms are curated text. DGIdb interactions are programmatically queryable. The compound ranking itself is Quiver-proprietary, but biological plausibility can be assessed: if the top-ranked rescue compounds for PTEN loss-of-function are predominantly mTOR/PI3K pathway modulators, the result is scientifically coherent. If the top hits include biologically implausible drugs (e.g., antibiotics with no CNS mechanism), that </w:t>
      </w:r>
      <w:proofErr w:type="gramStart"/>
      <w:r w:rsidRPr="00902EDA">
        <w:rPr>
          <w:rFonts w:cs="Arial"/>
          <w:szCs w:val="24"/>
        </w:rPr>
        <w:t>would</w:t>
      </w:r>
      <w:proofErr w:type="gramEnd"/>
      <w:r w:rsidRPr="00902EDA">
        <w:rPr>
          <w:rFonts w:cs="Arial"/>
          <w:szCs w:val="24"/>
        </w:rPr>
        <w:t xml:space="preserve"> warrant further investigation.</w:t>
      </w:r>
    </w:p>
    <w:p w14:paraId="0D248918" w14:textId="77777777" w:rsidR="000C50DF" w:rsidRPr="00902EDA" w:rsidRDefault="00000000">
      <w:pPr>
        <w:rPr>
          <w:rFonts w:cs="Arial"/>
          <w:szCs w:val="24"/>
        </w:rPr>
      </w:pPr>
      <w:r w:rsidRPr="00902EDA">
        <w:rPr>
          <w:rFonts w:cs="Arial"/>
          <w:szCs w:val="24"/>
        </w:rPr>
        <w:br w:type="page"/>
      </w:r>
    </w:p>
    <w:p w14:paraId="4DAC1D8F" w14:textId="77777777" w:rsidR="000C50DF" w:rsidRPr="00902EDA" w:rsidRDefault="00000000">
      <w:pPr>
        <w:pStyle w:val="Heading2"/>
        <w:rPr>
          <w:rFonts w:ascii="Arial" w:hAnsi="Arial" w:cs="Arial"/>
          <w:sz w:val="24"/>
          <w:szCs w:val="24"/>
        </w:rPr>
      </w:pPr>
      <w:r w:rsidRPr="00902EDA">
        <w:rPr>
          <w:rFonts w:ascii="Arial" w:hAnsi="Arial" w:cs="Arial"/>
          <w:sz w:val="24"/>
          <w:szCs w:val="24"/>
        </w:rPr>
        <w:lastRenderedPageBreak/>
        <w:t>Bucket 2 — Ground Truths Requiring Currently-Loading Sources</w:t>
      </w:r>
    </w:p>
    <w:p w14:paraId="5EF6C77F" w14:textId="77777777" w:rsidR="000C50DF" w:rsidRPr="00902EDA" w:rsidRDefault="00000000">
      <w:pPr>
        <w:spacing w:after="240" w:line="360" w:lineRule="auto"/>
        <w:rPr>
          <w:rFonts w:cs="Arial"/>
          <w:szCs w:val="24"/>
        </w:rPr>
      </w:pPr>
      <w:r w:rsidRPr="00902EDA">
        <w:rPr>
          <w:rFonts w:cs="Arial"/>
          <w:szCs w:val="24"/>
        </w:rPr>
        <w:t>These five scenarios require data sources that are currently being loaded into Sapphire. They demonstrate the incremental analytical capability unlocked by the new sources and can serve as acceptance tests once loading is complete.</w:t>
      </w:r>
    </w:p>
    <w:p w14:paraId="3C503717" w14:textId="77777777" w:rsidR="000C50DF" w:rsidRPr="00902EDA" w:rsidRDefault="00000000">
      <w:pPr>
        <w:pStyle w:val="Heading2"/>
        <w:rPr>
          <w:rFonts w:ascii="Arial" w:hAnsi="Arial" w:cs="Arial"/>
          <w:sz w:val="24"/>
          <w:szCs w:val="24"/>
        </w:rPr>
      </w:pPr>
      <w:r w:rsidRPr="00902EDA">
        <w:rPr>
          <w:rFonts w:ascii="Arial" w:hAnsi="Arial" w:cs="Arial"/>
          <w:sz w:val="24"/>
          <w:szCs w:val="24"/>
        </w:rPr>
        <w:t>Scenario 2.1: For TSC2 loss-of-function, identify Quiver-derived rescue compounds and cross-reference each against ClinicalTrials.gov for active CNS trials, FAERS for reported adverse events, and ChEMBL for measured IC50/EC50 values against mTOR pathway targets.</w:t>
      </w:r>
    </w:p>
    <w:p w14:paraId="6C5E5308" w14:textId="77777777" w:rsidR="000C50DF" w:rsidRPr="00902EDA" w:rsidRDefault="00000000">
      <w:pPr>
        <w:spacing w:after="240" w:line="360" w:lineRule="auto"/>
        <w:rPr>
          <w:rFonts w:cs="Arial"/>
          <w:szCs w:val="24"/>
        </w:rPr>
      </w:pPr>
      <w:r w:rsidRPr="00902EDA">
        <w:rPr>
          <w:rFonts w:cs="Arial"/>
          <w:b/>
          <w:szCs w:val="24"/>
        </w:rPr>
        <w:t>Prompt</w:t>
      </w:r>
    </w:p>
    <w:p w14:paraId="79A44666" w14:textId="77777777" w:rsidR="000C50DF" w:rsidRPr="00902EDA" w:rsidRDefault="00000000">
      <w:pPr>
        <w:spacing w:after="240" w:line="360" w:lineRule="auto"/>
        <w:rPr>
          <w:rFonts w:cs="Arial"/>
          <w:szCs w:val="24"/>
        </w:rPr>
      </w:pPr>
      <w:r w:rsidRPr="00902EDA">
        <w:rPr>
          <w:rFonts w:cs="Arial"/>
          <w:szCs w:val="24"/>
        </w:rPr>
        <w:t>"From Quiver's compound atlas, identify the top 10 compounds that most strongly rescue the TSC2 loss-of-function EP phenotype. For each compound, return: (a) all active or recruiting clinical trials from ClinicalTrials.gov with a CNS or neurological condition indication, (b) the top 5 most frequently reported adverse events from FAERS, and (c) all ChEMBL measured bioactivity values (IC50, EC50, Ki) against MTOR, TSC1, TSC2, RPTOR, RICTOR, and RPS6KB1."</w:t>
      </w:r>
    </w:p>
    <w:p w14:paraId="2E2DB7DC" w14:textId="77777777" w:rsidR="000C50DF" w:rsidRPr="00902EDA" w:rsidRDefault="00000000">
      <w:pPr>
        <w:spacing w:after="240" w:line="360" w:lineRule="auto"/>
        <w:rPr>
          <w:rFonts w:cs="Arial"/>
          <w:szCs w:val="24"/>
        </w:rPr>
      </w:pPr>
      <w:r w:rsidRPr="00902EDA">
        <w:rPr>
          <w:rFonts w:cs="Arial"/>
          <w:b/>
          <w:szCs w:val="24"/>
        </w:rPr>
        <w:t>Expected Ground Truth</w:t>
      </w:r>
    </w:p>
    <w:p w14:paraId="2AF32FB1" w14:textId="77777777" w:rsidR="000C50DF" w:rsidRPr="00902EDA" w:rsidRDefault="00000000">
      <w:pPr>
        <w:spacing w:after="240" w:line="360" w:lineRule="auto"/>
        <w:rPr>
          <w:rFonts w:cs="Arial"/>
          <w:szCs w:val="24"/>
        </w:rPr>
      </w:pPr>
      <w:r w:rsidRPr="00902EDA">
        <w:rPr>
          <w:rFonts w:cs="Arial"/>
          <w:szCs w:val="24"/>
        </w:rPr>
        <w:t>TSC2 loss-of-function causes constitutive mTOR activation. Rescue compounds should include mTOR inhibitors. Expanding from Bucket 1, this scenario adds three new-source annotations:</w:t>
      </w:r>
    </w:p>
    <w:p w14:paraId="4E7958B1" w14:textId="77777777" w:rsidR="000C50DF" w:rsidRPr="00902EDA" w:rsidRDefault="00000000">
      <w:pPr>
        <w:pStyle w:val="ListBullet"/>
        <w:spacing w:after="120" w:line="360" w:lineRule="auto"/>
        <w:rPr>
          <w:rFonts w:cs="Arial"/>
          <w:szCs w:val="24"/>
        </w:rPr>
      </w:pPr>
      <w:r w:rsidRPr="00902EDA">
        <w:rPr>
          <w:rFonts w:cs="Arial"/>
          <w:szCs w:val="24"/>
        </w:rPr>
        <w:t>ClinicalTrials.gov verification (NEW SOURCE): Search ClinicalTrials.gov for each compound filtered by CNS conditions. For everolimus, there are active trials in TSC-associated epilepsy (e.g., NCT01713946, EXIST-3), TSC-associated subependymal giant cell astrocytoma (NCT00789828, EXIST-1). The trial identifiers, statuses, and indications are publicly queryable and must match exactly.</w:t>
      </w:r>
    </w:p>
    <w:p w14:paraId="204C4B67" w14:textId="77777777" w:rsidR="000C50DF" w:rsidRPr="00902EDA" w:rsidRDefault="00000000">
      <w:pPr>
        <w:pStyle w:val="ListBullet"/>
        <w:spacing w:after="120" w:line="360" w:lineRule="auto"/>
        <w:rPr>
          <w:rFonts w:cs="Arial"/>
          <w:szCs w:val="24"/>
        </w:rPr>
      </w:pPr>
      <w:r w:rsidRPr="00902EDA">
        <w:rPr>
          <w:rFonts w:cs="Arial"/>
          <w:szCs w:val="24"/>
        </w:rPr>
        <w:t>FAERS verification (NEW SOURCE): Query FAERS/openFDA for adverse event reports. For everolimus, the most frequently reported adverse events include stomatitis/mouth ulcers, infections, hyperlipidemia, pneumonitis, and fatigue. These should match the openFDA API response for the drug, with event counts in the correct relative order.</w:t>
      </w:r>
    </w:p>
    <w:p w14:paraId="29F584BD" w14:textId="77777777" w:rsidR="000C50DF" w:rsidRPr="00902EDA" w:rsidRDefault="00000000">
      <w:pPr>
        <w:pStyle w:val="ListBullet"/>
        <w:spacing w:after="120" w:line="360" w:lineRule="auto"/>
        <w:rPr>
          <w:rFonts w:cs="Arial"/>
          <w:szCs w:val="24"/>
        </w:rPr>
      </w:pPr>
      <w:r w:rsidRPr="00902EDA">
        <w:rPr>
          <w:rFonts w:cs="Arial"/>
          <w:szCs w:val="24"/>
        </w:rPr>
        <w:t>ChEMBL verification (NEW SOURCE): ChEMBL (ebi.ac.uk/chembl) provides measured bioactivity data. Everolimus has ChEMBL ID CHEMBL1908360; measured IC50 values against mTOR are in the low nanomolar range (approximately 1-5 nM). Sirolimus (CHEMBL413) similarly shows sub-nanomolar to low-nanomolar mTOR inhibition. These values are published experimental measurements and should be accurately reported.</w:t>
      </w:r>
    </w:p>
    <w:p w14:paraId="4AF203BA" w14:textId="77777777" w:rsidR="000C50DF" w:rsidRPr="00902EDA" w:rsidRDefault="00000000">
      <w:pPr>
        <w:spacing w:after="240" w:line="360" w:lineRule="auto"/>
        <w:rPr>
          <w:rFonts w:cs="Arial"/>
          <w:szCs w:val="24"/>
        </w:rPr>
      </w:pPr>
      <w:r w:rsidRPr="00902EDA">
        <w:rPr>
          <w:rFonts w:cs="Arial"/>
          <w:b/>
          <w:szCs w:val="24"/>
        </w:rPr>
        <w:t>Reasoning for Prompt Selection</w:t>
      </w:r>
    </w:p>
    <w:p w14:paraId="4185D1D5" w14:textId="77777777" w:rsidR="000C50DF" w:rsidRPr="00902EDA" w:rsidRDefault="00000000">
      <w:pPr>
        <w:spacing w:after="240" w:line="360" w:lineRule="auto"/>
        <w:rPr>
          <w:rFonts w:cs="Arial"/>
          <w:szCs w:val="24"/>
        </w:rPr>
      </w:pPr>
      <w:r w:rsidRPr="00902EDA">
        <w:rPr>
          <w:rFonts w:cs="Arial"/>
          <w:szCs w:val="24"/>
        </w:rPr>
        <w:lastRenderedPageBreak/>
        <w:t>This prompt directly extends Bucket 1 Scenario 1.5 by adding clinical trial status, real-world safety data, and quantitative binding data — three capabilities that only become available with the currently-loading sources. This demonstrates clear incremental value: Bucket 1 can identify rescue compounds and provide mechanism/approval data, but Bucket 2 adds the clinical development context (is this already in trials for CNS?), safety signal monitoring (what adverse events are reported in practice?), and quantitative pharmacology (how potent is this against the target?) needed for therapeutic decision-making.</w:t>
      </w:r>
    </w:p>
    <w:p w14:paraId="45CFBB5C" w14:textId="77777777" w:rsidR="000C50DF" w:rsidRPr="00902EDA" w:rsidRDefault="00000000">
      <w:pPr>
        <w:spacing w:after="240" w:line="360" w:lineRule="auto"/>
        <w:rPr>
          <w:rFonts w:cs="Arial"/>
          <w:szCs w:val="24"/>
        </w:rPr>
      </w:pPr>
      <w:r w:rsidRPr="00902EDA">
        <w:rPr>
          <w:rFonts w:cs="Arial"/>
          <w:b/>
          <w:szCs w:val="24"/>
        </w:rPr>
        <w:t>Ground Truth Validity Assessment</w:t>
      </w:r>
    </w:p>
    <w:p w14:paraId="4D53903D" w14:textId="77777777" w:rsidR="000C50DF" w:rsidRPr="00902EDA" w:rsidRDefault="00000000">
      <w:pPr>
        <w:spacing w:after="240" w:line="360" w:lineRule="auto"/>
        <w:rPr>
          <w:rFonts w:cs="Arial"/>
          <w:szCs w:val="24"/>
        </w:rPr>
      </w:pPr>
      <w:r w:rsidRPr="00902EDA">
        <w:rPr>
          <w:rFonts w:cs="Arial"/>
          <w:szCs w:val="24"/>
        </w:rPr>
        <w:t>High validity. ClinicalTrials.gov entries have unique NCT identifiers and are federal records. FAERS adverse events are queryable through the openFDA API with specific drug name queries. ChEMBL bioactivity values are curated from published literature with specific assay IDs and measurement conditions. All three are deterministic and independently verifiable.</w:t>
      </w:r>
    </w:p>
    <w:p w14:paraId="19D14982" w14:textId="77777777" w:rsidR="000C50DF" w:rsidRPr="00902EDA" w:rsidRDefault="00000000">
      <w:pPr>
        <w:pStyle w:val="Heading2"/>
        <w:rPr>
          <w:rFonts w:ascii="Arial" w:hAnsi="Arial" w:cs="Arial"/>
          <w:sz w:val="24"/>
          <w:szCs w:val="24"/>
        </w:rPr>
      </w:pPr>
      <w:r w:rsidRPr="00902EDA">
        <w:rPr>
          <w:rFonts w:ascii="Arial" w:hAnsi="Arial" w:cs="Arial"/>
          <w:sz w:val="24"/>
          <w:szCs w:val="24"/>
        </w:rPr>
        <w:t>Scenario 2.2: Identify Quiver gene perturbations that cluster with known rapid-onset antidepressant EP signatures, then use Open Targets to assess disease association evidence, ClinVar to flag pathogenic variants, and TRRUST to map transcriptional regulators.</w:t>
      </w:r>
    </w:p>
    <w:p w14:paraId="0CFDAF6F" w14:textId="77777777" w:rsidR="000C50DF" w:rsidRPr="00902EDA" w:rsidRDefault="00000000">
      <w:pPr>
        <w:spacing w:after="240" w:line="360" w:lineRule="auto"/>
        <w:rPr>
          <w:rFonts w:cs="Arial"/>
          <w:szCs w:val="24"/>
        </w:rPr>
      </w:pPr>
      <w:r w:rsidRPr="00902EDA">
        <w:rPr>
          <w:rFonts w:cs="Arial"/>
          <w:b/>
          <w:szCs w:val="24"/>
        </w:rPr>
        <w:t>Prompt</w:t>
      </w:r>
    </w:p>
    <w:p w14:paraId="7B3FF96E" w14:textId="77777777" w:rsidR="000C50DF" w:rsidRPr="00902EDA" w:rsidRDefault="00000000">
      <w:pPr>
        <w:spacing w:after="240" w:line="360" w:lineRule="auto"/>
        <w:rPr>
          <w:rFonts w:cs="Arial"/>
          <w:szCs w:val="24"/>
        </w:rPr>
      </w:pPr>
      <w:r w:rsidRPr="00902EDA">
        <w:rPr>
          <w:rFonts w:cs="Arial"/>
          <w:szCs w:val="24"/>
        </w:rPr>
        <w:t>"From Quiver's atlas, identify gene perturbations whose EP fingerprint clusters with the compound fingerprints of known rapid-onset antidepressants (e.g., ketamine, scopolamine). For the top 5 gene hits, return: (a) Open Targets overall association score for major depressive disorder (EFO_0003761), (b) all ClinVar pathogenic or likely pathogenic variants in each gene, and (c) TRRUST-annotated transcription factors that regulate each gene."</w:t>
      </w:r>
    </w:p>
    <w:p w14:paraId="6050F56F" w14:textId="77777777" w:rsidR="000C50DF" w:rsidRPr="00902EDA" w:rsidRDefault="00000000">
      <w:pPr>
        <w:spacing w:after="240" w:line="360" w:lineRule="auto"/>
        <w:rPr>
          <w:rFonts w:cs="Arial"/>
          <w:szCs w:val="24"/>
        </w:rPr>
      </w:pPr>
      <w:r w:rsidRPr="00902EDA">
        <w:rPr>
          <w:rFonts w:cs="Arial"/>
          <w:b/>
          <w:szCs w:val="24"/>
        </w:rPr>
        <w:t>Expected Ground Truth</w:t>
      </w:r>
    </w:p>
    <w:p w14:paraId="1CE4828F" w14:textId="77777777" w:rsidR="000C50DF" w:rsidRPr="00902EDA" w:rsidRDefault="00000000">
      <w:pPr>
        <w:spacing w:after="240" w:line="360" w:lineRule="auto"/>
        <w:rPr>
          <w:rFonts w:cs="Arial"/>
          <w:szCs w:val="24"/>
        </w:rPr>
      </w:pPr>
      <w:r w:rsidRPr="00902EDA">
        <w:rPr>
          <w:rFonts w:cs="Arial"/>
          <w:szCs w:val="24"/>
        </w:rPr>
        <w:t xml:space="preserve">Genes clustering with rapid-onset antidepressant EP signatures likely </w:t>
      </w:r>
      <w:proofErr w:type="gramStart"/>
      <w:r w:rsidRPr="00902EDA">
        <w:rPr>
          <w:rFonts w:cs="Arial"/>
          <w:szCs w:val="24"/>
        </w:rPr>
        <w:t>involve</w:t>
      </w:r>
      <w:proofErr w:type="gramEnd"/>
      <w:r w:rsidRPr="00902EDA">
        <w:rPr>
          <w:rFonts w:cs="Arial"/>
          <w:szCs w:val="24"/>
        </w:rPr>
        <w:t xml:space="preserve"> glutamatergic signaling, synaptic plasticity, or BDNF/TrkB pathways. The external annotations:</w:t>
      </w:r>
    </w:p>
    <w:p w14:paraId="05717C9F" w14:textId="77777777" w:rsidR="000C50DF" w:rsidRPr="00902EDA" w:rsidRDefault="00000000">
      <w:pPr>
        <w:pStyle w:val="ListBullet"/>
        <w:spacing w:after="120" w:line="360" w:lineRule="auto"/>
        <w:rPr>
          <w:rFonts w:cs="Arial"/>
          <w:szCs w:val="24"/>
        </w:rPr>
      </w:pPr>
      <w:r w:rsidRPr="00902EDA">
        <w:rPr>
          <w:rFonts w:cs="Arial"/>
          <w:szCs w:val="24"/>
        </w:rPr>
        <w:t>Open Targets verification (NEW SOURCE): Open Targets (platform.opentargets.org) provides association scores (0 to 1) combining genetic, transcriptomic, and literature evidence. For example, GRIN2A has an association score for depression, driven by genetic association and expression data. BDNF similarly has strong disease association evidence. A gene with zero Open Targets evidence for depression may still be a valid Quiver hit (novel finding), but genes with existing evidence provide stronger validation. ExpoAI can verify scores by querying the Open Targets API with Ensembl gene IDs and EFO disease codes.</w:t>
      </w:r>
    </w:p>
    <w:p w14:paraId="6DC69CFA" w14:textId="77777777" w:rsidR="000C50DF" w:rsidRPr="00902EDA" w:rsidRDefault="00000000">
      <w:pPr>
        <w:pStyle w:val="ListBullet"/>
        <w:spacing w:after="120" w:line="360" w:lineRule="auto"/>
        <w:rPr>
          <w:rFonts w:cs="Arial"/>
          <w:szCs w:val="24"/>
        </w:rPr>
      </w:pPr>
      <w:r w:rsidRPr="00902EDA">
        <w:rPr>
          <w:rFonts w:cs="Arial"/>
          <w:szCs w:val="24"/>
        </w:rPr>
        <w:lastRenderedPageBreak/>
        <w:t>ClinVar verification (NEW SOURCE): ClinVar (ncbi.nlm.nih.gov/clinvar) lists clinical significance of variants. For GRIN2A, ClinVar contains pathogenic variants associated with epileptic encephalopathy and focal epilepsy. For GRIN2B, pathogenic variants associate with intellectual disability. The variant list, clinical significance classification, and associated conditions should match ClinVar's current entries exactly.</w:t>
      </w:r>
    </w:p>
    <w:p w14:paraId="77810C04" w14:textId="77777777" w:rsidR="000C50DF" w:rsidRPr="00902EDA" w:rsidRDefault="00000000">
      <w:pPr>
        <w:pStyle w:val="ListBullet"/>
        <w:spacing w:after="120" w:line="360" w:lineRule="auto"/>
        <w:rPr>
          <w:rFonts w:cs="Arial"/>
          <w:szCs w:val="24"/>
        </w:rPr>
      </w:pPr>
      <w:r w:rsidRPr="00902EDA">
        <w:rPr>
          <w:rFonts w:cs="Arial"/>
          <w:szCs w:val="24"/>
        </w:rPr>
        <w:t>TRRUST verification (NEW SOURCE): TRRUST (grnpedia.org/trrust) provides curated transcription factor-target regulatory relationships. For example, BDNF is regulated by CREB1, SP1, and MEF2C among others. GRIN2A is regulated by REST/NRSF. These regulatory relationships are published and verifiable. ExpoAI can download TRRUST v2 and confirm the transcription factor-target gene pairs.</w:t>
      </w:r>
    </w:p>
    <w:p w14:paraId="2CB6F68E" w14:textId="77777777" w:rsidR="000C50DF" w:rsidRPr="00902EDA" w:rsidRDefault="00000000">
      <w:pPr>
        <w:spacing w:after="240" w:line="360" w:lineRule="auto"/>
        <w:rPr>
          <w:rFonts w:cs="Arial"/>
          <w:szCs w:val="24"/>
        </w:rPr>
      </w:pPr>
      <w:r w:rsidRPr="00902EDA">
        <w:rPr>
          <w:rFonts w:cs="Arial"/>
          <w:b/>
          <w:szCs w:val="24"/>
        </w:rPr>
        <w:t>Reasoning for Prompt Selection</w:t>
      </w:r>
    </w:p>
    <w:p w14:paraId="021D7E3B" w14:textId="77777777" w:rsidR="000C50DF" w:rsidRPr="00902EDA" w:rsidRDefault="00000000">
      <w:pPr>
        <w:spacing w:after="240" w:line="360" w:lineRule="auto"/>
        <w:rPr>
          <w:rFonts w:cs="Arial"/>
          <w:szCs w:val="24"/>
        </w:rPr>
      </w:pPr>
      <w:r w:rsidRPr="00902EDA">
        <w:rPr>
          <w:rFonts w:cs="Arial"/>
          <w:szCs w:val="24"/>
        </w:rPr>
        <w:t>This prompt showcases how the new sources add mechanistic depth to Quiver's functional discoveries. Without Open Targets, Sapphire cannot quantify how much existing evidence supports a gene-disease link. Without ClinVar, it cannot flag clinically relevant variants. Without TRRUST, it cannot identify upstream regulatory control points for therapeutic intervention. Together, these transform a Quiver EP clustering result from a functional observation into an actionable therapeutic hypothesis with disease evidence, variant context, and druggable regulatory nodes.</w:t>
      </w:r>
    </w:p>
    <w:p w14:paraId="40804C57" w14:textId="77777777" w:rsidR="000C50DF" w:rsidRPr="00902EDA" w:rsidRDefault="00000000">
      <w:pPr>
        <w:spacing w:after="240" w:line="360" w:lineRule="auto"/>
        <w:rPr>
          <w:rFonts w:cs="Arial"/>
          <w:szCs w:val="24"/>
        </w:rPr>
      </w:pPr>
      <w:r w:rsidRPr="00902EDA">
        <w:rPr>
          <w:rFonts w:cs="Arial"/>
          <w:b/>
          <w:szCs w:val="24"/>
        </w:rPr>
        <w:t>Ground Truth Validity Assessment</w:t>
      </w:r>
    </w:p>
    <w:p w14:paraId="14FD7436" w14:textId="77777777" w:rsidR="000C50DF" w:rsidRPr="00902EDA" w:rsidRDefault="00000000">
      <w:pPr>
        <w:spacing w:after="240" w:line="360" w:lineRule="auto"/>
        <w:rPr>
          <w:rFonts w:cs="Arial"/>
          <w:szCs w:val="24"/>
        </w:rPr>
      </w:pPr>
      <w:r w:rsidRPr="00902EDA">
        <w:rPr>
          <w:rFonts w:cs="Arial"/>
          <w:szCs w:val="24"/>
        </w:rPr>
        <w:t>High validity for all three new-source annotations. Open Targets scores are versioned and reproducible (minor changes between platform releases are expected). ClinVar classifications are curated by expert panels with specific submission IDs. TRRUST relationships are published with PubMed references supporting each entry. The Quiver clustering output is proprietary but should be biologically coherent — genes clustering with ketamine-like EP signatures should plausibly relate to glutamatergic or synaptic plasticity mechanisms.</w:t>
      </w:r>
    </w:p>
    <w:p w14:paraId="5A5FF47D" w14:textId="77777777" w:rsidR="000C50DF" w:rsidRPr="00902EDA" w:rsidRDefault="00000000">
      <w:pPr>
        <w:pStyle w:val="Heading2"/>
        <w:rPr>
          <w:rFonts w:ascii="Arial" w:hAnsi="Arial" w:cs="Arial"/>
          <w:sz w:val="24"/>
          <w:szCs w:val="24"/>
        </w:rPr>
      </w:pPr>
      <w:r w:rsidRPr="00902EDA">
        <w:rPr>
          <w:rFonts w:ascii="Arial" w:hAnsi="Arial" w:cs="Arial"/>
          <w:sz w:val="24"/>
          <w:szCs w:val="24"/>
        </w:rPr>
        <w:t>Scenario 2.3: For SCN1A (Dravet syndrome), use Quiver EP data to identify rescue compounds, then annotate with SIDER side effect profiles, ClinicalTrials.gov trial history, and Pharos/TCRD target development level classification.</w:t>
      </w:r>
    </w:p>
    <w:p w14:paraId="2E333415" w14:textId="77777777" w:rsidR="000C50DF" w:rsidRPr="00902EDA" w:rsidRDefault="00000000">
      <w:pPr>
        <w:spacing w:after="240" w:line="360" w:lineRule="auto"/>
        <w:rPr>
          <w:rFonts w:cs="Arial"/>
          <w:szCs w:val="24"/>
        </w:rPr>
      </w:pPr>
      <w:r w:rsidRPr="00902EDA">
        <w:rPr>
          <w:rFonts w:cs="Arial"/>
          <w:b/>
          <w:szCs w:val="24"/>
        </w:rPr>
        <w:t>Prompt</w:t>
      </w:r>
    </w:p>
    <w:p w14:paraId="7D61C6D8" w14:textId="77777777" w:rsidR="000C50DF" w:rsidRPr="00902EDA" w:rsidRDefault="00000000">
      <w:pPr>
        <w:spacing w:after="240" w:line="360" w:lineRule="auto"/>
        <w:rPr>
          <w:rFonts w:cs="Arial"/>
          <w:szCs w:val="24"/>
        </w:rPr>
      </w:pPr>
      <w:r w:rsidRPr="00902EDA">
        <w:rPr>
          <w:rFonts w:cs="Arial"/>
          <w:szCs w:val="24"/>
        </w:rPr>
        <w:t xml:space="preserve">"For the SCN1A loss-of-function perturbation in Quiver's atlas (modeling Dravet syndrome), identify the top 5 rescue compounds from the compound atlas. For each compound, return: (a) all SIDER-annotated side effects with frequency category (very common, common, uncommon, rare), (b) </w:t>
      </w:r>
      <w:r w:rsidRPr="00902EDA">
        <w:rPr>
          <w:rFonts w:cs="Arial"/>
          <w:szCs w:val="24"/>
        </w:rPr>
        <w:lastRenderedPageBreak/>
        <w:t>completed and active ClinicalTrials.gov trials for epilepsy indications, and (c) the Pharos/TCRD target development level (Tclin, Tchem, Tbio, Tdark) for each of the compound's known targets."</w:t>
      </w:r>
    </w:p>
    <w:p w14:paraId="2B1635AB" w14:textId="77777777" w:rsidR="000C50DF" w:rsidRPr="00902EDA" w:rsidRDefault="00000000">
      <w:pPr>
        <w:spacing w:after="240" w:line="360" w:lineRule="auto"/>
        <w:rPr>
          <w:rFonts w:cs="Arial"/>
          <w:szCs w:val="24"/>
        </w:rPr>
      </w:pPr>
      <w:r w:rsidRPr="00902EDA">
        <w:rPr>
          <w:rFonts w:cs="Arial"/>
          <w:b/>
          <w:szCs w:val="24"/>
        </w:rPr>
        <w:t>Expected Ground Truth</w:t>
      </w:r>
    </w:p>
    <w:p w14:paraId="0E15BBDD" w14:textId="77777777" w:rsidR="000C50DF" w:rsidRPr="00902EDA" w:rsidRDefault="00000000">
      <w:pPr>
        <w:spacing w:after="240" w:line="360" w:lineRule="auto"/>
        <w:rPr>
          <w:rFonts w:cs="Arial"/>
          <w:szCs w:val="24"/>
        </w:rPr>
      </w:pPr>
      <w:r w:rsidRPr="00902EDA">
        <w:rPr>
          <w:rFonts w:cs="Arial"/>
          <w:szCs w:val="24"/>
        </w:rPr>
        <w:t>SCN1A loss-of-function in inhibitory neurons causes Dravet syndrome through disinhibition and network hyperexcitability. Rescue compounds should include drugs that enhance inhibitory tone (e.g., stiripentol, cannabidiol, fenfluramine — all approved for Dravet) or compounds with other anti-seizure mechanisms. The new-source annotations:</w:t>
      </w:r>
    </w:p>
    <w:p w14:paraId="72D4BF7C" w14:textId="77777777" w:rsidR="000C50DF" w:rsidRPr="00902EDA" w:rsidRDefault="00000000">
      <w:pPr>
        <w:pStyle w:val="ListBullet"/>
        <w:spacing w:after="120" w:line="360" w:lineRule="auto"/>
        <w:rPr>
          <w:rFonts w:cs="Arial"/>
          <w:szCs w:val="24"/>
        </w:rPr>
      </w:pPr>
      <w:r w:rsidRPr="00902EDA">
        <w:rPr>
          <w:rFonts w:cs="Arial"/>
          <w:szCs w:val="24"/>
        </w:rPr>
        <w:t>SIDER verification (NEW SOURCE): SIDER (sideeffects.embl.de) extracts side effects from drug labels. For cannabidiol (Epidiolex), SIDER lists somnolence (very common), decreased appetite (very common), diarrhea (very common), transaminase elevations (common), and fatigue (common). For stiripentol, drowsiness and weight loss are listed. These frequencies and side effects should match SIDER's database entries, which are derived from FDA/EMA label text.</w:t>
      </w:r>
    </w:p>
    <w:p w14:paraId="66C2ECB5" w14:textId="77777777" w:rsidR="000C50DF" w:rsidRPr="00902EDA" w:rsidRDefault="00000000">
      <w:pPr>
        <w:pStyle w:val="ListBullet"/>
        <w:spacing w:after="120" w:line="360" w:lineRule="auto"/>
        <w:rPr>
          <w:rFonts w:cs="Arial"/>
          <w:szCs w:val="24"/>
        </w:rPr>
      </w:pPr>
      <w:r w:rsidRPr="00902EDA">
        <w:rPr>
          <w:rFonts w:cs="Arial"/>
          <w:szCs w:val="24"/>
        </w:rPr>
        <w:t>ClinicalTrials.gov verification (NEW SOURCE): For cannabidiol in epilepsy, ClinicalTrials.gov lists multiple completed trials (e.g., NCT02091375 — GWPCARE1 for Dravet, NCT02091206 — GWPCARE3 for Dravet). For fenfluramine, NCT02682927 (Study 1 for Dravet). Trial IDs, phases, and completion statuses are federal records and must match exactly.</w:t>
      </w:r>
    </w:p>
    <w:p w14:paraId="5EFFD4E9" w14:textId="77777777" w:rsidR="000C50DF" w:rsidRPr="00902EDA" w:rsidRDefault="00000000">
      <w:pPr>
        <w:pStyle w:val="ListBullet"/>
        <w:spacing w:after="120" w:line="360" w:lineRule="auto"/>
        <w:rPr>
          <w:rFonts w:cs="Arial"/>
          <w:szCs w:val="24"/>
        </w:rPr>
      </w:pPr>
      <w:r w:rsidRPr="00902EDA">
        <w:rPr>
          <w:rFonts w:cs="Arial"/>
          <w:szCs w:val="24"/>
        </w:rPr>
        <w:t>Pharos/TCRD verification (NEW SOURCE): Pharos (pharos.nih.gov) classifies targets by development level. CB1 (CNR1) is Tclin (clinical target with approved drugs). 5-HT2C (HTR2C, fenfluramine's primary target) is Tclin. TRPV1 is Tchem (has chemical tools but no approved drug). Less-studied targets may be Tbio or Tdark. ExpoAI can verify each target's classification at pharos.nih.gov.</w:t>
      </w:r>
    </w:p>
    <w:p w14:paraId="1797E3D6" w14:textId="77777777" w:rsidR="000C50DF" w:rsidRPr="00902EDA" w:rsidRDefault="00000000">
      <w:pPr>
        <w:spacing w:after="240" w:line="360" w:lineRule="auto"/>
        <w:rPr>
          <w:rFonts w:cs="Arial"/>
          <w:szCs w:val="24"/>
        </w:rPr>
      </w:pPr>
      <w:r w:rsidRPr="00902EDA">
        <w:rPr>
          <w:rFonts w:cs="Arial"/>
          <w:b/>
          <w:szCs w:val="24"/>
        </w:rPr>
        <w:t>Reasoning for Prompt Selection</w:t>
      </w:r>
    </w:p>
    <w:p w14:paraId="390C3F84" w14:textId="77777777" w:rsidR="000C50DF" w:rsidRPr="00902EDA" w:rsidRDefault="00000000">
      <w:pPr>
        <w:spacing w:after="240" w:line="360" w:lineRule="auto"/>
        <w:rPr>
          <w:rFonts w:cs="Arial"/>
          <w:szCs w:val="24"/>
        </w:rPr>
      </w:pPr>
      <w:r w:rsidRPr="00902EDA">
        <w:rPr>
          <w:rFonts w:cs="Arial"/>
          <w:szCs w:val="24"/>
        </w:rPr>
        <w:t>This prompt tests three currently-loading sources that add critical drug development intelligence. SIDER provides the safety profile context needed for clinical positioning. ClinicalTrials.gov reveals whether candidates are already being studied (avoiding duplication of effort). Pharos/TCRD indicates target maturity, helping prioritize drug-target pairs by development feasibility. Dravet syndrome was chosen because it has multiple recently approved therapies (cannabidiol 2018, fenfluramine 2020, stiripentol 2018 in US), providing rich ground truth data across all three sources.</w:t>
      </w:r>
    </w:p>
    <w:p w14:paraId="25ED7C54" w14:textId="77777777" w:rsidR="000C50DF" w:rsidRPr="00902EDA" w:rsidRDefault="00000000">
      <w:pPr>
        <w:spacing w:after="240" w:line="360" w:lineRule="auto"/>
        <w:rPr>
          <w:rFonts w:cs="Arial"/>
          <w:szCs w:val="24"/>
        </w:rPr>
      </w:pPr>
      <w:r w:rsidRPr="00902EDA">
        <w:rPr>
          <w:rFonts w:cs="Arial"/>
          <w:b/>
          <w:szCs w:val="24"/>
        </w:rPr>
        <w:t>Ground Truth Validity Assessment</w:t>
      </w:r>
    </w:p>
    <w:p w14:paraId="22C76009" w14:textId="77777777" w:rsidR="000C50DF" w:rsidRPr="00902EDA" w:rsidRDefault="00000000">
      <w:pPr>
        <w:spacing w:after="240" w:line="360" w:lineRule="auto"/>
        <w:rPr>
          <w:rFonts w:cs="Arial"/>
          <w:szCs w:val="24"/>
        </w:rPr>
      </w:pPr>
      <w:r w:rsidRPr="00902EDA">
        <w:rPr>
          <w:rFonts w:cs="Arial"/>
          <w:szCs w:val="24"/>
        </w:rPr>
        <w:t xml:space="preserve">High validity. SIDER entries are systematically extracted from drug labels and reproducible. ClinicalTrials.gov is a federal database with exact NCT identifiers. Pharos target development levels </w:t>
      </w:r>
      <w:r w:rsidRPr="00902EDA">
        <w:rPr>
          <w:rFonts w:cs="Arial"/>
          <w:szCs w:val="24"/>
        </w:rPr>
        <w:lastRenderedPageBreak/>
        <w:t>are maintained by the NIH Illuminating the Druggable Genome (IDG) program and are deterministic for any given target. All three can be independently queried through public interfaces.</w:t>
      </w:r>
    </w:p>
    <w:p w14:paraId="55BBF19D" w14:textId="77777777" w:rsidR="000C50DF" w:rsidRPr="00902EDA" w:rsidRDefault="00000000">
      <w:pPr>
        <w:pStyle w:val="Heading2"/>
        <w:rPr>
          <w:rFonts w:ascii="Arial" w:hAnsi="Arial" w:cs="Arial"/>
          <w:sz w:val="24"/>
          <w:szCs w:val="24"/>
        </w:rPr>
      </w:pPr>
      <w:r w:rsidRPr="00902EDA">
        <w:rPr>
          <w:rFonts w:ascii="Arial" w:hAnsi="Arial" w:cs="Arial"/>
          <w:sz w:val="24"/>
          <w:szCs w:val="24"/>
        </w:rPr>
        <w:t>Scenario 2.4: Map Quiver's top schizophrenia-associated gene perturbations to UniProt protein function annotations, predict structural druggability using AlphaFold structures cross-referenced with ChEMBL binding site data, and identify relevant published evidence from Europe PMC.</w:t>
      </w:r>
    </w:p>
    <w:p w14:paraId="263104A7" w14:textId="77777777" w:rsidR="000C50DF" w:rsidRPr="00902EDA" w:rsidRDefault="00000000">
      <w:pPr>
        <w:spacing w:after="240" w:line="360" w:lineRule="auto"/>
        <w:rPr>
          <w:rFonts w:cs="Arial"/>
          <w:szCs w:val="24"/>
        </w:rPr>
      </w:pPr>
      <w:r w:rsidRPr="00902EDA">
        <w:rPr>
          <w:rFonts w:cs="Arial"/>
          <w:b/>
          <w:szCs w:val="24"/>
        </w:rPr>
        <w:t>Prompt</w:t>
      </w:r>
    </w:p>
    <w:p w14:paraId="418C54BB" w14:textId="77777777" w:rsidR="000C50DF" w:rsidRPr="00902EDA" w:rsidRDefault="00000000">
      <w:pPr>
        <w:spacing w:after="240" w:line="360" w:lineRule="auto"/>
        <w:rPr>
          <w:rFonts w:cs="Arial"/>
          <w:szCs w:val="24"/>
        </w:rPr>
      </w:pPr>
      <w:r w:rsidRPr="00902EDA">
        <w:rPr>
          <w:rFonts w:cs="Arial"/>
          <w:szCs w:val="24"/>
        </w:rPr>
        <w:t>"From Quiver's gene perturbation atlas, identify the top 10 gene perturbations whose EP profiles most closely match the functional cluster associated with schizophrenia (defined by overlap with GWAS Catalog schizophrenia loci). For each gene, return: (a) UniProt protein function description and subcellular location, (b) whether an AlphaFold-predicted structure exists and, if so, ChEMBL binding site annotations for any co-crystallized or computationally predicted ligand-binding pockets, and (c) the top 3 most relevant Europe PMC publications linking this gene to schizophrenia, with PMC IDs and publication dates."</w:t>
      </w:r>
    </w:p>
    <w:p w14:paraId="3F9B7083" w14:textId="77777777" w:rsidR="000C50DF" w:rsidRPr="00902EDA" w:rsidRDefault="00000000">
      <w:pPr>
        <w:spacing w:after="240" w:line="360" w:lineRule="auto"/>
        <w:rPr>
          <w:rFonts w:cs="Arial"/>
          <w:szCs w:val="24"/>
        </w:rPr>
      </w:pPr>
      <w:r w:rsidRPr="00902EDA">
        <w:rPr>
          <w:rFonts w:cs="Arial"/>
          <w:b/>
          <w:szCs w:val="24"/>
        </w:rPr>
        <w:t>Expected Ground Truth</w:t>
      </w:r>
    </w:p>
    <w:p w14:paraId="49381E9E" w14:textId="77777777" w:rsidR="000C50DF" w:rsidRPr="00902EDA" w:rsidRDefault="00000000">
      <w:pPr>
        <w:spacing w:after="240" w:line="360" w:lineRule="auto"/>
        <w:rPr>
          <w:rFonts w:cs="Arial"/>
          <w:szCs w:val="24"/>
        </w:rPr>
      </w:pPr>
      <w:r w:rsidRPr="00902EDA">
        <w:rPr>
          <w:rFonts w:cs="Arial"/>
          <w:szCs w:val="24"/>
        </w:rPr>
        <w:t>Schizophrenia-associated Quiver hits likely include genes like CACNA1C, GRIN2A, DRD2, RIMS1, and other synaptic/channel genes. The new-source annotations:</w:t>
      </w:r>
    </w:p>
    <w:p w14:paraId="08FB62C0" w14:textId="77777777" w:rsidR="000C50DF" w:rsidRPr="00902EDA" w:rsidRDefault="00000000">
      <w:pPr>
        <w:pStyle w:val="ListBullet"/>
        <w:spacing w:after="120" w:line="360" w:lineRule="auto"/>
        <w:rPr>
          <w:rFonts w:cs="Arial"/>
          <w:szCs w:val="24"/>
        </w:rPr>
      </w:pPr>
      <w:r w:rsidRPr="00902EDA">
        <w:rPr>
          <w:rFonts w:cs="Arial"/>
          <w:szCs w:val="24"/>
        </w:rPr>
        <w:t>UniProt verification (NEW SOURCE): UniProt (uniprot.org) provides curated protein function. For CACNA1C (UniProt Q13936), the function description includes "voltage-dependent L-type calcium channel subunit" with subcellular location "membrane; multi-pass membrane protein." For GRIN2A (UniProt Q12879), function describes NMDA receptor subunit with subcellular location "postsynaptic membrane." These are curated annotations that must match UniProt's current release.</w:t>
      </w:r>
    </w:p>
    <w:p w14:paraId="2F0820F0" w14:textId="77777777" w:rsidR="000C50DF" w:rsidRPr="00902EDA" w:rsidRDefault="00000000">
      <w:pPr>
        <w:pStyle w:val="ListBullet"/>
        <w:spacing w:after="120" w:line="360" w:lineRule="auto"/>
        <w:rPr>
          <w:rFonts w:cs="Arial"/>
          <w:szCs w:val="24"/>
        </w:rPr>
      </w:pPr>
      <w:r w:rsidRPr="00902EDA">
        <w:rPr>
          <w:rFonts w:cs="Arial"/>
          <w:szCs w:val="24"/>
        </w:rPr>
        <w:t>AlphaFold + ChEMBL verification (ALPHAFOLD ALREADY LOADED + ChEMBL NEW): AlphaFold structures exist for virtually all human proteins. For CACNA1C, the AlphaFold entry (AF-Q13936-F1) provides the predicted structure. ChEMBL binding data can be cross-referenced: ChEMBL contains measured bioactivity for dihydropyridine binding sites on L-type calcium channels. The presence/absence of AlphaFold structures and ChEMBL binding annotations are independently verifiable.</w:t>
      </w:r>
    </w:p>
    <w:p w14:paraId="65E47213" w14:textId="77777777" w:rsidR="000C50DF" w:rsidRPr="00902EDA" w:rsidRDefault="00000000">
      <w:pPr>
        <w:pStyle w:val="ListBullet"/>
        <w:spacing w:after="120" w:line="360" w:lineRule="auto"/>
        <w:rPr>
          <w:rFonts w:cs="Arial"/>
          <w:szCs w:val="24"/>
        </w:rPr>
      </w:pPr>
      <w:r w:rsidRPr="00902EDA">
        <w:rPr>
          <w:rFonts w:cs="Arial"/>
          <w:szCs w:val="24"/>
        </w:rPr>
        <w:t xml:space="preserve">Europe PMC verification (NEW SOURCE): Europe PMC (europepmc.org) provides full-text literature with text-mining annotations. Searching "CACNA1C AND schizophrenia" returns hundreds of publications. The top results should include landmark studies (e.g., PGC GWAS </w:t>
      </w:r>
      <w:r w:rsidRPr="00902EDA">
        <w:rPr>
          <w:rFonts w:cs="Arial"/>
          <w:szCs w:val="24"/>
        </w:rPr>
        <w:lastRenderedPageBreak/>
        <w:t>publications, functional characterization studies). PMC IDs and publication dates are unique identifiers that ExpoAI can verify directly.</w:t>
      </w:r>
    </w:p>
    <w:p w14:paraId="07F92968" w14:textId="77777777" w:rsidR="000C50DF" w:rsidRPr="00902EDA" w:rsidRDefault="00000000">
      <w:pPr>
        <w:spacing w:after="240" w:line="360" w:lineRule="auto"/>
        <w:rPr>
          <w:rFonts w:cs="Arial"/>
          <w:szCs w:val="24"/>
        </w:rPr>
      </w:pPr>
      <w:r w:rsidRPr="00902EDA">
        <w:rPr>
          <w:rFonts w:cs="Arial"/>
          <w:b/>
          <w:szCs w:val="24"/>
        </w:rPr>
        <w:t>Reasoning for Prompt Selection</w:t>
      </w:r>
    </w:p>
    <w:p w14:paraId="7CB640D6" w14:textId="77777777" w:rsidR="000C50DF" w:rsidRPr="00902EDA" w:rsidRDefault="00000000">
      <w:pPr>
        <w:spacing w:after="240" w:line="360" w:lineRule="auto"/>
        <w:rPr>
          <w:rFonts w:cs="Arial"/>
          <w:szCs w:val="24"/>
        </w:rPr>
      </w:pPr>
      <w:r w:rsidRPr="00902EDA">
        <w:rPr>
          <w:rFonts w:cs="Arial"/>
          <w:szCs w:val="24"/>
        </w:rPr>
        <w:t>This prompt demonstrates how UniProt, ChEMBL, and Europe PMC collectively transform a list of Quiver EP hits into a structurally and literature-annotated drug discovery starting point. Without UniProt, the team lacks protein function context. Without ChEMBL binding data, structural druggability assessment is incomplete. Without Europe PMC, the evidence base for each gene-disease link relies solely on structured databases without the nuance of published research narratives. This scenario specifically showcases the difference between what Sapphire can do now (PubMed Central OA text) versus what it gains (Europe PMC's text-mining annotations and broader coverage).</w:t>
      </w:r>
    </w:p>
    <w:p w14:paraId="76E24B93" w14:textId="77777777" w:rsidR="000C50DF" w:rsidRPr="00902EDA" w:rsidRDefault="00000000">
      <w:pPr>
        <w:spacing w:after="240" w:line="360" w:lineRule="auto"/>
        <w:rPr>
          <w:rFonts w:cs="Arial"/>
          <w:szCs w:val="24"/>
        </w:rPr>
      </w:pPr>
      <w:r w:rsidRPr="00902EDA">
        <w:rPr>
          <w:rFonts w:cs="Arial"/>
          <w:b/>
          <w:szCs w:val="24"/>
        </w:rPr>
        <w:t>Ground Truth Validity Assessment</w:t>
      </w:r>
    </w:p>
    <w:p w14:paraId="627A2D94" w14:textId="77777777" w:rsidR="000C50DF" w:rsidRPr="00902EDA" w:rsidRDefault="00000000">
      <w:pPr>
        <w:spacing w:after="240" w:line="360" w:lineRule="auto"/>
        <w:rPr>
          <w:rFonts w:cs="Arial"/>
          <w:szCs w:val="24"/>
        </w:rPr>
      </w:pPr>
      <w:r w:rsidRPr="00902EDA">
        <w:rPr>
          <w:rFonts w:cs="Arial"/>
          <w:szCs w:val="24"/>
        </w:rPr>
        <w:t>High validity. UniProt function descriptions and subcellular locations are curated and deterministic. AlphaFold structure availability is binary (exists or does not). ChEMBL binding annotations are experimentally derived with specific assay IDs. Europe PMC search results are reproducible for specific query terms, though result ordering may vary by access date. PMC IDs are unique and permanent.</w:t>
      </w:r>
    </w:p>
    <w:p w14:paraId="04336541" w14:textId="77777777" w:rsidR="000C50DF" w:rsidRPr="00902EDA" w:rsidRDefault="00000000">
      <w:pPr>
        <w:pStyle w:val="Heading2"/>
        <w:rPr>
          <w:rFonts w:ascii="Arial" w:hAnsi="Arial" w:cs="Arial"/>
          <w:sz w:val="24"/>
          <w:szCs w:val="24"/>
        </w:rPr>
      </w:pPr>
      <w:r w:rsidRPr="00902EDA">
        <w:rPr>
          <w:rFonts w:ascii="Arial" w:hAnsi="Arial" w:cs="Arial"/>
          <w:sz w:val="24"/>
          <w:szCs w:val="24"/>
        </w:rPr>
        <w:t>Scenario 2.5: For a Quiver-identified gene target with strong EP rescue signal, construct a complete translational evidence package using Open Targets genetic association, ClinGen gene-disease validity, ClinVar variant pathogenicity, and ClinicalTrials.gov development history.</w:t>
      </w:r>
    </w:p>
    <w:p w14:paraId="42C023F6" w14:textId="77777777" w:rsidR="000C50DF" w:rsidRPr="00902EDA" w:rsidRDefault="00000000">
      <w:pPr>
        <w:spacing w:after="240" w:line="360" w:lineRule="auto"/>
        <w:rPr>
          <w:rFonts w:cs="Arial"/>
          <w:szCs w:val="24"/>
        </w:rPr>
      </w:pPr>
      <w:r w:rsidRPr="00902EDA">
        <w:rPr>
          <w:rFonts w:cs="Arial"/>
          <w:b/>
          <w:szCs w:val="24"/>
        </w:rPr>
        <w:t>Prompt</w:t>
      </w:r>
    </w:p>
    <w:p w14:paraId="60307ACB" w14:textId="77777777" w:rsidR="000C50DF" w:rsidRPr="00902EDA" w:rsidRDefault="00000000">
      <w:pPr>
        <w:spacing w:after="240" w:line="360" w:lineRule="auto"/>
        <w:rPr>
          <w:rFonts w:cs="Arial"/>
          <w:szCs w:val="24"/>
        </w:rPr>
      </w:pPr>
      <w:r w:rsidRPr="00902EDA">
        <w:rPr>
          <w:rFonts w:cs="Arial"/>
          <w:szCs w:val="24"/>
        </w:rPr>
        <w:t>"Select the gene perturbation in Quiver's atlas with the strongest EP rescue signal for Tuberous Sclerosis Complex (most antipodal to TSC2 loss-of-function, excluding TSC1 and TSC2 themselves). For this gene, construct a translational evidence package: (a) Open Targets overall and datatype-specific association scores for TSC (Orphanet_805), (b) ClinGen gene-disease clinical validity classification (Definitive, Strong, Moderate, Limited, Disputed, Refuted) for any neurological condition, (c) all ClinVar pathogenic/likely pathogenic variants with associated conditions, and (d) all ClinicalTrials.gov trials where this gene or its protein product is named as an intervention target."</w:t>
      </w:r>
    </w:p>
    <w:p w14:paraId="3EE3A333" w14:textId="77777777" w:rsidR="000C50DF" w:rsidRPr="00902EDA" w:rsidRDefault="00000000">
      <w:pPr>
        <w:spacing w:after="240" w:line="360" w:lineRule="auto"/>
        <w:rPr>
          <w:rFonts w:cs="Arial"/>
          <w:szCs w:val="24"/>
        </w:rPr>
      </w:pPr>
      <w:r w:rsidRPr="00902EDA">
        <w:rPr>
          <w:rFonts w:cs="Arial"/>
          <w:b/>
          <w:szCs w:val="24"/>
        </w:rPr>
        <w:t>Expected Ground Truth</w:t>
      </w:r>
    </w:p>
    <w:p w14:paraId="3DF8B31E" w14:textId="77777777" w:rsidR="000C50DF" w:rsidRPr="00902EDA" w:rsidRDefault="00000000">
      <w:pPr>
        <w:spacing w:after="240" w:line="360" w:lineRule="auto"/>
        <w:rPr>
          <w:rFonts w:cs="Arial"/>
          <w:szCs w:val="24"/>
        </w:rPr>
      </w:pPr>
      <w:r w:rsidRPr="00902EDA">
        <w:rPr>
          <w:rFonts w:cs="Arial"/>
          <w:szCs w:val="24"/>
        </w:rPr>
        <w:lastRenderedPageBreak/>
        <w:t>The gene with the strongest TSC2-antipodal EP signal (excluding TSC1/2) likely involves the mTOR pathway — plausible candidates include MTOR itself, PTEN, AKT1, PIK3CA, RHEB, or an adjacent pathway node. The translational package tests four new sources:</w:t>
      </w:r>
    </w:p>
    <w:p w14:paraId="08FC6CB4" w14:textId="77777777" w:rsidR="000C50DF" w:rsidRPr="00902EDA" w:rsidRDefault="00000000">
      <w:pPr>
        <w:pStyle w:val="ListBullet"/>
        <w:spacing w:after="120" w:line="360" w:lineRule="auto"/>
        <w:rPr>
          <w:rFonts w:cs="Arial"/>
          <w:szCs w:val="24"/>
        </w:rPr>
      </w:pPr>
      <w:r w:rsidRPr="00902EDA">
        <w:rPr>
          <w:rFonts w:cs="Arial"/>
          <w:szCs w:val="24"/>
        </w:rPr>
        <w:t>Open Targets verification (NEW SOURCE): For a gene like MTOR, Open Targets provides association scores broken down by data type (genetic association, somatic mutation, known drug, literature, RNA expression, animal model). The overall score and individual datatype scores are queryable via the Open Targets GraphQL API. For TSC specifically (Orphanet_805), MTOR should have a high genetic association score. These scores are versioned and reproducible.</w:t>
      </w:r>
    </w:p>
    <w:p w14:paraId="56E2F0F5" w14:textId="77777777" w:rsidR="000C50DF" w:rsidRPr="00902EDA" w:rsidRDefault="00000000">
      <w:pPr>
        <w:pStyle w:val="ListBullet"/>
        <w:spacing w:after="120" w:line="360" w:lineRule="auto"/>
        <w:rPr>
          <w:rFonts w:cs="Arial"/>
          <w:szCs w:val="24"/>
        </w:rPr>
      </w:pPr>
      <w:r w:rsidRPr="00902EDA">
        <w:rPr>
          <w:rFonts w:cs="Arial"/>
          <w:szCs w:val="24"/>
        </w:rPr>
        <w:t xml:space="preserve">ClinGen verification (NEW SOURCE): ClinGen (clinicalgenome.org) </w:t>
      </w:r>
      <w:proofErr w:type="gramStart"/>
      <w:r w:rsidRPr="00902EDA">
        <w:rPr>
          <w:rFonts w:cs="Arial"/>
          <w:szCs w:val="24"/>
        </w:rPr>
        <w:t>curates</w:t>
      </w:r>
      <w:proofErr w:type="gramEnd"/>
      <w:r w:rsidRPr="00902EDA">
        <w:rPr>
          <w:rFonts w:cs="Arial"/>
          <w:szCs w:val="24"/>
        </w:rPr>
        <w:t xml:space="preserve"> gene-disease clinical validity. For MTOR, ClinGen may classify the gene-disease pair for Smith-Kingsmore syndrome (MTOR GoF) as "Definitive." For PTEN, ClinGen classifies PTEN Hamartoma Tumor Syndrome as "Definitive." Not all genes have ClinGen curation — a "No classification available" result is valid and verifiable. ExpoAI can check the ClinGen Gene-Disease Validity page directly.</w:t>
      </w:r>
    </w:p>
    <w:p w14:paraId="5B42D05A" w14:textId="77777777" w:rsidR="000C50DF" w:rsidRPr="00902EDA" w:rsidRDefault="00000000">
      <w:pPr>
        <w:pStyle w:val="ListBullet"/>
        <w:spacing w:after="120" w:line="360" w:lineRule="auto"/>
        <w:rPr>
          <w:rFonts w:cs="Arial"/>
          <w:szCs w:val="24"/>
        </w:rPr>
      </w:pPr>
      <w:r w:rsidRPr="00902EDA">
        <w:rPr>
          <w:rFonts w:cs="Arial"/>
          <w:szCs w:val="24"/>
        </w:rPr>
        <w:t>ClinVar verification (NEW SOURCE): For MTOR, ClinVar lists pathogenic variants associated with Smith-Kingsmore syndrome and focal cortical dysplasia. For PTEN, pathogenic variants associate with Cowden syndrome, PTEN hamartoma tumor syndrome, and macrocephaly/autism syndrome. Variant counts, classifications, and conditions are queryable via the NCBI ClinVar API.</w:t>
      </w:r>
    </w:p>
    <w:p w14:paraId="2D3FF55F" w14:textId="77777777" w:rsidR="000C50DF" w:rsidRPr="00902EDA" w:rsidRDefault="00000000">
      <w:pPr>
        <w:pStyle w:val="ListBullet"/>
        <w:spacing w:after="120" w:line="360" w:lineRule="auto"/>
        <w:rPr>
          <w:rFonts w:cs="Arial"/>
          <w:szCs w:val="24"/>
        </w:rPr>
      </w:pPr>
      <w:r w:rsidRPr="00902EDA">
        <w:rPr>
          <w:rFonts w:cs="Arial"/>
          <w:szCs w:val="24"/>
        </w:rPr>
        <w:t>ClinicalTrials.gov verification (NEW SOURCE): For MTOR as target, ClinicalTrials.gov lists trials of mTOR inhibitors (sirolimus, everolimus) across TSC, epilepsy, and cancer indications — hundreds of trials. For PTEN, trials are fewer but include several cancer-focused studies. Trial counts and identifiers are verifiable through the ClinicalTrials.gov API.</w:t>
      </w:r>
    </w:p>
    <w:p w14:paraId="09B50DD7" w14:textId="77777777" w:rsidR="000C50DF" w:rsidRPr="00902EDA" w:rsidRDefault="00000000">
      <w:pPr>
        <w:spacing w:after="240" w:line="360" w:lineRule="auto"/>
        <w:rPr>
          <w:rFonts w:cs="Arial"/>
          <w:szCs w:val="24"/>
        </w:rPr>
      </w:pPr>
      <w:r w:rsidRPr="00902EDA">
        <w:rPr>
          <w:rFonts w:cs="Arial"/>
          <w:b/>
          <w:szCs w:val="24"/>
        </w:rPr>
        <w:t>Reasoning for Prompt Selection</w:t>
      </w:r>
    </w:p>
    <w:p w14:paraId="01E099CC" w14:textId="77777777" w:rsidR="000C50DF" w:rsidRPr="00902EDA" w:rsidRDefault="00000000">
      <w:pPr>
        <w:spacing w:after="240" w:line="360" w:lineRule="auto"/>
        <w:rPr>
          <w:rFonts w:cs="Arial"/>
          <w:szCs w:val="24"/>
        </w:rPr>
      </w:pPr>
      <w:r w:rsidRPr="00902EDA">
        <w:rPr>
          <w:rFonts w:cs="Arial"/>
          <w:szCs w:val="24"/>
        </w:rPr>
        <w:t>This is the most comprehensive scenario in Bucket 2, intentionally designed to demonstrate the full translational evidence package that becomes possible only after the new sources are loaded. It chains four new-source annotations into a single coherent output that mirrors what a drug discovery team would need to advance a target: genetic evidence strength (Open Targets), clinical validity curation (ClinGen), human variant landscape (ClinVar), and clinical development history (ClinicalTrials.gov). None of these are available in Bucket 1, making this the clearest demonstration of incremental value from the data loading effort.</w:t>
      </w:r>
    </w:p>
    <w:p w14:paraId="2078CC6D" w14:textId="77777777" w:rsidR="000C50DF" w:rsidRPr="00902EDA" w:rsidRDefault="00000000">
      <w:pPr>
        <w:spacing w:after="240" w:line="360" w:lineRule="auto"/>
        <w:rPr>
          <w:rFonts w:cs="Arial"/>
          <w:szCs w:val="24"/>
        </w:rPr>
      </w:pPr>
      <w:r w:rsidRPr="00902EDA">
        <w:rPr>
          <w:rFonts w:cs="Arial"/>
          <w:b/>
          <w:szCs w:val="24"/>
        </w:rPr>
        <w:t>Ground Truth Validity Assessment</w:t>
      </w:r>
    </w:p>
    <w:p w14:paraId="5547369C" w14:textId="77777777" w:rsidR="000C50DF" w:rsidRPr="00902EDA" w:rsidRDefault="00000000">
      <w:pPr>
        <w:spacing w:after="240" w:line="360" w:lineRule="auto"/>
        <w:rPr>
          <w:rFonts w:cs="Arial"/>
          <w:szCs w:val="24"/>
        </w:rPr>
      </w:pPr>
      <w:r w:rsidRPr="00902EDA">
        <w:rPr>
          <w:rFonts w:cs="Arial"/>
          <w:szCs w:val="24"/>
        </w:rPr>
        <w:t xml:space="preserve">High validity across all four sources. Open Targets scores are API-queryable and versioned. ClinGen classifications are expert-curated with defined evidence frameworks. ClinVar is a federal database </w:t>
      </w:r>
      <w:r w:rsidRPr="00902EDA">
        <w:rPr>
          <w:rFonts w:cs="Arial"/>
          <w:szCs w:val="24"/>
        </w:rPr>
        <w:lastRenderedPageBreak/>
        <w:t>with submission-level traceability. ClinicalTrials.gov is a federal registry with unique trial identifiers. Together, these four sources provide a near-complete translational evidence chain that ExpoAI can verify point by point, making this an excellent acceptance test for the data loading milestone.</w:t>
      </w:r>
    </w:p>
    <w:p w14:paraId="2806D451" w14:textId="77777777" w:rsidR="000C50DF" w:rsidRPr="00902EDA" w:rsidRDefault="00000000">
      <w:pPr>
        <w:rPr>
          <w:rFonts w:cs="Arial"/>
          <w:szCs w:val="24"/>
        </w:rPr>
      </w:pPr>
      <w:r w:rsidRPr="00902EDA">
        <w:rPr>
          <w:rFonts w:cs="Arial"/>
          <w:szCs w:val="24"/>
        </w:rPr>
        <w:br w:type="page"/>
      </w:r>
    </w:p>
    <w:p w14:paraId="290BF281" w14:textId="77777777" w:rsidR="000C50DF" w:rsidRPr="00902EDA" w:rsidRDefault="00000000">
      <w:pPr>
        <w:pStyle w:val="Heading2"/>
        <w:rPr>
          <w:rFonts w:ascii="Arial" w:hAnsi="Arial" w:cs="Arial"/>
          <w:sz w:val="24"/>
          <w:szCs w:val="24"/>
        </w:rPr>
      </w:pPr>
      <w:r w:rsidRPr="00902EDA">
        <w:rPr>
          <w:rFonts w:ascii="Arial" w:hAnsi="Arial" w:cs="Arial"/>
          <w:sz w:val="24"/>
          <w:szCs w:val="24"/>
        </w:rPr>
        <w:lastRenderedPageBreak/>
        <w:t>Summary and Recommendations</w:t>
      </w:r>
    </w:p>
    <w:p w14:paraId="4A6318DA" w14:textId="77777777" w:rsidR="000C50DF" w:rsidRPr="00902EDA" w:rsidRDefault="00000000">
      <w:pPr>
        <w:spacing w:after="240" w:line="360" w:lineRule="auto"/>
        <w:rPr>
          <w:rFonts w:cs="Arial"/>
          <w:szCs w:val="24"/>
        </w:rPr>
      </w:pPr>
      <w:r w:rsidRPr="00902EDA">
        <w:rPr>
          <w:rFonts w:cs="Arial"/>
          <w:szCs w:val="24"/>
        </w:rPr>
        <w:t>These 10 ground truth scenarios (5 per bucket) are designed to serve as functional acceptance tests for the Sapphire platform. Each scenario combines Quiver's proprietary EP data output (which must be accepted as given) with independently verifiable external annotations (which ExpoAI can check against public databases). This two-layer structure allows ExpoAI to validate data integration correctness without needing access to Quiver's internal data.</w:t>
      </w:r>
    </w:p>
    <w:p w14:paraId="56BD42CE" w14:textId="77777777" w:rsidR="000C50DF" w:rsidRPr="00902EDA" w:rsidRDefault="00000000">
      <w:pPr>
        <w:spacing w:after="240" w:line="360" w:lineRule="auto"/>
        <w:rPr>
          <w:rFonts w:cs="Arial"/>
          <w:szCs w:val="24"/>
        </w:rPr>
      </w:pPr>
      <w:r w:rsidRPr="00902EDA">
        <w:rPr>
          <w:rFonts w:cs="Arial"/>
          <w:szCs w:val="24"/>
        </w:rPr>
        <w:t>For Bucket 1, we recommend ExpoAI run all five scenarios immediately and compare every external annotation against the corresponding public database API. Any mismatch indicates a data loading, mapping, or query construction issue that can be isolated to the specific source. For Bucket 2, we recommend using these scenarios as acceptance criteria for the data loading milestone — once all 20 new sources are loaded, running these five scenarios should produce complete results where they currently would return gaps or errors.</w:t>
      </w:r>
    </w:p>
    <w:p w14:paraId="35B8A9FC" w14:textId="77777777" w:rsidR="000C50DF" w:rsidRPr="00902EDA" w:rsidRDefault="00000000">
      <w:pPr>
        <w:spacing w:after="240" w:line="360" w:lineRule="auto"/>
        <w:rPr>
          <w:rFonts w:cs="Arial"/>
          <w:szCs w:val="24"/>
        </w:rPr>
      </w:pPr>
      <w:r w:rsidRPr="00902EDA">
        <w:rPr>
          <w:rFonts w:cs="Arial"/>
          <w:szCs w:val="24"/>
        </w:rPr>
        <w:t>If additional ground truth scenarios are needed, we recommend focusing on edge cases: genes that appear in one source but not another (testing cross-reference mapping), compounds with multiple RxNorm entries (testing drug name normalization), and queries that require joining data across 4+ sources simultaneously (testing pipeline robustness). We are happy to develop additional scenarios as the integration work progresses.</w:t>
      </w:r>
    </w:p>
    <w:sectPr w:rsidR="000C50DF" w:rsidRPr="00902EDA" w:rsidSect="00902ED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3641615">
    <w:abstractNumId w:val="8"/>
  </w:num>
  <w:num w:numId="2" w16cid:durableId="1792363582">
    <w:abstractNumId w:val="6"/>
  </w:num>
  <w:num w:numId="3" w16cid:durableId="1152791371">
    <w:abstractNumId w:val="5"/>
  </w:num>
  <w:num w:numId="4" w16cid:durableId="862743557">
    <w:abstractNumId w:val="4"/>
  </w:num>
  <w:num w:numId="5" w16cid:durableId="710610273">
    <w:abstractNumId w:val="7"/>
  </w:num>
  <w:num w:numId="6" w16cid:durableId="186066056">
    <w:abstractNumId w:val="3"/>
  </w:num>
  <w:num w:numId="7" w16cid:durableId="987320154">
    <w:abstractNumId w:val="2"/>
  </w:num>
  <w:num w:numId="8" w16cid:durableId="1430007798">
    <w:abstractNumId w:val="1"/>
  </w:num>
  <w:num w:numId="9" w16cid:durableId="195780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0DF"/>
    <w:rsid w:val="0015074B"/>
    <w:rsid w:val="0029639D"/>
    <w:rsid w:val="00326F90"/>
    <w:rsid w:val="00523C0F"/>
    <w:rsid w:val="00902ED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403222"/>
  <w14:defaultImageDpi w14:val="300"/>
  <w15:docId w15:val="{ABA0D02E-2177-A141-A0FD-71CD71FFA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5356</Words>
  <Characters>35192</Characters>
  <Application>Microsoft Office Word</Application>
  <DocSecurity>0</DocSecurity>
  <Lines>664</Lines>
  <Paragraphs>212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Fink</cp:lastModifiedBy>
  <cp:revision>2</cp:revision>
  <dcterms:created xsi:type="dcterms:W3CDTF">2013-12-23T23:15:00Z</dcterms:created>
  <dcterms:modified xsi:type="dcterms:W3CDTF">2026-03-04T02:01:00Z</dcterms:modified>
  <cp:category/>
</cp:coreProperties>
</file>