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GraphDB: Ground Truth Validation Prompts (v2 — Audit-Verified)</w:t>
      </w:r>
    </w:p>
    <w:p>
      <w:pPr>
        <w:spacing w:after="120"/>
      </w:pPr>
      <w:r>
        <w:rPr>
          <w:rFonts w:ascii="Arial" w:cs="Arial" w:eastAsia="Arial" w:hAnsi="Arial"/>
          <w:i/>
          <w:iCs/>
          <w:sz w:val="28"/>
          <w:szCs w:val="28"/>
        </w:rPr>
        <w:t xml:space="preserve">Top 10 External Data Sources for Angelini Common Nodes Workflows</w:t>
      </w:r>
    </w:p>
    <w:p>
      <w:pPr>
        <w:spacing w:after="120"/>
      </w:pPr>
      <w:r>
        <w:rPr>
          <w:rFonts w:ascii="Arial" w:cs="Arial" w:eastAsia="Arial" w:hAnsi="Arial"/>
          <w:sz w:val="24"/>
          <w:szCs w:val="24"/>
        </w:rPr>
        <w:t xml:space="preserve">This document contains 10 ground truth validation prompts for each of the top 10 external data sources identified from frequency analysis across 100 Angelini Common Nodes pipeline workflows. Each prompt includes the query to execute against the data source and the expected output criteria for pass/fail validation. Sources are loaded and validated one at a time before sharing results with the review team.</w:t>
      </w:r>
    </w:p>
    <w:p>
      <w:pPr>
        <w:spacing w:after="120"/>
      </w:pPr>
      <w:r>
        <w:rPr>
          <w:rFonts w:ascii="Arial" w:cs="Arial" w:eastAsia="Arial" w:hAnsi="Arial"/>
          <w:b/>
          <w:bCs/>
          <w:color w:val="922B21"/>
          <w:sz w:val="24"/>
          <w:szCs w:val="24"/>
        </w:rPr>
        <w:t xml:space="preserve">Version 2 Note: </w:t>
      </w:r>
      <w:r>
        <w:rPr>
          <w:rFonts w:ascii="Arial" w:cs="Arial" w:eastAsia="Arial" w:hAnsi="Arial"/>
          <w:sz w:val="24"/>
          <w:szCs w:val="24"/>
        </w:rPr>
        <w:t xml:space="preserve">All expected outputs in this document have been independently validated by a bioinformatics audit team using web-verified sources. Three factual errors and eight questionable claims from v1 have been corrected. Unverifiable numeric estimates have been replaced with directional expectations and explicit pass/fail criteria.</w:t>
      </w:r>
    </w:p>
    <w:p>
      <w:pPr>
        <w:spacing w:after="300"/>
      </w:pPr>
      <w:r>
        <w:rPr>
          <w:rFonts w:ascii="Arial" w:cs="Arial" w:eastAsia="Arial" w:hAnsi="Arial"/>
          <w:b/>
          <w:bCs/>
          <w:sz w:val="24"/>
          <w:szCs w:val="24"/>
        </w:rPr>
        <w:t xml:space="preserve">Validation Protocol: </w:t>
      </w:r>
      <w:r>
        <w:rPr>
          <w:rFonts w:ascii="Arial" w:cs="Arial" w:eastAsia="Arial" w:hAnsi="Arial"/>
          <w:sz w:val="24"/>
          <w:szCs w:val="24"/>
        </w:rPr>
        <w:t xml:space="preserve">(1) Load one data source at a time into Sapphire. (2) Execute all 10 ground truth prompts against that source. (3) Compare actual results with expected outputs and pass criteria below. (4) Document pass/fail for each prompt. (5) Share results with James’s team for review before proceeding to the next source.</w:t>
      </w:r>
    </w:p>
    <w:p>
      <w:pPr>
        <w:pStyle w:val="Heading2"/>
      </w:pPr>
      <w:r>
        <w:rPr>
          <w:rFonts w:ascii="Arial" w:cs="Arial" w:eastAsia="Arial" w:hAnsi="Arial"/>
          <w:b/>
          <w:bCs/>
          <w:sz w:val="28"/>
          <w:szCs w:val="28"/>
        </w:rPr>
        <w:t xml:space="preserve">STRING — STRING Protein-Protein Interaction Database</w:t>
      </w:r>
    </w:p>
    <w:p>
      <w:pPr>
        <w:spacing w:after="80"/>
      </w:pPr>
      <w:r>
        <w:rPr>
          <w:rFonts w:ascii="Arial" w:cs="Arial" w:eastAsia="Arial" w:hAnsi="Arial"/>
          <w:b/>
          <w:bCs/>
          <w:sz w:val="24"/>
          <w:szCs w:val="24"/>
        </w:rPr>
        <w:t xml:space="preserve">Referenced in: </w:t>
      </w:r>
      <w:r>
        <w:rPr>
          <w:rFonts w:ascii="Arial" w:cs="Arial" w:eastAsia="Arial" w:hAnsi="Arial"/>
          <w:sz w:val="24"/>
          <w:szCs w:val="24"/>
        </w:rPr>
        <w:t xml:space="preserve">24 of 100 pipelines</w:t>
      </w:r>
    </w:p>
    <w:p>
      <w:pPr>
        <w:spacing w:after="200"/>
      </w:pPr>
      <w:r>
        <w:rPr>
          <w:rFonts w:ascii="Arial" w:cs="Arial" w:eastAsia="Arial" w:hAnsi="Arial"/>
          <w:b/>
          <w:bCs/>
          <w:sz w:val="24"/>
          <w:szCs w:val="24"/>
        </w:rPr>
        <w:t xml:space="preserve">API Access: </w:t>
      </w:r>
      <w:r>
        <w:rPr>
          <w:rFonts w:ascii="Arial" w:cs="Arial" w:eastAsia="Arial" w:hAnsi="Arial"/>
          <w:sz w:val="24"/>
          <w:szCs w:val="24"/>
        </w:rPr>
        <w:t xml:space="preserve">REST API at https://string-db.org/api; supports JSON/TSV; query by protein identifiers, species NCBI taxid 9606 (human)</w:t>
      </w:r>
    </w:p>
    <w:p>
      <w:pPr>
        <w:spacing w:before="200"/>
      </w:pPr>
      <w:r>
        <w:rPr>
          <w:rFonts w:ascii="Arial" w:cs="Arial" w:eastAsia="Arial" w:hAnsi="Arial"/>
          <w:b/>
          <w:bCs/>
          <w:color w:val="7300BF"/>
          <w:sz w:val="24"/>
          <w:szCs w:val="24"/>
        </w:rPr>
        <w:t xml:space="preserve">STRING-01</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all protein-protein interactions for SCN1A (Nav1.1 sodium channel) with a combined confidence score &gt;= 0.700 from STRING, and return the top 20 interacting partners ranked by confidence score.</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known high-confidence interactors including SCN1B, SCN2B, SCN3B (beta subunits), FGF13/FHF2, NEDD4L, and ANK3 (ankyrin-G). The SCN1B interaction should have a combined score &gt;= 0.900. Results must be filtered to Homo sapiens (taxid 9606). Pass criteria: SCN1B, SCN2B, and SCN3B all appear in the result set.</w:t>
      </w:r>
    </w:p>
    <w:p>
      <w:pPr>
        <w:spacing w:before="200"/>
      </w:pPr>
      <w:r>
        <w:rPr>
          <w:rFonts w:ascii="Arial" w:cs="Arial" w:eastAsia="Arial" w:hAnsi="Arial"/>
          <w:b/>
          <w:bCs/>
          <w:color w:val="7300BF"/>
          <w:sz w:val="24"/>
          <w:szCs w:val="24"/>
        </w:rPr>
        <w:t xml:space="preserve">STRING-02</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set of DEE genes CDKL5, MECP2, FOXG1, and TCF4, retrieve the interaction network among these four proteins from STRING and report whether any direct (physical) interactions exist between them.</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a functional association between MECP2 and CDKL5 (CDKL5 is a kinase that phosphorylates MECP2). MECP2-FOXG1 should show a functional association (FoxG1 modulates MeCP2 function). TCF4 may show weaker or indirect connections. Pass criteria: MECP2-CDKL5 interaction is present and evidence channels (experimental, database, text-mining) are distinguishable.</w:t>
      </w:r>
    </w:p>
    <w:p>
      <w:pPr>
        <w:spacing w:before="200"/>
      </w:pPr>
      <w:r>
        <w:rPr>
          <w:rFonts w:ascii="Arial" w:cs="Arial" w:eastAsia="Arial" w:hAnsi="Arial"/>
          <w:b/>
          <w:bCs/>
          <w:color w:val="7300BF"/>
          <w:sz w:val="24"/>
          <w:szCs w:val="24"/>
        </w:rPr>
        <w:t xml:space="preserve">STRING-03</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STRING for the functional enrichment of a cluster containing SCN1A, SCN2A, SCN8A, KCNQ2, KCNQ3, and KCNA2 and return the top 5 enriched GO Biological Process terms.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enrichment for GO terms related to ion transport and electrical signaling. Expected top terms include 'regulation of membrane potential' (GO:0042391) and 'action potential' (GO:0001508). Pass criteria: at least 3 of the top 5 terms relate to ion channel activity, membrane potential, or action potential.</w:t>
      </w:r>
    </w:p>
    <w:p>
      <w:pPr>
        <w:spacing w:before="200"/>
      </w:pPr>
      <w:r>
        <w:rPr>
          <w:rFonts w:ascii="Arial" w:cs="Arial" w:eastAsia="Arial" w:hAnsi="Arial"/>
          <w:b/>
          <w:bCs/>
          <w:color w:val="7300BF"/>
          <w:sz w:val="24"/>
          <w:szCs w:val="24"/>
        </w:rPr>
        <w:t xml:space="preserve">STRING-04</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full interaction network for GRIN2A (NMDA receptor subunit) from STRING at medium confidence (&gt;= 0.400) and identify which interactors are also in the 131 DEE gene list.</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GRIN1 and GRIN2B (both DEE genes), plus DLG4/PSD-95, DLGAP1, and other postsynaptic density proteins. GRIN2B should appear as a high-confidence interactor (&gt;= 0.900). Pass criteria: GRIN1 and GRIN2B are present, and the response can flag which returned proteins are in the DEE gene set.</w:t>
      </w:r>
    </w:p>
    <w:p>
      <w:pPr>
        <w:spacing w:before="200"/>
      </w:pPr>
      <w:r>
        <w:rPr>
          <w:rFonts w:ascii="Arial" w:cs="Arial" w:eastAsia="Arial" w:hAnsi="Arial"/>
          <w:b/>
          <w:bCs/>
          <w:color w:val="7300BF"/>
          <w:sz w:val="24"/>
          <w:szCs w:val="24"/>
        </w:rPr>
        <w:t xml:space="preserve">STRING-05</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protein STXBP1 (Munc18-1), retrieve its STRING interaction partners and determine whether it shares more interactors with STX1A or with SNAP25.</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STXBP1 must show high-confidence interactions with both STX1A (&gt;= 0.950) and SNAP25 (&gt;= 0.800). SNARE complex proteins VAMP2, SYT1, and CPLX1 should appear in the shared interactor set. Pass criteria: STX1A and SNAP25 both appear; at least 2 SNARE complex members are in the network.</w:t>
      </w:r>
    </w:p>
    <w:p>
      <w:pPr>
        <w:spacing w:before="200"/>
      </w:pPr>
      <w:r>
        <w:rPr>
          <w:rFonts w:ascii="Arial" w:cs="Arial" w:eastAsia="Arial" w:hAnsi="Arial"/>
          <w:b/>
          <w:bCs/>
          <w:color w:val="7300BF"/>
          <w:sz w:val="24"/>
          <w:szCs w:val="24"/>
        </w:rPr>
        <w:t xml:space="preserve">STRING-06</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STRING to retrieve the network statistics and PPI enrichment p-value for a network composed of sodium channel genes SCN1A, SCN2A, SCN3A, SCN8A, SCN9A, SCN1B, SCN2B, SCN3B, SCN4B.</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The network should show significant PPI enrichment (p-value &lt; 0.001), indicating that these proteins interact more than expected by chance. This is expected because sodium channel alpha and beta subunits form known physical complexes. Pass criteria: PPI enrichment p-value is reported and is statistically significant.</w:t>
      </w:r>
    </w:p>
    <w:p>
      <w:pPr>
        <w:spacing w:before="200"/>
      </w:pPr>
      <w:r>
        <w:rPr>
          <w:rFonts w:ascii="Arial" w:cs="Arial" w:eastAsia="Arial" w:hAnsi="Arial"/>
          <w:b/>
          <w:bCs/>
          <w:color w:val="7300BF"/>
          <w:sz w:val="24"/>
          <w:szCs w:val="24"/>
        </w:rPr>
        <w:t xml:space="preserve">STRING-07</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STRING interactions for SYNGAP1 and identify any interactors that are also known drug targets in ChEMBL (cross-reference readiness check).</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interactors including DLG4/PSD-95, CALM1/2/3 (calmodulin), MAPK1/ERK2, MAPK3/ERK1, HRAS, and KRAS. Among these, MAPK1, MAPK3, HRAS, and KRAS are well-established drug targets. Pass criteria: at least 3 known drug targets appear among SYNGAP1 interactors.</w:t>
      </w:r>
    </w:p>
    <w:p>
      <w:pPr>
        <w:spacing w:before="200"/>
      </w:pPr>
      <w:r>
        <w:rPr>
          <w:rFonts w:ascii="Arial" w:cs="Arial" w:eastAsia="Arial" w:hAnsi="Arial"/>
          <w:b/>
          <w:bCs/>
          <w:color w:val="7300BF"/>
          <w:sz w:val="24"/>
          <w:szCs w:val="24"/>
        </w:rPr>
        <w:t xml:space="preserve">STRING-08</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Compare the STRING interaction networks of two DEE genes from different predicted functional clusters: SCN1A (sodium channel) and SYNGAP1 (synaptic signaling). Report the number of shared vs. unique interactors at confidence &gt;= 0.700.</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SCN1A and SYNGAP1 should have largely non-overlapping networks, reflecting distinct molecular functions. SCN1A interactors should be enriched for ion channel/transport proteins; SYNGAP1 for RAS-MAPK signaling and postsynaptic density proteins. Pass criteria: the two networks show distinct functional enrichment profiles.</w:t>
      </w:r>
    </w:p>
    <w:p>
      <w:pPr>
        <w:spacing w:before="200"/>
      </w:pPr>
      <w:r>
        <w:rPr>
          <w:rFonts w:ascii="Arial" w:cs="Arial" w:eastAsia="Arial" w:hAnsi="Arial"/>
          <w:b/>
          <w:bCs/>
          <w:color w:val="7300BF"/>
          <w:sz w:val="24"/>
          <w:szCs w:val="24"/>
        </w:rPr>
        <w:t xml:space="preserve">STRING-09</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KCNQ2, retrieve STRING interactions and specifically identify which interaction evidence comes from experimental (physical binding) data versus text-mining or database annotations.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KCNQ3 must appear with strong experimental evidence (co-IP, two-hybrid data). KCNQ2-KCNQ3 heteromeric channel formation is well-established experimentally. ANK3 and CALM1 should also show experimental evidence. Pass criteria: KCNQ3 appears with experimental evidence score &gt; 0; evidence channels are distinguishable.</w:t>
      </w:r>
    </w:p>
    <w:p>
      <w:pPr>
        <w:spacing w:before="200"/>
      </w:pPr>
      <w:r>
        <w:rPr>
          <w:rFonts w:ascii="Arial" w:cs="Arial" w:eastAsia="Arial" w:hAnsi="Arial"/>
          <w:b/>
          <w:bCs/>
          <w:color w:val="7300BF"/>
          <w:sz w:val="24"/>
          <w:szCs w:val="24"/>
        </w:rPr>
        <w:t xml:space="preserve">STRING-10</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STRING for all interactions involving the DEE gene GNAO1 and filter to return only those with experimental evidence scores &gt; 0, excluding text-mining-only associations.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key experimentally validated interactors including GNB1, GNB2 (G-protein beta subunits), RGS proteins (RGS7, RGS17), and ADCY (adenylyl cyclase) family members. The filtered network should be substantially smaller than the unfiltered default. Pass criteria: GNB1 and GNB2 appear; result count is smaller than unfiltered query.</w:t>
      </w:r>
    </w:p>
    <w:p>
      <w:r>
        <w:br w:type="page"/>
      </w:r>
    </w:p>
    <w:p>
      <w:pPr>
        <w:pStyle w:val="Heading2"/>
      </w:pPr>
      <w:r>
        <w:rPr>
          <w:rFonts w:ascii="Arial" w:cs="Arial" w:eastAsia="Arial" w:hAnsi="Arial"/>
          <w:b/>
          <w:bCs/>
          <w:sz w:val="28"/>
          <w:szCs w:val="28"/>
        </w:rPr>
        <w:t xml:space="preserve">PubMed — PubMed / NCBI E-utilities</w:t>
      </w:r>
    </w:p>
    <w:p>
      <w:pPr>
        <w:spacing w:after="80"/>
      </w:pPr>
      <w:r>
        <w:rPr>
          <w:rFonts w:ascii="Arial" w:cs="Arial" w:eastAsia="Arial" w:hAnsi="Arial"/>
          <w:b/>
          <w:bCs/>
          <w:sz w:val="24"/>
          <w:szCs w:val="24"/>
        </w:rPr>
        <w:t xml:space="preserve">Referenced in: </w:t>
      </w:r>
      <w:r>
        <w:rPr>
          <w:rFonts w:ascii="Arial" w:cs="Arial" w:eastAsia="Arial" w:hAnsi="Arial"/>
          <w:sz w:val="24"/>
          <w:szCs w:val="24"/>
        </w:rPr>
        <w:t xml:space="preserve">19 of 100 pipelines</w:t>
      </w:r>
    </w:p>
    <w:p>
      <w:pPr>
        <w:spacing w:after="200"/>
      </w:pPr>
      <w:r>
        <w:rPr>
          <w:rFonts w:ascii="Arial" w:cs="Arial" w:eastAsia="Arial" w:hAnsi="Arial"/>
          <w:b/>
          <w:bCs/>
          <w:sz w:val="24"/>
          <w:szCs w:val="24"/>
        </w:rPr>
        <w:t xml:space="preserve">API Access: </w:t>
      </w:r>
      <w:r>
        <w:rPr>
          <w:rFonts w:ascii="Arial" w:cs="Arial" w:eastAsia="Arial" w:hAnsi="Arial"/>
          <w:sz w:val="24"/>
          <w:szCs w:val="24"/>
        </w:rPr>
        <w:t xml:space="preserve">NCBI E-utilities (esearch, efetch, elink); ESearch for ID retrieval, EFetch for abstracts/metadata; rate limit 3 req/sec with API key</w:t>
      </w:r>
    </w:p>
    <w:p>
      <w:pPr>
        <w:spacing w:before="200"/>
      </w:pPr>
      <w:r>
        <w:rPr>
          <w:rFonts w:ascii="Arial" w:cs="Arial" w:eastAsia="Arial" w:hAnsi="Arial"/>
          <w:b/>
          <w:bCs/>
          <w:color w:val="7300BF"/>
          <w:sz w:val="24"/>
          <w:szCs w:val="24"/>
        </w:rPr>
        <w:t xml:space="preserve">PUBMED-01</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PubMed for all publications containing 'CDKL5' AND 'electrophysiology' AND ('iPSC' OR 'induced pluripotent') published between 2018-2024 and return the count, plus titles and PMIDs of the 5 most recent.</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publications characterizing CDKL5-deficient iPSC-derived neurons with electrophysiological readouts. All returned PMIDs must be valid and resolve to real articles. Pass criteria: at least 1 publication is returned; all PMIDs are valid; titles relate to CDKL5 neuronal electrophysiology.</w:t>
      </w:r>
    </w:p>
    <w:p>
      <w:pPr>
        <w:spacing w:before="200"/>
      </w:pPr>
      <w:r>
        <w:rPr>
          <w:rFonts w:ascii="Arial" w:cs="Arial" w:eastAsia="Arial" w:hAnsi="Arial"/>
          <w:b/>
          <w:bCs/>
          <w:color w:val="7300BF"/>
          <w:sz w:val="24"/>
          <w:szCs w:val="24"/>
        </w:rPr>
        <w:t xml:space="preserve">PUBMED-02</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abstract for PMID 24952910 (Hochbaum et al. 2014, Nature Methods — the foundational Optopatch all-optical electrophysiology paper) and extract the key methodological claims about throughput and sensitivity.</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the abstract for Hochbaum et al. 'All-optical electrophysiology in mammalian neurons using engineered microbial rhodopsins' (Nature Methods, 2014). Abstract should describe all-optical electrophysiology using Archaerhodopsin-based voltage indicators and channelrhodopsin actuators. Pass criteria: abstract text is returned; it mentions voltage imaging and optogenetic stimulation in neurons.</w:t>
      </w:r>
    </w:p>
    <w:p>
      <w:pPr>
        <w:spacing w:before="200"/>
      </w:pPr>
      <w:r>
        <w:rPr>
          <w:rFonts w:ascii="Arial" w:cs="Arial" w:eastAsia="Arial" w:hAnsi="Arial"/>
          <w:b/>
          <w:bCs/>
          <w:color w:val="7300BF"/>
          <w:sz w:val="24"/>
          <w:szCs w:val="24"/>
        </w:rPr>
        <w:t xml:space="preserve">PUBMED-03</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PubMed for review articles on 'developmental epileptic encephalopathy' AND 'genetic' published in the last 3 years, filtered to review article type, and return the top 10 by relevance.</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reviews from established epilepsy and neurology journals. Results must be filtered to [Review] publication type. Pass criteria: all returned articles are review type; titles relate to DEE genetics, classification, or treatment.</w:t>
      </w:r>
    </w:p>
    <w:p>
      <w:pPr>
        <w:spacing w:before="200"/>
      </w:pPr>
      <w:r>
        <w:rPr>
          <w:rFonts w:ascii="Arial" w:cs="Arial" w:eastAsia="Arial" w:hAnsi="Arial"/>
          <w:b/>
          <w:bCs/>
          <w:color w:val="7300BF"/>
          <w:sz w:val="24"/>
          <w:szCs w:val="24"/>
        </w:rPr>
        <w:t xml:space="preserve">PUBMED-04</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gene STXBP1, retrieve the total number of PubMed citations, then filter to those that also mention 'epilepsy' or 'seizure', and report the ratio.</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STXBP1 has a substantial body of literature with a significant fraction relating to epilepsy (approximately 30-50% of total STXBP1 citations also mention epilepsy/seizure). Pass criteria: both total and filtered counts are returned; the epilepsy subset is a meaningful fraction of total.</w:t>
      </w:r>
    </w:p>
    <w:p>
      <w:pPr>
        <w:spacing w:before="200"/>
      </w:pPr>
      <w:r>
        <w:rPr>
          <w:rFonts w:ascii="Arial" w:cs="Arial" w:eastAsia="Arial" w:hAnsi="Arial"/>
          <w:b/>
          <w:bCs/>
          <w:color w:val="7300BF"/>
          <w:sz w:val="24"/>
          <w:szCs w:val="24"/>
        </w:rPr>
        <w:t xml:space="preserve">PUBMED-05</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PubMed for publications mentioning at least two of these DEE genes together: SCN1A, SCN2A, SCN8A, KCNQ2, and return results sorted by date (most recent first), limited to 10.</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multi-gene studies comparing sodium and potassium channelopathies. Results should include genotype-phenotype correlation studies and possibly comparative functional or precision medicine reviews. Pass criteria: returned articles mention at least 2 of the queried genes; PMIDs are valid.</w:t>
      </w:r>
    </w:p>
    <w:p>
      <w:pPr>
        <w:spacing w:before="200"/>
      </w:pPr>
      <w:r>
        <w:rPr>
          <w:rFonts w:ascii="Arial" w:cs="Arial" w:eastAsia="Arial" w:hAnsi="Arial"/>
          <w:b/>
          <w:bCs/>
          <w:color w:val="7300BF"/>
          <w:sz w:val="24"/>
          <w:szCs w:val="24"/>
        </w:rPr>
        <w:t xml:space="preserve">PUBMED-06</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Use PubMed ELink to find all related articles for PMID 25363760 (Epi4K consortium paper on de novo mutations in epileptic encephalopathies) and return the top 5 most related.</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PMID 25363760 is a confirmed Epi4K consortium paper. Related articles should include other large-scale epilepsy genetics studies and reviews of de novo mutations in neurodevelopmental disorders. Pass criteria: all returned PMIDs are valid; at least 3 relate to epilepsy or neurodevelopmental genetics.</w:t>
      </w:r>
    </w:p>
    <w:p>
      <w:pPr>
        <w:spacing w:before="200"/>
      </w:pPr>
      <w:r>
        <w:rPr>
          <w:rFonts w:ascii="Arial" w:cs="Arial" w:eastAsia="Arial" w:hAnsi="Arial"/>
          <w:b/>
          <w:bCs/>
          <w:color w:val="7300BF"/>
          <w:sz w:val="24"/>
          <w:szCs w:val="24"/>
        </w:rPr>
        <w:t xml:space="preserve">PUBMED-07</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PubMed for 'CRISPR knockout' AND 'iPSC neurons' AND 'electrophysiology' to find methodological precedents for the Angelini screening approach.</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publications describing CRISPR-based genetic perturbation in iPSC-derived neurons with electrophysiological readouts. This is an emerging field, so result count may be modest. Pass criteria: at least 1 relevant publication is returned; PMIDs are valid.</w:t>
      </w:r>
    </w:p>
    <w:p>
      <w:pPr>
        <w:spacing w:before="200"/>
      </w:pPr>
      <w:r>
        <w:rPr>
          <w:rFonts w:ascii="Arial" w:cs="Arial" w:eastAsia="Arial" w:hAnsi="Arial"/>
          <w:b/>
          <w:bCs/>
          <w:color w:val="7300BF"/>
          <w:sz w:val="24"/>
          <w:szCs w:val="24"/>
        </w:rPr>
        <w:t xml:space="preserve">PUBMED-08</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MeSH terms associated with the DEE gene MECP2 from PubMed and identify the top 5 most frequently co-occurring MeSH headings.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Top MeSH terms must include 'Rett Syndrome' and 'Methyl-CpG-Binding Protein 2/genetics'. Other expected terms include 'Epigenesis, Genetic', 'Neurons/metabolism', and 'Intellectual Disability'. Pass criteria: 'Rett Syndrome' appears in the top 5 MeSH terms.</w:t>
      </w:r>
    </w:p>
    <w:p>
      <w:pPr>
        <w:spacing w:before="200"/>
      </w:pPr>
      <w:r>
        <w:rPr>
          <w:rFonts w:ascii="Arial" w:cs="Arial" w:eastAsia="Arial" w:hAnsi="Arial"/>
          <w:b/>
          <w:bCs/>
          <w:color w:val="7300BF"/>
          <w:sz w:val="24"/>
          <w:szCs w:val="24"/>
        </w:rPr>
        <w:t xml:space="preserve">PUBMED-09</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PubMed for clinical trials involving 'antisense oligonucleotide' AND ('epilepsy' OR 'seizure' OR 'DEE') and return the count and most recent 5 publications.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publications on ASO therapies for epilepsy, including STK-001 (zorevunersen) for Dravet syndrome. May also reference nusinersen (SMA) as precedent for ASO therapeutics in neurological disease. Pass criteria: at least 1 publication is returned; PMIDs are valid.</w:t>
      </w:r>
    </w:p>
    <w:p>
      <w:pPr>
        <w:spacing w:before="200"/>
      </w:pPr>
      <w:r>
        <w:rPr>
          <w:rFonts w:ascii="Arial" w:cs="Arial" w:eastAsia="Arial" w:hAnsi="Arial"/>
          <w:b/>
          <w:bCs/>
          <w:color w:val="7300BF"/>
          <w:sz w:val="24"/>
          <w:szCs w:val="24"/>
        </w:rPr>
        <w:t xml:space="preserve">PUBMED-10</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PubMed for 'common node' AND 'epilepsy' OR 'shared mechanism' AND 'developmental epileptic encephalopathy' to assess existing literature on the common nodes concept.</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few or no results specific to the Quiver/Angelini 'common nodes' framework, confirming that this is a novel analytical approach to DEE. Pass criteria: the absence of directly relevant results is itself the validation — confirms framework novelty.</w:t>
      </w:r>
    </w:p>
    <w:p>
      <w:r>
        <w:br w:type="page"/>
      </w:r>
    </w:p>
    <w:p>
      <w:pPr>
        <w:pStyle w:val="Heading2"/>
      </w:pPr>
      <w:r>
        <w:rPr>
          <w:rFonts w:ascii="Arial" w:cs="Arial" w:eastAsia="Arial" w:hAnsi="Arial"/>
          <w:b/>
          <w:bCs/>
          <w:sz w:val="28"/>
          <w:szCs w:val="28"/>
        </w:rPr>
        <w:t xml:space="preserve">Reactome — Reactome Pathway Database</w:t>
      </w:r>
    </w:p>
    <w:p>
      <w:pPr>
        <w:spacing w:after="80"/>
      </w:pPr>
      <w:r>
        <w:rPr>
          <w:rFonts w:ascii="Arial" w:cs="Arial" w:eastAsia="Arial" w:hAnsi="Arial"/>
          <w:b/>
          <w:bCs/>
          <w:sz w:val="24"/>
          <w:szCs w:val="24"/>
        </w:rPr>
        <w:t xml:space="preserve">Referenced in: </w:t>
      </w:r>
      <w:r>
        <w:rPr>
          <w:rFonts w:ascii="Arial" w:cs="Arial" w:eastAsia="Arial" w:hAnsi="Arial"/>
          <w:sz w:val="24"/>
          <w:szCs w:val="24"/>
        </w:rPr>
        <w:t xml:space="preserve">15 of 100 pipelines</w:t>
      </w:r>
    </w:p>
    <w:p>
      <w:pPr>
        <w:spacing w:after="200"/>
      </w:pPr>
      <w:r>
        <w:rPr>
          <w:rFonts w:ascii="Arial" w:cs="Arial" w:eastAsia="Arial" w:hAnsi="Arial"/>
          <w:b/>
          <w:bCs/>
          <w:sz w:val="24"/>
          <w:szCs w:val="24"/>
        </w:rPr>
        <w:t xml:space="preserve">API Access: </w:t>
      </w:r>
      <w:r>
        <w:rPr>
          <w:rFonts w:ascii="Arial" w:cs="Arial" w:eastAsia="Arial" w:hAnsi="Arial"/>
          <w:sz w:val="24"/>
          <w:szCs w:val="24"/>
        </w:rPr>
        <w:t xml:space="preserve">REST API at https://reactome.org/ContentService; supports pathway queries, enrichment analysis, species filtering</w:t>
      </w:r>
    </w:p>
    <w:p>
      <w:pPr>
        <w:spacing w:before="200"/>
      </w:pPr>
      <w:r>
        <w:rPr>
          <w:rFonts w:ascii="Arial" w:cs="Arial" w:eastAsia="Arial" w:hAnsi="Arial"/>
          <w:b/>
          <w:bCs/>
          <w:color w:val="7300BF"/>
          <w:sz w:val="24"/>
          <w:szCs w:val="24"/>
        </w:rPr>
        <w:t xml:space="preserve">REACTOME-01</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Reactome for all pathways that include SCN1A (Nav1.1) and return the pathway names, stable IDs, and hierarchy (top-level pathway category).</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pathways including 'Neuronal System' (R-HSA-112316) and 'Phase 0 - rapid depolarisation' (R-HSA-5576892). Top-level category should be 'Neuronal System' under 'Signal Transduction'. Stable IDs must be valid R-HSA identifiers. Pass criteria: R-HSA-112316 appears in results.</w:t>
      </w:r>
    </w:p>
    <w:p>
      <w:pPr>
        <w:spacing w:before="200"/>
      </w:pPr>
      <w:r>
        <w:rPr>
          <w:rFonts w:ascii="Arial" w:cs="Arial" w:eastAsia="Arial" w:hAnsi="Arial"/>
          <w:b/>
          <w:bCs/>
          <w:color w:val="7300BF"/>
          <w:sz w:val="24"/>
          <w:szCs w:val="24"/>
        </w:rPr>
        <w:t xml:space="preserve">REACTOME-02</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Perform pathway enrichment analysis on the gene set {CDKL5, MECP2, FOXG1, TCF4, STXBP1, SYNGAP1, GRIN2A, GRIN2B} and return the top 10 enriched Reactome pathways with FDR-corrected p-values.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Top enriched pathways should relate to synaptic transmission and postsynaptic signaling, such as 'Transmission across Chemical Synapses' and 'Neurotransmitter receptors and postsynaptic signal transmission'. Pass criteria: synaptic signaling pathways dominate the top enrichment results; FDR values are returned for each pathway.</w:t>
      </w:r>
    </w:p>
    <w:p>
      <w:pPr>
        <w:spacing w:before="200"/>
      </w:pPr>
      <w:r>
        <w:rPr>
          <w:rFonts w:ascii="Arial" w:cs="Arial" w:eastAsia="Arial" w:hAnsi="Arial"/>
          <w:b/>
          <w:bCs/>
          <w:color w:val="7300BF"/>
          <w:sz w:val="24"/>
          <w:szCs w:val="24"/>
        </w:rPr>
        <w:t xml:space="preserve">REACTOME-03</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all genes participating in the Reactome pathway 'Neuronal System' (R-HSA-112316) and identify which ones overlap with the 131 DEE gene list.</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The Neuronal System pathway contains approximately 400+ genes (per GSEA gene set annotations). Overlap with the 131 DEE genes should include most ion channel genes (SCN family, KCNQ family, GRIN family, CACNA1A) and synaptic transmission genes. Pass criteria: SCN1A, KCNQ2, GRIN2A all appear in the pathway gene list.</w:t>
      </w:r>
    </w:p>
    <w:p>
      <w:pPr>
        <w:spacing w:before="200"/>
      </w:pPr>
      <w:r>
        <w:rPr>
          <w:rFonts w:ascii="Arial" w:cs="Arial" w:eastAsia="Arial" w:hAnsi="Arial"/>
          <w:b/>
          <w:bCs/>
          <w:color w:val="7300BF"/>
          <w:sz w:val="24"/>
          <w:szCs w:val="24"/>
        </w:rPr>
        <w:t xml:space="preserve">REACTOME-04</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gene KCNQ2, retrieve its Reactome pathway memberships and compare with KCNQ3's pathway memberships to determine the degree of pathway overlap.</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KCNQ2 and KCNQ3 should share the large majority of their pathway memberships since they form heteromeric M-channels co-localized at axon initial segments via ankyrins. Shared pathways should include 'Potassium Channels' and 'Neuronal System'. Pass criteria: KCNQ2 and KCNQ3 share multiple pathway memberships.</w:t>
      </w:r>
    </w:p>
    <w:p>
      <w:pPr>
        <w:spacing w:before="200"/>
      </w:pPr>
      <w:r>
        <w:rPr>
          <w:rFonts w:ascii="Arial" w:cs="Arial" w:eastAsia="Arial" w:hAnsi="Arial"/>
          <w:b/>
          <w:bCs/>
          <w:color w:val="7300BF"/>
          <w:sz w:val="24"/>
          <w:szCs w:val="24"/>
        </w:rPr>
        <w:t xml:space="preserve">REACTOME-05</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Reactome for all 'Signal Transduction' sub-pathways that contain at least 3 genes from the set {SYNGAP1, MAPK1, MAPK3, HRAS, KRAS, BRAF, NF1}.</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RAS-MAPK cascade pathways. SYNGAP1 should appear as a negative regulator of RAS signaling (RAS GTPase-activating protein). NF1 should appear in neurofibromin/RAS pathway regulation. R-HSA-167044 ('Signalling to RAS') is a confirmed relevant pathway. Pass criteria: at least one RAS/MAPK pathway is returned containing 3+ of the queried genes.</w:t>
      </w:r>
    </w:p>
    <w:p>
      <w:pPr>
        <w:spacing w:before="200"/>
      </w:pPr>
      <w:r>
        <w:rPr>
          <w:rFonts w:ascii="Arial" w:cs="Arial" w:eastAsia="Arial" w:hAnsi="Arial"/>
          <w:b/>
          <w:bCs/>
          <w:color w:val="7300BF"/>
          <w:sz w:val="24"/>
          <w:szCs w:val="24"/>
        </w:rPr>
        <w:t xml:space="preserve">REACTOME-06</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Reactome pathway diagram data for 'Transmission across Chemical Synapses' (R-HSA-112315) and list all participating protein entities.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a comprehensive list of synaptic transmission proteins. Must include presynaptic proteins (SYT1, SV2A, VAMP2) and postsynaptic proteins (DLG4, GRIN subunits, GRIA subunits). Pass criteria: R-HSA-112315 resolves correctly; SYT1, VAMP2, and DLG4 all appear.</w:t>
      </w:r>
    </w:p>
    <w:p>
      <w:pPr>
        <w:spacing w:before="200"/>
      </w:pPr>
      <w:r>
        <w:rPr>
          <w:rFonts w:ascii="Arial" w:cs="Arial" w:eastAsia="Arial" w:hAnsi="Arial"/>
          <w:b/>
          <w:bCs/>
          <w:color w:val="7300BF"/>
          <w:sz w:val="24"/>
          <w:szCs w:val="24"/>
        </w:rPr>
        <w:t xml:space="preserve">REACTOME-07</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Perform Reactome enrichment on two separate gene sets representing hypothetical functional clusters: Cluster A = {SCN1A, SCN2A, SCN8A, KCNQ2, KCNQ3} and Cluster B = {SYNGAP1, GRIN2A, GRIN2B, SHANK3, DLG4}. Compare their top enriched pathways.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Cluster A should enrich for voltage-gated ion channel pathways and action potential generation. Cluster B should enrich for postsynaptic signaling and glutamatergic synapse pathways. The two clusters should show distinct pathway profiles. Pass criteria: the top enriched pathways for each cluster are non-overlapping and reflect their distinct biology.</w:t>
      </w:r>
    </w:p>
    <w:p>
      <w:pPr>
        <w:spacing w:before="200"/>
      </w:pPr>
      <w:r>
        <w:rPr>
          <w:rFonts w:ascii="Arial" w:cs="Arial" w:eastAsia="Arial" w:hAnsi="Arial"/>
          <w:b/>
          <w:bCs/>
          <w:color w:val="7300BF"/>
          <w:sz w:val="24"/>
          <w:szCs w:val="24"/>
        </w:rPr>
        <w:t xml:space="preserve">REACTOME-08</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whether the Reactome pathway 'Circadian Clock' (R-HSA-400253) has any overlap with the 131 DEE genes, as a negative control to test specificity.</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minimal or zero overlap (0-2 genes) between circadian clock pathway genes and the DEE gene list. DEE genes encode ion channels and synaptic proteins, not circadian regulators. Pass criteria: overlap count is very low (0-2), confirming pathway specificity.</w:t>
      </w:r>
    </w:p>
    <w:p>
      <w:pPr>
        <w:spacing w:before="200"/>
      </w:pPr>
      <w:r>
        <w:rPr>
          <w:rFonts w:ascii="Arial" w:cs="Arial" w:eastAsia="Arial" w:hAnsi="Arial"/>
          <w:b/>
          <w:bCs/>
          <w:color w:val="7300BF"/>
          <w:sz w:val="24"/>
          <w:szCs w:val="24"/>
        </w:rPr>
        <w:t xml:space="preserve">REACTOME-09</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STXBP1, retrieve its Reactome interactors (reaction participants that directly interact with STXBP1 within pathway reactions) and compare with STRING interactors.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Reactome must return SNARE complex members STX1A, SNAP25, and VAMP2 as direct interaction partners in vesicle fusion reactions. These should overlap with STRING physical interactors. Reactome provides additional pathway context by placing these interactions within neurotransmitter release steps. Pass criteria: STX1A and SNAP25 appear in Reactome interactions.</w:t>
      </w:r>
    </w:p>
    <w:p>
      <w:pPr>
        <w:spacing w:before="200"/>
      </w:pPr>
      <w:r>
        <w:rPr>
          <w:rFonts w:ascii="Arial" w:cs="Arial" w:eastAsia="Arial" w:hAnsi="Arial"/>
          <w:b/>
          <w:bCs/>
          <w:color w:val="7300BF"/>
          <w:sz w:val="24"/>
          <w:szCs w:val="24"/>
        </w:rPr>
        <w:t xml:space="preserve">REACTOME-10</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Reactome pathway hierarchy for all pathways containing CACNA1A (P/Q-type calcium channel) and return the full path from root to leaf pathway.</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a pathway hierarchy including 'Neuronal System' and 'Presynaptic depolarization and calcium channel opening' (R-HSA-112308). CACNA1A encodes the P/Q-type calcium channel (Cav2.1). Pass criteria: at least one pathway hierarchy is returned with valid R-HSA identifiers.</w:t>
      </w:r>
    </w:p>
    <w:p>
      <w:r>
        <w:br w:type="page"/>
      </w:r>
    </w:p>
    <w:p>
      <w:pPr>
        <w:pStyle w:val="Heading2"/>
      </w:pPr>
      <w:r>
        <w:rPr>
          <w:rFonts w:ascii="Arial" w:cs="Arial" w:eastAsia="Arial" w:hAnsi="Arial"/>
          <w:b/>
          <w:bCs/>
          <w:sz w:val="28"/>
          <w:szCs w:val="28"/>
        </w:rPr>
        <w:t xml:space="preserve">GEO — Gene Expression Omnibus (NCBI GEO)</w:t>
      </w:r>
    </w:p>
    <w:p>
      <w:pPr>
        <w:spacing w:after="80"/>
      </w:pPr>
      <w:r>
        <w:rPr>
          <w:rFonts w:ascii="Arial" w:cs="Arial" w:eastAsia="Arial" w:hAnsi="Arial"/>
          <w:b/>
          <w:bCs/>
          <w:sz w:val="24"/>
          <w:szCs w:val="24"/>
        </w:rPr>
        <w:t xml:space="preserve">Referenced in: </w:t>
      </w:r>
      <w:r>
        <w:rPr>
          <w:rFonts w:ascii="Arial" w:cs="Arial" w:eastAsia="Arial" w:hAnsi="Arial"/>
          <w:sz w:val="24"/>
          <w:szCs w:val="24"/>
        </w:rPr>
        <w:t xml:space="preserve">13 of 100 pipelines</w:t>
      </w:r>
    </w:p>
    <w:p>
      <w:pPr>
        <w:spacing w:after="200"/>
      </w:pPr>
      <w:r>
        <w:rPr>
          <w:rFonts w:ascii="Arial" w:cs="Arial" w:eastAsia="Arial" w:hAnsi="Arial"/>
          <w:b/>
          <w:bCs/>
          <w:sz w:val="24"/>
          <w:szCs w:val="24"/>
        </w:rPr>
        <w:t xml:space="preserve">API Access: </w:t>
      </w:r>
      <w:r>
        <w:rPr>
          <w:rFonts w:ascii="Arial" w:cs="Arial" w:eastAsia="Arial" w:hAnsi="Arial"/>
          <w:sz w:val="24"/>
          <w:szCs w:val="24"/>
        </w:rPr>
        <w:t xml:space="preserve">GEO Query via E-utilities; GEOquery R package; search via GDS browser or esearch with db=gds; series (GSE), samples (GSM), datasets (GDS)</w:t>
      </w:r>
    </w:p>
    <w:p>
      <w:pPr>
        <w:spacing w:before="200"/>
      </w:pPr>
      <w:r>
        <w:rPr>
          <w:rFonts w:ascii="Arial" w:cs="Arial" w:eastAsia="Arial" w:hAnsi="Arial"/>
          <w:b/>
          <w:bCs/>
          <w:color w:val="7300BF"/>
          <w:sz w:val="24"/>
          <w:szCs w:val="24"/>
        </w:rPr>
        <w:t xml:space="preserve">GEO-01</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GEO for datasets containing 'iPSC neurons' AND 'RNA-seq' AND ('epilepsy' OR 'DEE' OR 'developmental epileptic encephalopathy') and return the 5 most recent series (GSE) accessions with descriptions.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GSE accessions for iPSC-neuron transcriptomic studies in epilepsy models. Studies may cover SCN1A/Dravet, CDKL5, MECP2/Rett, or STXBP1 iPSC models. Pass criteria: at least 1 valid GSE accession is returned; each result has a descriptive title and valid GSE ID format.</w:t>
      </w:r>
    </w:p>
    <w:p>
      <w:pPr>
        <w:spacing w:before="200"/>
      </w:pPr>
      <w:r>
        <w:rPr>
          <w:rFonts w:ascii="Arial" w:cs="Arial" w:eastAsia="Arial" w:hAnsi="Arial"/>
          <w:b/>
          <w:bCs/>
          <w:color w:val="7300BF"/>
          <w:sz w:val="24"/>
          <w:szCs w:val="24"/>
        </w:rPr>
        <w:t xml:space="preserve">GEO-02</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metadata for a DEE-relevant iPSC-neuron RNA-seq dataset from GEO (e.g., a MECP2 or SCN1A study) including organism, platform, number of samples, and experimental design.</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complete metadata for a valid GEO series: Homo sapiens organism, RNA-seq platform (Illumina), sample count, and experimental conditions (e.g., mutant vs. isogenic control). Known relevant datasets include GSE128380 and GSE107399 (MECP2-related). Pass criteria: metadata fields are populated; organism is Homo sapiens.</w:t>
      </w:r>
    </w:p>
    <w:p>
      <w:pPr>
        <w:spacing w:before="200"/>
      </w:pPr>
      <w:r>
        <w:rPr>
          <w:rFonts w:ascii="Arial" w:cs="Arial" w:eastAsia="Arial" w:hAnsi="Arial"/>
          <w:b/>
          <w:bCs/>
          <w:color w:val="7300BF"/>
          <w:sz w:val="24"/>
          <w:szCs w:val="24"/>
        </w:rPr>
        <w:t xml:space="preserve">GEO-03</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GEO for expression profiles where the gene CDKL5 is measured and the study organism is Homo sapiens, and return studies that include neuronal cell types.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GEO profiles showing CDKL5 expression in human neural tissues and iPSC-derived neurons. CDKL5 is expressed in excitatory neurons, validating its relevance for the NGN2 neuron screening platform. Pass criteria: at least 1 expression profile is returned for CDKL5 in human neural tissue.</w:t>
      </w:r>
    </w:p>
    <w:p>
      <w:pPr>
        <w:spacing w:before="200"/>
      </w:pPr>
      <w:r>
        <w:rPr>
          <w:rFonts w:ascii="Arial" w:cs="Arial" w:eastAsia="Arial" w:hAnsi="Arial"/>
          <w:b/>
          <w:bCs/>
          <w:color w:val="7300BF"/>
          <w:sz w:val="24"/>
          <w:szCs w:val="24"/>
        </w:rPr>
        <w:t xml:space="preserve">GEO-04</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GEO for CRISPR screen datasets in iPSC-derived neurons (search: 'CRISPR' AND 'iPSC' AND 'neuron' AND 'screen') and count the total number of available series.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a modest number of series, reflecting the emerging nature of iPSC-neuron CRISPR screens. Known example: GSE124703. This validates that the Angelini/Quiver approach is at the frontier of the field. Pass criteria: search executes successfully; count is returned.</w:t>
      </w:r>
    </w:p>
    <w:p>
      <w:pPr>
        <w:spacing w:before="200"/>
      </w:pPr>
      <w:r>
        <w:rPr>
          <w:rFonts w:ascii="Arial" w:cs="Arial" w:eastAsia="Arial" w:hAnsi="Arial"/>
          <w:b/>
          <w:bCs/>
          <w:color w:val="7300BF"/>
          <w:sz w:val="24"/>
          <w:szCs w:val="24"/>
        </w:rPr>
        <w:t xml:space="preserve">GEO-05</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sample-level metadata for a specific GEO series containing MECP2-knockout iPSC-neuron RNA-seq data and list all sample names, conditions, and replicates.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structured metadata with sample names, condition labels (e.g., wildtype vs. MECP2-KO), and replicate information. Known MECP2 RNA-seq datasets include GSE128380, GSE107399, and GSE123753. Pass criteria: sample names and condition labels are returned; replicate structure is identifiable.</w:t>
      </w:r>
    </w:p>
    <w:p>
      <w:pPr>
        <w:spacing w:before="200"/>
      </w:pPr>
      <w:r>
        <w:rPr>
          <w:rFonts w:ascii="Arial" w:cs="Arial" w:eastAsia="Arial" w:hAnsi="Arial"/>
          <w:b/>
          <w:bCs/>
          <w:color w:val="7300BF"/>
          <w:sz w:val="24"/>
          <w:szCs w:val="24"/>
        </w:rPr>
        <w:t xml:space="preserve">GEO-06</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GEO DataSets for datasets profiling human brain development and return results filtered to RNA-seq platforms with &gt;= 50 samples.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large-scale brain development datasets. The BrainSpan Developmental Transcriptome is a key expected result, containing data from 16 brain regions across developmental timepoints from prenatal through postnatal (age 40). Pass criteria: at least 1 result with &gt;= 50 samples is returned.</w:t>
      </w:r>
    </w:p>
    <w:p>
      <w:pPr>
        <w:spacing w:before="200"/>
      </w:pPr>
      <w:r>
        <w:rPr>
          <w:rFonts w:ascii="Arial" w:cs="Arial" w:eastAsia="Arial" w:hAnsi="Arial"/>
          <w:b/>
          <w:bCs/>
          <w:color w:val="7300BF"/>
          <w:sz w:val="24"/>
          <w:szCs w:val="24"/>
        </w:rPr>
        <w:t xml:space="preserve">GEO-07</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DEE gene SCN1A, query GEO Profiles to retrieve its expression level across available human brain tissue datasets and compare expression in cortex vs. cerebellum.</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SCN1A should show higher expression in cortex and hippocampus compared to cerebellum, consistent with its role in cortical inhibitory interneurons and excitatory neurons. Pass criteria: expression data is returned for SCN1A; cortical expression is detectable.</w:t>
      </w:r>
    </w:p>
    <w:p>
      <w:pPr>
        <w:spacing w:before="200"/>
      </w:pPr>
      <w:r>
        <w:rPr>
          <w:rFonts w:ascii="Arial" w:cs="Arial" w:eastAsia="Arial" w:hAnsi="Arial"/>
          <w:b/>
          <w:bCs/>
          <w:color w:val="7300BF"/>
          <w:sz w:val="24"/>
          <w:szCs w:val="24"/>
        </w:rPr>
        <w:t xml:space="preserve">GEO-08</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GEO for all RNA-seq datasets from NGN2-programmed (NEUROG2-induced) human neurons and return series accessions with publication references.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datasets from labs using the NGN2 transcriptional programming protocol (based on Zhang et al. 2013 methodology). These validate GEO as a source for benchmarking the specific cell type used in the Angelini screen. Pass criteria: at least 1 valid GSE accession is returned for NGN2-programmed neurons.</w:t>
      </w:r>
    </w:p>
    <w:p>
      <w:pPr>
        <w:spacing w:before="200"/>
      </w:pPr>
      <w:r>
        <w:rPr>
          <w:rFonts w:ascii="Arial" w:cs="Arial" w:eastAsia="Arial" w:hAnsi="Arial"/>
          <w:b/>
          <w:bCs/>
          <w:color w:val="7300BF"/>
          <w:sz w:val="24"/>
          <w:szCs w:val="24"/>
        </w:rPr>
        <w:t xml:space="preserve">GEO-09</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supplementary files available for a specific GEO series (e.g., processed count matrices, differential expression tables) to assess data reusability for cross-validation.</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links to supplementary files including raw count matrices, normalized expression tables, or DEG lists. NCBI provides computed raw count matrices for most RNA-seq series. File formats typically include TXT, CSV, or Excel. Pass criteria: at least 1 supplementary file link is returned.</w:t>
      </w:r>
    </w:p>
    <w:p>
      <w:pPr>
        <w:spacing w:before="200"/>
      </w:pPr>
      <w:r>
        <w:rPr>
          <w:rFonts w:ascii="Arial" w:cs="Arial" w:eastAsia="Arial" w:hAnsi="Arial"/>
          <w:b/>
          <w:bCs/>
          <w:color w:val="7300BF"/>
          <w:sz w:val="24"/>
          <w:szCs w:val="24"/>
        </w:rPr>
        <w:t xml:space="preserve">GEO-10</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GEO for bulk RNA-seq datasets involving genetic knockout or knockdown (CRISPR or RNAi) of any of the 131 DEE genes in human cell lines or neurons.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a small number of directly relevant datasets, likely for well-studied genes like SCN1A, MECP2, or CDKL5. Note: CRISPRi (interference) is often preferred over CRISPRn (nuclease) in iPSC-derived neurons due to lower DNA damage toxicity. Many of the 131 DEE genes may lack GEO perturbation data, highlighting the novelty of the Angelini Phase 1.2 dataset. Pass criteria: search executes; results (if any) have valid GSE IDs.</w:t>
      </w:r>
    </w:p>
    <w:p>
      <w:r>
        <w:br w:type="page"/>
      </w:r>
    </w:p>
    <w:p>
      <w:pPr>
        <w:pStyle w:val="Heading2"/>
      </w:pPr>
      <w:r>
        <w:rPr>
          <w:rFonts w:ascii="Arial" w:cs="Arial" w:eastAsia="Arial" w:hAnsi="Arial"/>
          <w:b/>
          <w:bCs/>
          <w:sz w:val="28"/>
          <w:szCs w:val="28"/>
        </w:rPr>
        <w:t xml:space="preserve">ChEMBL — ChEMBL Bioactivity Database</w:t>
      </w:r>
    </w:p>
    <w:p>
      <w:pPr>
        <w:spacing w:after="80"/>
      </w:pPr>
      <w:r>
        <w:rPr>
          <w:rFonts w:ascii="Arial" w:cs="Arial" w:eastAsia="Arial" w:hAnsi="Arial"/>
          <w:b/>
          <w:bCs/>
          <w:sz w:val="24"/>
          <w:szCs w:val="24"/>
        </w:rPr>
        <w:t xml:space="preserve">Referenced in: </w:t>
      </w:r>
      <w:r>
        <w:rPr>
          <w:rFonts w:ascii="Arial" w:cs="Arial" w:eastAsia="Arial" w:hAnsi="Arial"/>
          <w:sz w:val="24"/>
          <w:szCs w:val="24"/>
        </w:rPr>
        <w:t xml:space="preserve">12 of 100 pipelines</w:t>
      </w:r>
    </w:p>
    <w:p>
      <w:pPr>
        <w:spacing w:after="200"/>
      </w:pPr>
      <w:r>
        <w:rPr>
          <w:rFonts w:ascii="Arial" w:cs="Arial" w:eastAsia="Arial" w:hAnsi="Arial"/>
          <w:b/>
          <w:bCs/>
          <w:sz w:val="24"/>
          <w:szCs w:val="24"/>
        </w:rPr>
        <w:t xml:space="preserve">API Access: </w:t>
      </w:r>
      <w:r>
        <w:rPr>
          <w:rFonts w:ascii="Arial" w:cs="Arial" w:eastAsia="Arial" w:hAnsi="Arial"/>
          <w:sz w:val="24"/>
          <w:szCs w:val="24"/>
        </w:rPr>
        <w:t xml:space="preserve">REST API at https://www.ebi.ac.uk/chembl/api/data; supports target, compound, activity, and assay queries; ChEMBL IDs for targets and molecules</w:t>
      </w:r>
    </w:p>
    <w:p>
      <w:pPr>
        <w:spacing w:before="200"/>
      </w:pPr>
      <w:r>
        <w:rPr>
          <w:rFonts w:ascii="Arial" w:cs="Arial" w:eastAsia="Arial" w:hAnsi="Arial"/>
          <w:b/>
          <w:bCs/>
          <w:color w:val="7300BF"/>
          <w:sz w:val="24"/>
          <w:szCs w:val="24"/>
        </w:rPr>
        <w:t xml:space="preserve">CHEMBL-01</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all bioactivity data for the target SCN1A/Nav1.1 (ChEMBL target ID: CHEMBL4906) with activity type IC50 or EC50, and return the top 10 most potent compounds.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compounds with Nav1.1 activity including known sodium channel blockers. IC50 values should range from nanomolar to micromolar. Results should include compound ChEMBL IDs, canonical SMILES, and activity values with units. Pass criteria: CHEMBL4906 resolves as the correct SCN1A/Nav1.1 target; at least 1 bioactivity record is returned.</w:t>
      </w:r>
    </w:p>
    <w:p>
      <w:pPr>
        <w:spacing w:before="200"/>
      </w:pPr>
      <w:r>
        <w:rPr>
          <w:rFonts w:ascii="Arial" w:cs="Arial" w:eastAsia="Arial" w:hAnsi="Arial"/>
          <w:b/>
          <w:bCs/>
          <w:color w:val="7300BF"/>
          <w:sz w:val="24"/>
          <w:szCs w:val="24"/>
        </w:rPr>
        <w:t xml:space="preserve">CHEMBL-02</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ChEMBL for the target SYNGAP1 and report whether any bioactivity data exists for this target, including number of assays and compounds tested.</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very few or zero direct bioactivity records for SYNGAP1, confirming it is a novel/undrugged intracellular target (RasGAP family). This validates the use case for identifying targets that lack existing chemical matter. Pass criteria: query executes; the low or zero result count is itself the validation.</w:t>
      </w:r>
    </w:p>
    <w:p>
      <w:pPr>
        <w:spacing w:before="200"/>
      </w:pPr>
      <w:r>
        <w:rPr>
          <w:rFonts w:ascii="Arial" w:cs="Arial" w:eastAsia="Arial" w:hAnsi="Arial"/>
          <w:b/>
          <w:bCs/>
          <w:color w:val="7300BF"/>
          <w:sz w:val="24"/>
          <w:szCs w:val="24"/>
        </w:rPr>
        <w:t xml:space="preserve">CHEMBL-03</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compound carbamazepine (ChEMBL ID: CHEMBL108), retrieve all target annotations and identify which DEE gene targets it modulates.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targets including SCN1A, SCN2A, SCN8A (sodium channels), and potentially GRIN2A/2B (NMDA receptors at higher concentrations). CHEMBL108 is the verified ID for carbamazepine. Activity types should include IC50, Ki, and functional assay results. Pass criteria: CHEMBL108 resolves correctly; sodium channel targets appear.</w:t>
      </w:r>
    </w:p>
    <w:p>
      <w:pPr>
        <w:spacing w:before="200"/>
      </w:pPr>
      <w:r>
        <w:rPr>
          <w:rFonts w:ascii="Arial" w:cs="Arial" w:eastAsia="Arial" w:hAnsi="Arial"/>
          <w:b/>
          <w:bCs/>
          <w:color w:val="7300BF"/>
          <w:sz w:val="24"/>
          <w:szCs w:val="24"/>
        </w:rPr>
        <w:t xml:space="preserve">CHEMBL-04</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ChEMBL for all approved drugs that have bioactivity against any target in the KCNQ (Kv7) potassium channel family (KCNQ1-5) and return drug names, mechanisms, and clinical indications.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retigabine/ezogabine as a KCNQ2-5 opener (FDA approved June 2011 for epilepsy; withdrawn 2017 due to adverse effects). Should also flag KCNQ1 modulators from cardiac pharmacology. Pass criteria: retigabine/ezogabine appears with KCNQ channel opener mechanism.</w:t>
      </w:r>
    </w:p>
    <w:p>
      <w:pPr>
        <w:spacing w:before="200"/>
      </w:pPr>
      <w:r>
        <w:rPr>
          <w:rFonts w:ascii="Arial" w:cs="Arial" w:eastAsia="Arial" w:hAnsi="Arial"/>
          <w:b/>
          <w:bCs/>
          <w:color w:val="7300BF"/>
          <w:sz w:val="24"/>
          <w:szCs w:val="24"/>
        </w:rPr>
        <w:t xml:space="preserve">CHEMBL-05</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ChEMBL target classification (target type, organism, protein class) for each of the following DEE genes: SCN1A, KCNQ2, GRIN2A, GABRA1, STXBP1, SYNGAP1.</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SCN1A: voltage-gated sodium channel. KCNQ2: voltage-gated potassium channel. GRIN2A: ligand-gated ion channel (NMDA receptor). GABRA1: ligand-gated ion channel (GABA-A receptor). STXBP1: syntaxin-binding protein (may have limited ChEMBL annotation). SYNGAP1: may lack a ChEMBL target entry. Pass criteria: at least 4 of 6 targets return valid classifications.</w:t>
      </w:r>
    </w:p>
    <w:p>
      <w:pPr>
        <w:spacing w:before="200"/>
      </w:pPr>
      <w:r>
        <w:rPr>
          <w:rFonts w:ascii="Arial" w:cs="Arial" w:eastAsia="Arial" w:hAnsi="Arial"/>
          <w:b/>
          <w:bCs/>
          <w:color w:val="7300BF"/>
          <w:sz w:val="24"/>
          <w:szCs w:val="24"/>
        </w:rPr>
        <w:t xml:space="preserve">CHEMBL-06</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ChEMBL for all compounds with reported activity against GRIN2B (GluN2B NMDA receptor subunit) that have selectivity data showing &gt; 10x selectivity over GRIN2A.</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GluN2B-selective antagonists including ifenprodil, Ro 25-6981, and CP-101,606 (traxoprodil). These are verified GluN2B-selective compounds with documented selectivity ratios favoring GluN2B over GluN2A. Pass criteria: at least 2 of these 3 compounds appear with selectivity data.</w:t>
      </w:r>
    </w:p>
    <w:p>
      <w:pPr>
        <w:spacing w:before="200"/>
      </w:pPr>
      <w:r>
        <w:rPr>
          <w:rFonts w:ascii="Arial" w:cs="Arial" w:eastAsia="Arial" w:hAnsi="Arial"/>
          <w:b/>
          <w:bCs/>
          <w:color w:val="7300BF"/>
          <w:sz w:val="24"/>
          <w:szCs w:val="24"/>
        </w:rPr>
        <w:t xml:space="preserve">CHEMBL-07</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target CACNA1A (P/Q-type calcium channel), retrieve all bioactive compounds and categorize them by mechanism: blockers vs. modulators vs. toxins.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omega-agatoxin IVA (a spider venom peptide that selectively blocks P/Q-type calcium channels) as a key entry. The distinction between peptide toxins and small molecule modulators should be identifiable from molecular properties. Pass criteria: omega-agatoxin appears; peptide vs. small molecule distinction is possible.</w:t>
      </w:r>
    </w:p>
    <w:p>
      <w:pPr>
        <w:spacing w:before="200"/>
      </w:pPr>
      <w:r>
        <w:rPr>
          <w:rFonts w:ascii="Arial" w:cs="Arial" w:eastAsia="Arial" w:hAnsi="Arial"/>
          <w:b/>
          <w:bCs/>
          <w:color w:val="7300BF"/>
          <w:sz w:val="24"/>
          <w:szCs w:val="24"/>
        </w:rPr>
        <w:t xml:space="preserve">CHEMBL-08</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ChEMBL tractability assessments for SCN1A, KCNQ2, GRIN2A, SYNGAP1, and STXBP1 and report the small molecule and antibody tractability categories.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Ion channel targets (SCN1A, KCNQ2, GRIN2A) are established drugged target classes and should score higher for small molecule tractability. SYNGAP1 and STXBP1 are intracellular targets with inherently lower small-molecule and antibody tractability. Pass criteria: tractability data is returned; drugged vs. undrugged distinction is evident.</w:t>
      </w:r>
    </w:p>
    <w:p>
      <w:pPr>
        <w:spacing w:before="200"/>
      </w:pPr>
      <w:r>
        <w:rPr>
          <w:rFonts w:ascii="Arial" w:cs="Arial" w:eastAsia="Arial" w:hAnsi="Arial"/>
          <w:b/>
          <w:bCs/>
          <w:color w:val="7300BF"/>
          <w:sz w:val="24"/>
          <w:szCs w:val="24"/>
        </w:rPr>
        <w:t xml:space="preserve">CHEMBL-09</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ChEMBL for compounds in clinical trials (max phase &gt;= 2) that target any ion channel gene in the 131 DEE gene list and return compound name, phase, and indication.</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multiple compounds including standard AEDs (carbamazepine, valproate, lamotrigine) at Phase 3/4. Some compounds may be in trials for pain or cardiac indications rather than epilepsy. Pass criteria: at least 3 compounds are returned with valid phase and indication data.</w:t>
      </w:r>
    </w:p>
    <w:p>
      <w:pPr>
        <w:spacing w:before="200"/>
      </w:pPr>
      <w:r>
        <w:rPr>
          <w:rFonts w:ascii="Arial" w:cs="Arial" w:eastAsia="Arial" w:hAnsi="Arial"/>
          <w:b/>
          <w:bCs/>
          <w:color w:val="7300BF"/>
          <w:sz w:val="24"/>
          <w:szCs w:val="24"/>
        </w:rPr>
        <w:t xml:space="preserve">CHEMBL-10</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a hypothetical hit compound with SMILES 'CC1=CC=C(C=C1)NC(=O)C2=CC=CC=C2' (4-methylbenzanilide), query ChEMBL for similar compounds (Tanimoto similarity &gt;= 0.7) that have known target annotations.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structurally similar benzanilide derivatives with their target annotations. Tanimoto &gt;= 0.7 is a standard similarity threshold in cheminformatics. This tests ChEMBL's compound similarity search capability for SAR analysis. Pass criteria: similarity search executes; at least 1 similar compound is returned.</w:t>
      </w:r>
    </w:p>
    <w:p>
      <w:r>
        <w:br w:type="page"/>
      </w:r>
    </w:p>
    <w:p>
      <w:pPr>
        <w:pStyle w:val="Heading2"/>
      </w:pPr>
      <w:r>
        <w:rPr>
          <w:rFonts w:ascii="Arial" w:cs="Arial" w:eastAsia="Arial" w:hAnsi="Arial"/>
          <w:b/>
          <w:bCs/>
          <w:sz w:val="28"/>
          <w:szCs w:val="28"/>
        </w:rPr>
        <w:t xml:space="preserve">ClinicalTrials.gov — ClinicalTrials.gov Registry</w:t>
      </w:r>
    </w:p>
    <w:p>
      <w:pPr>
        <w:spacing w:after="80"/>
      </w:pPr>
      <w:r>
        <w:rPr>
          <w:rFonts w:ascii="Arial" w:cs="Arial" w:eastAsia="Arial" w:hAnsi="Arial"/>
          <w:b/>
          <w:bCs/>
          <w:sz w:val="24"/>
          <w:szCs w:val="24"/>
        </w:rPr>
        <w:t xml:space="preserve">Referenced in: </w:t>
      </w:r>
      <w:r>
        <w:rPr>
          <w:rFonts w:ascii="Arial" w:cs="Arial" w:eastAsia="Arial" w:hAnsi="Arial"/>
          <w:sz w:val="24"/>
          <w:szCs w:val="24"/>
        </w:rPr>
        <w:t xml:space="preserve">11 of 100 pipelines</w:t>
      </w:r>
    </w:p>
    <w:p>
      <w:pPr>
        <w:spacing w:after="200"/>
      </w:pPr>
      <w:r>
        <w:rPr>
          <w:rFonts w:ascii="Arial" w:cs="Arial" w:eastAsia="Arial" w:hAnsi="Arial"/>
          <w:b/>
          <w:bCs/>
          <w:sz w:val="24"/>
          <w:szCs w:val="24"/>
        </w:rPr>
        <w:t xml:space="preserve">API Access: </w:t>
      </w:r>
      <w:r>
        <w:rPr>
          <w:rFonts w:ascii="Arial" w:cs="Arial" w:eastAsia="Arial" w:hAnsi="Arial"/>
          <w:sz w:val="24"/>
          <w:szCs w:val="24"/>
        </w:rPr>
        <w:t xml:space="preserve">ClinicalTrials.gov API v2 at https://clinicaltrials.gov/api/v2/studies; supports keyword, condition, intervention, and status filters</w:t>
      </w:r>
    </w:p>
    <w:p>
      <w:pPr>
        <w:spacing w:before="200"/>
      </w:pPr>
      <w:r>
        <w:rPr>
          <w:rFonts w:ascii="Arial" w:cs="Arial" w:eastAsia="Arial" w:hAnsi="Arial"/>
          <w:b/>
          <w:bCs/>
          <w:color w:val="7300BF"/>
          <w:sz w:val="24"/>
          <w:szCs w:val="24"/>
        </w:rPr>
        <w:t xml:space="preserve">CTRIALS-01</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ClinicalTrials.gov for all interventional studies with condition 'Dravet Syndrome' and return the count, plus the 5 most recently posted studies with NCT numbers, titles, and status.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multiple studies. Known therapies in trials include fenfluramine, soticlestat, cannabidiol (Epidiolex), and STK-001 (zorevunersen, an antisense oligonucleotide). Status values should include Recruiting, Completed, or Active/not recruiting. Pass criteria: NCT numbers are valid; at least 3 trials are returned.</w:t>
      </w:r>
    </w:p>
    <w:p>
      <w:pPr>
        <w:spacing w:before="200"/>
      </w:pPr>
      <w:r>
        <w:rPr>
          <w:rFonts w:ascii="Arial" w:cs="Arial" w:eastAsia="Arial" w:hAnsi="Arial"/>
          <w:b/>
          <w:bCs/>
          <w:color w:val="7300BF"/>
          <w:sz w:val="24"/>
          <w:szCs w:val="24"/>
        </w:rPr>
        <w:t xml:space="preserve">CTRIALS-02</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for clinical trials targeting KCNQ2-related epilepsy or 'KCNQ2 encephalopathy' and report whether any targeted therapies (beyond standard AEDs) are being tested.</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a small number of trials. Known targeted therapy: XEN496 (a Phase III-ready pediatric formulation of the KCNQ channel opener retigabine). Most results may be natural history studies rather than targeted therapeutics, highlighting unmet need. Pass criteria: search executes; any targeted KCNQ therapy trials are flagged.</w:t>
      </w:r>
    </w:p>
    <w:p>
      <w:pPr>
        <w:spacing w:before="200"/>
      </w:pPr>
      <w:r>
        <w:rPr>
          <w:rFonts w:ascii="Arial" w:cs="Arial" w:eastAsia="Arial" w:hAnsi="Arial"/>
          <w:b/>
          <w:bCs/>
          <w:color w:val="7300BF"/>
          <w:sz w:val="24"/>
          <w:szCs w:val="24"/>
        </w:rPr>
        <w:t xml:space="preserve">CTRIALS-03</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ClinicalTrials.gov for all Phase 2 or Phase 3 trials involving 'antisense oligonucleotide' for any epilepsy or seizure condition and return study details.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trials including Stoke Therapeutics' STK-001 (zorevunersen) for Dravet syndrome (SCN1A). STK-001 has been in Phase 1/2 to Phase 3 development. This is a verified ASO program in the epilepsy space. Pass criteria: at least 1 ASO epilepsy trial is returned with valid NCT number.</w:t>
      </w:r>
    </w:p>
    <w:p>
      <w:pPr>
        <w:spacing w:before="200"/>
      </w:pPr>
      <w:r>
        <w:rPr>
          <w:rFonts w:ascii="Arial" w:cs="Arial" w:eastAsia="Arial" w:hAnsi="Arial"/>
          <w:b/>
          <w:bCs/>
          <w:color w:val="7300BF"/>
          <w:sz w:val="24"/>
          <w:szCs w:val="24"/>
        </w:rPr>
        <w:t xml:space="preserve">CTRIALS-04</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for all clinical trials mentioning 'CDKL5' in the condition or keyword fields and categorize by intervention type (drug, gene therapy, device, behavioral).</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ganaxolone trials for CDKL5 deficiency disorder (Phase 3 completed with positive results). Gene therapy programs include Ultragenyx UX055 (preclinical/early development). Pass criteria: ganaxolone trials appear; intervention types are categorized.</w:t>
      </w:r>
    </w:p>
    <w:p>
      <w:pPr>
        <w:spacing w:before="200"/>
      </w:pPr>
      <w:r>
        <w:rPr>
          <w:rFonts w:ascii="Arial" w:cs="Arial" w:eastAsia="Arial" w:hAnsi="Arial"/>
          <w:b/>
          <w:bCs/>
          <w:color w:val="7300BF"/>
          <w:sz w:val="24"/>
          <w:szCs w:val="24"/>
        </w:rPr>
        <w:t xml:space="preserve">CTRIALS-05</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each of the following DEE genes, query ClinicalTrials.gov and report the number of associated interventional trials: SCN1A, SCN2A, KCNQ2, STXBP1, SYNGAP1, CDKL5, MECP2, GRIN2A.</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SCN1A (Dravet) should have the most trials. CDKL5 and MECP2 (Rett) should each have a substantial number. STXBP1, KCNQ2, SCN2A, GRIN2A should have fewer trials. This distribution reflects the clinical development landscape per gene. Pass criteria: trial counts are returned for each gene; SCN1A has the highest count.</w:t>
      </w:r>
    </w:p>
    <w:p>
      <w:pPr>
        <w:spacing w:before="200"/>
      </w:pPr>
      <w:r>
        <w:rPr>
          <w:rFonts w:ascii="Arial" w:cs="Arial" w:eastAsia="Arial" w:hAnsi="Arial"/>
          <w:b/>
          <w:bCs/>
          <w:color w:val="7300BF"/>
          <w:sz w:val="24"/>
          <w:szCs w:val="24"/>
        </w:rPr>
        <w:t xml:space="preserve">CTRIALS-06</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for gene therapy trials for any developmental epileptic encephalopathy and return study sponsor, phase, and gene target.</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trials from verified sponsors: Neurogene (NGN-401 for MECP2/Rett syndrome), Ultragenyx (UX055 for CDKL5). Most should be Phase 1/2. AAV-based delivery (AAV9) is the predominant vector approach. Pass criteria: at least 1 gene therapy trial is returned with sponsor and phase data.</w:t>
      </w:r>
    </w:p>
    <w:p>
      <w:pPr>
        <w:spacing w:before="200"/>
      </w:pPr>
      <w:r>
        <w:rPr>
          <w:rFonts w:ascii="Arial" w:cs="Arial" w:eastAsia="Arial" w:hAnsi="Arial"/>
          <w:b/>
          <w:bCs/>
          <w:color w:val="7300BF"/>
          <w:sz w:val="24"/>
          <w:szCs w:val="24"/>
        </w:rPr>
        <w:t xml:space="preserve">CTRIALS-07</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for all completed trials with published results for 'developmental epileptic encephalopathy' or 'infantile spasms' and return NCT numbers and result availability status.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completed trials with results posted on ClinicalTrials.gov. Historical trials include vigabatrin and ACTH for infantile spasms. Note: not all completed trials have posted results (known ClinicalTrials.gov compliance gap). Pass criteria: at least 1 completed trial with results is returned.</w:t>
      </w:r>
    </w:p>
    <w:p>
      <w:pPr>
        <w:spacing w:before="200"/>
      </w:pPr>
      <w:r>
        <w:rPr>
          <w:rFonts w:ascii="Arial" w:cs="Arial" w:eastAsia="Arial" w:hAnsi="Arial"/>
          <w:b/>
          <w:bCs/>
          <w:color w:val="7300BF"/>
          <w:sz w:val="24"/>
          <w:szCs w:val="24"/>
        </w:rPr>
        <w:t xml:space="preserve">CTRIALS-08</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ClinicalTrials.gov for trials using 'precision medicine' or 'genotype-guided' approaches for epilepsy treatment and assess whether any use functional clustering or common node strategies.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a small number of genotype-guided AED selection trials. None should specifically mention 'common nodes' or Optopatch-based functional clustering, confirming the novelty of the Quiver approach. Pass criteria: search executes; absence of 'common node' trials confirms framework novelty.</w:t>
      </w:r>
    </w:p>
    <w:p>
      <w:pPr>
        <w:spacing w:before="200"/>
      </w:pPr>
      <w:r>
        <w:rPr>
          <w:rFonts w:ascii="Arial" w:cs="Arial" w:eastAsia="Arial" w:hAnsi="Arial"/>
          <w:b/>
          <w:bCs/>
          <w:color w:val="7300BF"/>
          <w:sz w:val="24"/>
          <w:szCs w:val="24"/>
        </w:rPr>
        <w:t xml:space="preserve">CTRIALS-09</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detailed study design information for a specific Dravet syndrome fenfluramine Phase 3 trial including primary/secondary endpoints, enrollment criteria, and seizure frequency measures.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primary endpoint of percent change in convulsive seizure frequency (verified), treatment duration of approximately 14 weeks, pediatric population, and baseline seizure frequency requirement (approximately 6+ convulsive seizures per baseline period). Pass criteria: primary endpoint and study design fields are populated.</w:t>
      </w:r>
    </w:p>
    <w:p>
      <w:pPr>
        <w:spacing w:before="200"/>
      </w:pPr>
      <w:r>
        <w:rPr>
          <w:rFonts w:ascii="Arial" w:cs="Arial" w:eastAsia="Arial" w:hAnsi="Arial"/>
          <w:b/>
          <w:bCs/>
          <w:color w:val="7300BF"/>
          <w:sz w:val="24"/>
          <w:szCs w:val="24"/>
        </w:rPr>
        <w:t xml:space="preserve">CTRIALS-10</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for all trials with status 'Recruiting' involving any ion channel modulator for pediatric epilepsy (age &lt; 18) and return the intervention names and mechanisms.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actively recruiting trials including sodium channel modulators (e.g., PRAX-562/Relutrigene for SCN2A/8A), potassium channel openers (e.g., XEN496 for KCNQ2), and GABA-A modulators. Pass criteria: at least 1 recruiting trial is returned with intervention name and mechanism of action.</w:t>
      </w:r>
    </w:p>
    <w:p>
      <w:r>
        <w:br w:type="page"/>
      </w:r>
    </w:p>
    <w:p>
      <w:pPr>
        <w:pStyle w:val="Heading2"/>
      </w:pPr>
      <w:r>
        <w:rPr>
          <w:rFonts w:ascii="Arial" w:cs="Arial" w:eastAsia="Arial" w:hAnsi="Arial"/>
          <w:b/>
          <w:bCs/>
          <w:sz w:val="28"/>
          <w:szCs w:val="28"/>
        </w:rPr>
        <w:t xml:space="preserve">DrugBank — DrugBank Database</w:t>
      </w:r>
    </w:p>
    <w:p>
      <w:pPr>
        <w:spacing w:after="80"/>
      </w:pPr>
      <w:r>
        <w:rPr>
          <w:rFonts w:ascii="Arial" w:cs="Arial" w:eastAsia="Arial" w:hAnsi="Arial"/>
          <w:b/>
          <w:bCs/>
          <w:sz w:val="24"/>
          <w:szCs w:val="24"/>
        </w:rPr>
        <w:t xml:space="preserve">Referenced in: </w:t>
      </w:r>
      <w:r>
        <w:rPr>
          <w:rFonts w:ascii="Arial" w:cs="Arial" w:eastAsia="Arial" w:hAnsi="Arial"/>
          <w:sz w:val="24"/>
          <w:szCs w:val="24"/>
        </w:rPr>
        <w:t xml:space="preserve">10 of 100 pipelines</w:t>
      </w:r>
    </w:p>
    <w:p>
      <w:pPr>
        <w:spacing w:after="200"/>
      </w:pPr>
      <w:r>
        <w:rPr>
          <w:rFonts w:ascii="Arial" w:cs="Arial" w:eastAsia="Arial" w:hAnsi="Arial"/>
          <w:b/>
          <w:bCs/>
          <w:sz w:val="24"/>
          <w:szCs w:val="24"/>
        </w:rPr>
        <w:t xml:space="preserve">API Access: </w:t>
      </w:r>
      <w:r>
        <w:rPr>
          <w:rFonts w:ascii="Arial" w:cs="Arial" w:eastAsia="Arial" w:hAnsi="Arial"/>
          <w:sz w:val="24"/>
          <w:szCs w:val="24"/>
        </w:rPr>
        <w:t xml:space="preserve">DrugBank API requires academic/commercial license; provides drug-target associations, pharmacology, ADMET data, drug interactions</w:t>
      </w:r>
    </w:p>
    <w:p>
      <w:pPr>
        <w:spacing w:before="200"/>
      </w:pPr>
      <w:r>
        <w:rPr>
          <w:rFonts w:ascii="Arial" w:cs="Arial" w:eastAsia="Arial" w:hAnsi="Arial"/>
          <w:b/>
          <w:bCs/>
          <w:color w:val="7300BF"/>
          <w:sz w:val="24"/>
          <w:szCs w:val="24"/>
        </w:rPr>
        <w:t xml:space="preserve">DRUGBANK-01</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all FDA-approved drugs that list SCN1A (Nav1.1) as a pharmacological target from DrugBank and return drug names, DrugBank IDs, mechanism of action, and approved indications.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sodium channel blockers including carbamazepine (DB00564), phenytoin (DB00252), lamotrigine (DB00555), and lacosamide (DB06218). IMPORTANT CLINICAL CONTEXT: These drugs block Nav1.1 and are therefore CONTRAINDICATED in Dravet syndrome (SCN1A loss-of-function), where they worsen seizures by further reducing inhibitory neuron excitability. This test validates DrugBank target mapping while highlighting the critical need for genotype-aware drug selection. Pass criteria: at least 3 sodium channel blockers are returned with valid DrugBank IDs.</w:t>
      </w:r>
    </w:p>
    <w:p>
      <w:pPr>
        <w:spacing w:before="200"/>
      </w:pPr>
      <w:r>
        <w:rPr>
          <w:rFonts w:ascii="Arial" w:cs="Arial" w:eastAsia="Arial" w:hAnsi="Arial"/>
          <w:b/>
          <w:bCs/>
          <w:color w:val="7300BF"/>
          <w:sz w:val="24"/>
          <w:szCs w:val="24"/>
        </w:rPr>
        <w:t xml:space="preserve">DRUGBANK-02</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GABA-A receptor subunit GABRA1, retrieve all approved drugs and investigational compounds from DrugBank that modulate this target, categorized by positive allosteric modulator vs. agonist vs. antagonist.</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benzodiazepines (diazepam, lorazepam, clobazam) as positive allosteric modulators (PAMs), barbiturates (phenobarbital) as PAMs, neurosteroids (ganaxolone) as modulators, and flumazenil as an antagonist. Pass criteria: at least 2 PAMs and 1 antagonist are returned with mechanism classification.</w:t>
      </w:r>
    </w:p>
    <w:p>
      <w:pPr>
        <w:spacing w:before="200"/>
      </w:pPr>
      <w:r>
        <w:rPr>
          <w:rFonts w:ascii="Arial" w:cs="Arial" w:eastAsia="Arial" w:hAnsi="Arial"/>
          <w:b/>
          <w:bCs/>
          <w:color w:val="7300BF"/>
          <w:sz w:val="24"/>
          <w:szCs w:val="24"/>
        </w:rPr>
        <w:t xml:space="preserve">DRUGBANK-03</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DrugBank for the drug valproic acid (valproate) and retrieve its complete target profile — all known protein targets with pharmacological action and references.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multiple targets demonstrating valproate's polypharmacology: HDAC (histone deacetylase) inhibition (verified, particularly HDAC1-3, 8), sodium channel modulation (SCN family), GABA transaminase inhibition effects, and calcium channel modulation. Pass criteria: at least 3 distinct target classes are returned.</w:t>
      </w:r>
    </w:p>
    <w:p>
      <w:pPr>
        <w:spacing w:before="200"/>
      </w:pPr>
      <w:r>
        <w:rPr>
          <w:rFonts w:ascii="Arial" w:cs="Arial" w:eastAsia="Arial" w:hAnsi="Arial"/>
          <w:b/>
          <w:bCs/>
          <w:color w:val="7300BF"/>
          <w:sz w:val="24"/>
          <w:szCs w:val="24"/>
        </w:rPr>
        <w:t xml:space="preserve">DRUGBANK-04</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DrugBank for all drugs with known blood-brain barrier (BBB) permeability data that target any of: SCN1A, SCN2A, KCNQ2, GRIN2A, GABRA1. Report BBB penetration status for each drug.</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Most antiepileptic drugs targeting these channels should be BBB-permeable (required for CNS efficacy). Any antibodies or large peptides should be marked as non-BBB-permeable. Pass criteria: BBB status data is returned for queried drugs; small molecule AEDs are marked as BBB-penetrant.</w:t>
      </w:r>
    </w:p>
    <w:p>
      <w:pPr>
        <w:spacing w:before="200"/>
      </w:pPr>
      <w:r>
        <w:rPr>
          <w:rFonts w:ascii="Arial" w:cs="Arial" w:eastAsia="Arial" w:hAnsi="Arial"/>
          <w:b/>
          <w:bCs/>
          <w:color w:val="7300BF"/>
          <w:sz w:val="24"/>
          <w:szCs w:val="24"/>
        </w:rPr>
        <w:t xml:space="preserve">DRUGBANK-05</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DEE gene STXBP1, query DrugBank for any drugs, experimental compounds, or nutraceuticals that directly target Munc18-1 protein.</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very few or zero approved drugs directly targeting STXBP1/Munc18-1, confirming it as a novel target without established pharmacology. This highlights target novelty within certain common node clusters. Pass criteria: query executes; the low/zero result count is itself the validation.</w:t>
      </w:r>
    </w:p>
    <w:p>
      <w:pPr>
        <w:spacing w:before="200"/>
      </w:pPr>
      <w:r>
        <w:rPr>
          <w:rFonts w:ascii="Arial" w:cs="Arial" w:eastAsia="Arial" w:hAnsi="Arial"/>
          <w:b/>
          <w:bCs/>
          <w:color w:val="7300BF"/>
          <w:sz w:val="24"/>
          <w:szCs w:val="24"/>
        </w:rPr>
        <w:t xml:space="preserve">DRUGBANK-06</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DrugBank drug-drug interaction data for the combination of clobazam + fenfluramine (both used in Dravet syndrome) and identify any pharmacokinetic or pharmacodynamic interactions.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flag a CYP2D6-mediated pharmacokinetic interaction: fenfluramine is metabolized by CYP2D6, and clobazam inhibits CYP2D6 (increasing CYP2D6 substrate levels by approximately 95%). This can increase fenfluramine exposure. Pharmacodynamic interactions regarding serotonergic effects should also be noted. Pass criteria: CYP2D6 interaction is flagged; both PK and PD interaction types are identified.</w:t>
      </w:r>
    </w:p>
    <w:p>
      <w:pPr>
        <w:spacing w:before="200"/>
      </w:pPr>
      <w:r>
        <w:rPr>
          <w:rFonts w:ascii="Arial" w:cs="Arial" w:eastAsia="Arial" w:hAnsi="Arial"/>
          <w:b/>
          <w:bCs/>
          <w:color w:val="7300BF"/>
          <w:sz w:val="24"/>
          <w:szCs w:val="24"/>
        </w:rPr>
        <w:t xml:space="preserve">DRUGBANK-07</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DrugBank for all drugs in 'Investigational' status that target any glutamate receptor (GRIN, GRIA, GRIK family) and return the current development phase and sponsor.</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several investigational NMDA receptor modulators, AMPA receptor modulators, and kainate receptor compounds across various development phases. Pass criteria: at least 1 investigational glutamate receptor compound is returned with development phase.</w:t>
      </w:r>
    </w:p>
    <w:p>
      <w:pPr>
        <w:spacing w:before="200"/>
      </w:pPr>
      <w:r>
        <w:rPr>
          <w:rFonts w:ascii="Arial" w:cs="Arial" w:eastAsia="Arial" w:hAnsi="Arial"/>
          <w:b/>
          <w:bCs/>
          <w:color w:val="7300BF"/>
          <w:sz w:val="24"/>
          <w:szCs w:val="24"/>
        </w:rPr>
        <w:t xml:space="preserve">DRUGBANK-08</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drug retigabine (ezogabine), retrieve its complete DrugBank profile including targets, mechanism, pharmacokinetics, toxicity, and reason for withdrawal/discontinuation.</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KCNQ2/3/4/5 as targets (potassium channel opener mechanism), oral bioavailability data, hepatic metabolism, and reason for market withdrawal — skin discoloration and retinal pigment changes (verified). Pass criteria: KCNQ targets appear; withdrawal reason is documented.</w:t>
      </w:r>
    </w:p>
    <w:p>
      <w:pPr>
        <w:spacing w:before="200"/>
      </w:pPr>
      <w:r>
        <w:rPr>
          <w:rFonts w:ascii="Arial" w:cs="Arial" w:eastAsia="Arial" w:hAnsi="Arial"/>
          <w:b/>
          <w:bCs/>
          <w:color w:val="7300BF"/>
          <w:sz w:val="24"/>
          <w:szCs w:val="24"/>
        </w:rPr>
        <w:t xml:space="preserve">DRUGBANK-09</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DrugBank for all approved drugs with 'antiepileptic' or 'anticonvulsant' in their pharmacological class and return a summary count by primary mechanism of action.</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approximately 25-30+ approved AEDs categorized by mechanism: sodium channel blockers (largest group), GABA enhancers, glutamate antagonists, SV2A modulators (levetiracetam), calcium channel modulators, potassium channel openers, and mixed/unknown mechanisms. Pass criteria: multiple mechanism categories are returned; sodium channel blockers are the largest group.</w:t>
      </w:r>
    </w:p>
    <w:p>
      <w:pPr>
        <w:spacing w:before="200"/>
      </w:pPr>
      <w:r>
        <w:rPr>
          <w:rFonts w:ascii="Arial" w:cs="Arial" w:eastAsia="Arial" w:hAnsi="Arial"/>
          <w:b/>
          <w:bCs/>
          <w:color w:val="7300BF"/>
          <w:sz w:val="24"/>
          <w:szCs w:val="24"/>
        </w:rPr>
        <w:t xml:space="preserve">DRUGBANK-10</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compound ganaxolone (GABA-A receptor modulator approved for CDKL5 deficiency), retrieve its full DrugBank entry including targets, clinical trials, and pharmacokinetic properties.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GABRA/GABRB/GABRG subunits as targets, neurosteroid positive allosteric modulator mechanism, oral formulation, CYP3A4 metabolism (verified), FDA approval for CDKL5-deficiency seizures (ZTALMY, approved March 2022), and reference to the Marigold Phase 3 trial. Pass criteria: CDKL5 indication and CYP3A4 metabolism are documented.</w:t>
      </w:r>
    </w:p>
    <w:p>
      <w:r>
        <w:br w:type="page"/>
      </w:r>
    </w:p>
    <w:p>
      <w:pPr>
        <w:pStyle w:val="Heading2"/>
      </w:pPr>
      <w:r>
        <w:rPr>
          <w:rFonts w:ascii="Arial" w:cs="Arial" w:eastAsia="Arial" w:hAnsi="Arial"/>
          <w:b/>
          <w:bCs/>
          <w:sz w:val="28"/>
          <w:szCs w:val="28"/>
        </w:rPr>
        <w:t xml:space="preserve">OMIM — Online Mendelian Inheritance in Man</w:t>
      </w:r>
    </w:p>
    <w:p>
      <w:pPr>
        <w:spacing w:after="80"/>
      </w:pPr>
      <w:r>
        <w:rPr>
          <w:rFonts w:ascii="Arial" w:cs="Arial" w:eastAsia="Arial" w:hAnsi="Arial"/>
          <w:b/>
          <w:bCs/>
          <w:sz w:val="24"/>
          <w:szCs w:val="24"/>
        </w:rPr>
        <w:t xml:space="preserve">Referenced in: </w:t>
      </w:r>
      <w:r>
        <w:rPr>
          <w:rFonts w:ascii="Arial" w:cs="Arial" w:eastAsia="Arial" w:hAnsi="Arial"/>
          <w:sz w:val="24"/>
          <w:szCs w:val="24"/>
        </w:rPr>
        <w:t xml:space="preserve">10 of 100 pipelines</w:t>
      </w:r>
    </w:p>
    <w:p>
      <w:pPr>
        <w:spacing w:after="200"/>
      </w:pPr>
      <w:r>
        <w:rPr>
          <w:rFonts w:ascii="Arial" w:cs="Arial" w:eastAsia="Arial" w:hAnsi="Arial"/>
          <w:b/>
          <w:bCs/>
          <w:sz w:val="24"/>
          <w:szCs w:val="24"/>
        </w:rPr>
        <w:t xml:space="preserve">API Access: </w:t>
      </w:r>
      <w:r>
        <w:rPr>
          <w:rFonts w:ascii="Arial" w:cs="Arial" w:eastAsia="Arial" w:hAnsi="Arial"/>
          <w:sz w:val="24"/>
          <w:szCs w:val="24"/>
        </w:rPr>
        <w:t xml:space="preserve">OMIM API at https://api.omim.org/api; requires API key; search, entry, clinicalSynopsis, genemap endpoints</w:t>
      </w:r>
    </w:p>
    <w:p>
      <w:pPr>
        <w:spacing w:before="200"/>
      </w:pPr>
      <w:r>
        <w:rPr>
          <w:rFonts w:ascii="Arial" w:cs="Arial" w:eastAsia="Arial" w:hAnsi="Arial"/>
          <w:b/>
          <w:bCs/>
          <w:color w:val="7300BF"/>
          <w:sz w:val="24"/>
          <w:szCs w:val="24"/>
        </w:rPr>
        <w:t xml:space="preserve">OMIM-01</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OMIM entry for SCN1A (MIM *182389) and return all associated phenotypes with their MIM phenotype numbers, inheritance patterns, and phenotype mapping keys.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phenotypes including: Dravet syndrome/SMEI (MIM #607208, autosomal dominant), GEFS+ type 2 (MIM #604403, autosomal dominant), and familial febrile seizures 3A (MIM #604403, autosomal dominant). Phenotype mapping keys should be 3 (established molecular basis). Pass criteria: MIM #607208 (Dravet) and MIM #604403 (GEFS+2) both appear with AD inheritance.</w:t>
      </w:r>
    </w:p>
    <w:p>
      <w:pPr>
        <w:spacing w:before="200"/>
      </w:pPr>
      <w:r>
        <w:rPr>
          <w:rFonts w:ascii="Arial" w:cs="Arial" w:eastAsia="Arial" w:hAnsi="Arial"/>
          <w:b/>
          <w:bCs/>
          <w:color w:val="7300BF"/>
          <w:sz w:val="24"/>
          <w:szCs w:val="24"/>
        </w:rPr>
        <w:t xml:space="preserve">OMIM-02</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DEE gene CDKL5 (MIM *300203), retrieve the OMIM clinical synopsis and extract the key neurological features, age of onset, and seizure types.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early-onset seizures (typically &lt; 3 months), infantile spasms, cortical visual impairment (present in ~75% of cases), stereotypic hand movements, and severe intellectual disability. Seizure types include tonic, myoclonic, and spasms. X-linked inheritance. Pass criteria: early-onset seizures and X-linked inheritance are documented.</w:t>
      </w:r>
    </w:p>
    <w:p>
      <w:pPr>
        <w:spacing w:before="200"/>
      </w:pPr>
      <w:r>
        <w:rPr>
          <w:rFonts w:ascii="Arial" w:cs="Arial" w:eastAsia="Arial" w:hAnsi="Arial"/>
          <w:b/>
          <w:bCs/>
          <w:color w:val="7300BF"/>
          <w:sz w:val="24"/>
          <w:szCs w:val="24"/>
        </w:rPr>
        <w:t xml:space="preserve">OMIM-03</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OMIM's gene map for all genes on chromosome 2q24.3 (the SCN gene cluster region) and identify which ones are in the 131 DEE gene list.</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SCN1A and SCN2A as confirmed DEE genes in the 2q24.3 region. SCN3A and SCN9A are also in this cluster. This validates OMIM's utility for genomic context analysis of DEE gene clusters. Pass criteria: SCN1A and SCN2A appear in the 2q24.3 gene map.</w:t>
      </w:r>
    </w:p>
    <w:p>
      <w:pPr>
        <w:spacing w:before="200"/>
      </w:pPr>
      <w:r>
        <w:rPr>
          <w:rFonts w:ascii="Arial" w:cs="Arial" w:eastAsia="Arial" w:hAnsi="Arial"/>
          <w:b/>
          <w:bCs/>
          <w:color w:val="7300BF"/>
          <w:sz w:val="24"/>
          <w:szCs w:val="24"/>
        </w:rPr>
        <w:t xml:space="preserve">OMIM-04</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OMIM for all entries with phenotype description containing 'developmental epileptic encephalopathy' and return a count plus the gene symbols and MIM numbers.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a substantial number of entries covering the expanding list of DEE genes. Gene symbols should include many from the 131 DEE list (SCN1A, CDKL5, STXBP1, SYNGAP1, KCNQ2, etc.). All MIM numbers must be valid. Pass criteria: at least 20 entries are returned; known DEE genes appear.</w:t>
      </w:r>
    </w:p>
    <w:p>
      <w:pPr>
        <w:spacing w:before="200"/>
      </w:pPr>
      <w:r>
        <w:rPr>
          <w:rFonts w:ascii="Arial" w:cs="Arial" w:eastAsia="Arial" w:hAnsi="Arial"/>
          <w:b/>
          <w:bCs/>
          <w:color w:val="7300BF"/>
          <w:sz w:val="24"/>
          <w:szCs w:val="24"/>
        </w:rPr>
        <w:t xml:space="preserve">OMIM-05</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STXBP1 (MIM *602926), retrieve the allelic variants listed in OMIM and categorize them by variant type (missense, frameshift, nonsense, splice) and associated clinical severity.</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multiple allelic variants. Variants are predominantly de novo. Variant types include missense (most common), truncating (frameshift/nonsense), and splice site mutations. Clinical descriptions should reference early-onset epileptic encephalopathy (DEE4, MIM #612164). Pass criteria: at least 3 allelic variants are returned; de novo origin is noted.</w:t>
      </w:r>
    </w:p>
    <w:p>
      <w:pPr>
        <w:spacing w:before="200"/>
      </w:pPr>
      <w:r>
        <w:rPr>
          <w:rFonts w:ascii="Arial" w:cs="Arial" w:eastAsia="Arial" w:hAnsi="Arial"/>
          <w:b/>
          <w:bCs/>
          <w:color w:val="7300BF"/>
          <w:sz w:val="24"/>
          <w:szCs w:val="24"/>
        </w:rPr>
        <w:t xml:space="preserve">OMIM-06</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OMIM to determine whether the DEE genes GRIN2A and GRIN2B are associated with the same or different clinical phenotypes, and compare their inheritance patterns.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GRIN2A: associated with focal epilepsy with speech disorder (MIM #245570, autosomal dominant). GRIN2B: associated with intellectual disability (MIM #616139) and West syndrome/DEE27 (typically de novo, autosomal dominant). These are paralogous NMDA receptor subunits with distinct phenotypic spectra. Pass criteria: different MIM phenotype numbers are returned for each gene.</w:t>
      </w:r>
    </w:p>
    <w:p>
      <w:pPr>
        <w:spacing w:before="200"/>
      </w:pPr>
      <w:r>
        <w:rPr>
          <w:rFonts w:ascii="Arial" w:cs="Arial" w:eastAsia="Arial" w:hAnsi="Arial"/>
          <w:b/>
          <w:bCs/>
          <w:color w:val="7300BF"/>
          <w:sz w:val="24"/>
          <w:szCs w:val="24"/>
        </w:rPr>
        <w:t xml:space="preserve">OMIM-07</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a negative control, query OMIM for the gene BRCA1 (MIM *113705) and verify it has no epilepsy-associated phenotypes, confirming query specificity.</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BRCA1 must return breast/ovarian cancer phenotypes only. No epilepsy or seizure associations should appear. This confirms OMIM query specificity for the DEE gene validation workflow. Pass criteria: no epilepsy phenotypes are listed for BRCA1.</w:t>
      </w:r>
    </w:p>
    <w:p>
      <w:pPr>
        <w:spacing w:before="200"/>
      </w:pPr>
      <w:r>
        <w:rPr>
          <w:rFonts w:ascii="Arial" w:cs="Arial" w:eastAsia="Arial" w:hAnsi="Arial"/>
          <w:b/>
          <w:bCs/>
          <w:color w:val="7300BF"/>
          <w:sz w:val="24"/>
          <w:szCs w:val="24"/>
        </w:rPr>
        <w:t xml:space="preserve">OMIM-08</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OMIM gene map data for all 131 DEE genes and identify which genes have phenotypic heterogeneity (multiple distinct clinical phenotypes from different variant types in the same gene).</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Several DEE genes show phenotypic heterogeneity. For example, SCN1A causes both Dravet syndrome (severe, loss-of-function) and GEFS+ (milder, variable). SCN2A has both early-onset DEE (gain-of-function) and later-onset epilepsy phenotypes. KCNQ2 causes both benign familial neonatal epilepsy (mild, autosomal dominant) and severe neonatal-onset DEE (severe, autosomal dominant, typically de novo) — both are autosomal dominant but with different severity. Pass criteria: at least 3 genes with multiple phenotypes are identified.</w:t>
      </w:r>
    </w:p>
    <w:p>
      <w:pPr>
        <w:spacing w:before="200"/>
      </w:pPr>
      <w:r>
        <w:rPr>
          <w:rFonts w:ascii="Arial" w:cs="Arial" w:eastAsia="Arial" w:hAnsi="Arial"/>
          <w:b/>
          <w:bCs/>
          <w:color w:val="7300BF"/>
          <w:sz w:val="24"/>
          <w:szCs w:val="24"/>
        </w:rPr>
        <w:t xml:space="preserve">OMIM-09</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OMIM for the clinical synopsis of MECP2-related disorders and distinguish between Rett syndrome (females) and MECP2 duplication syndrome (males).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Rett syndrome (MIM #312750) primarily in females with regression at 6-18 months, stereotypic hand wringing, and breathing irregularities. MECP2 duplication syndrome (MIM #300260) in males with intellectual disability, recurrent infections, and progressive spasticity. These are distinct phenotypes from the same gene. Pass criteria: both MIM #312750 and MIM #300260 are returned with distinct clinical features.</w:t>
      </w:r>
    </w:p>
    <w:p>
      <w:pPr>
        <w:spacing w:before="200"/>
      </w:pPr>
      <w:r>
        <w:rPr>
          <w:rFonts w:ascii="Arial" w:cs="Arial" w:eastAsia="Arial" w:hAnsi="Arial"/>
          <w:b/>
          <w:bCs/>
          <w:color w:val="7300BF"/>
          <w:sz w:val="24"/>
          <w:szCs w:val="24"/>
        </w:rPr>
        <w:t xml:space="preserve">OMIM-10</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Search OMIM for the term 'common node' or 'functional cluster' in epilepsy gene entries to verify the novelty of the Angelini collaboration's framework.</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zero or near-zero results for 'common node' in the epilepsy context. This confirms the novel contribution of the Angelini/Quiver research plan. Pass criteria: absence of results is itself the validation — confirms framework novelty.</w:t>
      </w:r>
    </w:p>
    <w:p>
      <w:r>
        <w:br w:type="page"/>
      </w:r>
    </w:p>
    <w:p>
      <w:pPr>
        <w:pStyle w:val="Heading2"/>
      </w:pPr>
      <w:r>
        <w:rPr>
          <w:rFonts w:ascii="Arial" w:cs="Arial" w:eastAsia="Arial" w:hAnsi="Arial"/>
          <w:b/>
          <w:bCs/>
          <w:sz w:val="28"/>
          <w:szCs w:val="28"/>
        </w:rPr>
        <w:t xml:space="preserve">KEGG — Kyoto Encyclopedia of Genes and Genomes</w:t>
      </w:r>
    </w:p>
    <w:p>
      <w:pPr>
        <w:spacing w:after="80"/>
      </w:pPr>
      <w:r>
        <w:rPr>
          <w:rFonts w:ascii="Arial" w:cs="Arial" w:eastAsia="Arial" w:hAnsi="Arial"/>
          <w:b/>
          <w:bCs/>
          <w:sz w:val="24"/>
          <w:szCs w:val="24"/>
        </w:rPr>
        <w:t xml:space="preserve">Referenced in: </w:t>
      </w:r>
      <w:r>
        <w:rPr>
          <w:rFonts w:ascii="Arial" w:cs="Arial" w:eastAsia="Arial" w:hAnsi="Arial"/>
          <w:sz w:val="24"/>
          <w:szCs w:val="24"/>
        </w:rPr>
        <w:t xml:space="preserve">10 of 100 pipelines</w:t>
      </w:r>
    </w:p>
    <w:p>
      <w:pPr>
        <w:spacing w:after="200"/>
      </w:pPr>
      <w:r>
        <w:rPr>
          <w:rFonts w:ascii="Arial" w:cs="Arial" w:eastAsia="Arial" w:hAnsi="Arial"/>
          <w:b/>
          <w:bCs/>
          <w:sz w:val="24"/>
          <w:szCs w:val="24"/>
        </w:rPr>
        <w:t xml:space="preserve">API Access: </w:t>
      </w:r>
      <w:r>
        <w:rPr>
          <w:rFonts w:ascii="Arial" w:cs="Arial" w:eastAsia="Arial" w:hAnsi="Arial"/>
          <w:sz w:val="24"/>
          <w:szCs w:val="24"/>
        </w:rPr>
        <w:t xml:space="preserve">KEGG REST API at https://rest.kegg.jp; supports pathway, gene, compound, disease queries; organism code 'hsa' for human</w:t>
      </w:r>
    </w:p>
    <w:p>
      <w:pPr>
        <w:spacing w:before="200"/>
      </w:pPr>
      <w:r>
        <w:rPr>
          <w:rFonts w:ascii="Arial" w:cs="Arial" w:eastAsia="Arial" w:hAnsi="Arial"/>
          <w:b/>
          <w:bCs/>
          <w:color w:val="7300BF"/>
          <w:sz w:val="24"/>
          <w:szCs w:val="24"/>
        </w:rPr>
        <w:t xml:space="preserve">KEGG-01</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all KEGG pathways that contain the gene SCN1A (hsa:6323) and return pathway IDs, names, and the total number of genes in each pathway.</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SCN1A (hsa:6323) is a confirmed KEGG gene entry. The query should return any pathways containing voltage-gated sodium channels. Note: SCN1A may have limited direct pathway annotations in KEGG compared to databases like Reactome. Pass criteria: query resolves hsa:6323 correctly; any returned pathway IDs are valid hsa##### format.</w:t>
      </w:r>
    </w:p>
    <w:p>
      <w:pPr>
        <w:spacing w:before="200"/>
      </w:pPr>
      <w:r>
        <w:rPr>
          <w:rFonts w:ascii="Arial" w:cs="Arial" w:eastAsia="Arial" w:hAnsi="Arial"/>
          <w:b/>
          <w:bCs/>
          <w:color w:val="7300BF"/>
          <w:sz w:val="24"/>
          <w:szCs w:val="24"/>
        </w:rPr>
        <w:t xml:space="preserve">KEGG-02</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KEGG for the pathway 'Glutamatergic synapse' (hsa04724) and return all genes in the pathway, then identify which overlap with the 131 DEE gene list.</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hsa04724 is the confirmed KEGG pathway ID for Glutamatergic synapse. DEE gene overlaps must include GRIN2A and GRIN2B (core glutamatergic synapse components). Other potential overlaps include DLG4, SHANK3, and SYNGAP1. Pass criteria: hsa04724 resolves correctly; GRIN2A and GRIN2B appear in the gene list.</w:t>
      </w:r>
    </w:p>
    <w:p>
      <w:pPr>
        <w:spacing w:before="200"/>
      </w:pPr>
      <w:r>
        <w:rPr>
          <w:rFonts w:ascii="Arial" w:cs="Arial" w:eastAsia="Arial" w:hAnsi="Arial"/>
          <w:b/>
          <w:bCs/>
          <w:color w:val="7300BF"/>
          <w:sz w:val="24"/>
          <w:szCs w:val="24"/>
        </w:rPr>
        <w:t xml:space="preserve">KEGG-03</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KEGG disease entry for epilepsy-related conditions including EIEE/DEE and return all associated genes and therapeutic drug targets listed.</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KEGG disease entries for EIEE should list associated genes including CDKL5, GABRA1, KCNQ2, KCNQ3, SCN1A, SCN8A, and STXBP1 (these are confirmed KEGG EIEE-associated genes). Drug entries should include standard AEDs. Pass criteria: at least 4 of these DEE genes appear in the KEGG disease entry.</w:t>
      </w:r>
    </w:p>
    <w:p>
      <w:pPr>
        <w:spacing w:before="200"/>
      </w:pPr>
      <w:r>
        <w:rPr>
          <w:rFonts w:ascii="Arial" w:cs="Arial" w:eastAsia="Arial" w:hAnsi="Arial"/>
          <w:b/>
          <w:bCs/>
          <w:color w:val="7300BF"/>
          <w:sz w:val="24"/>
          <w:szCs w:val="24"/>
        </w:rPr>
        <w:t xml:space="preserve">KEGG-04</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DEE gene SYNGAP1 (hsa:8831), retrieve all KEGG pathway memberships and identify which pathways also contain RAS-MAPK signaling components.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SYNGAP1 is a RAS GTPase-activating protein that negatively regulates RAS signaling. Expected relevant pathways include RAS signaling pathway (hsa04014) and MAPK signaling pathway (hsa04010). Co-membership with HRAS, KRAS, MAPK1, MAPK3 should be confirmable. Pass criteria: hsa:8831 resolves; at least 1 RAS/MAPK-related pathway is returned.</w:t>
      </w:r>
    </w:p>
    <w:p>
      <w:pPr>
        <w:spacing w:before="200"/>
      </w:pPr>
      <w:r>
        <w:rPr>
          <w:rFonts w:ascii="Arial" w:cs="Arial" w:eastAsia="Arial" w:hAnsi="Arial"/>
          <w:b/>
          <w:bCs/>
          <w:color w:val="7300BF"/>
          <w:sz w:val="24"/>
          <w:szCs w:val="24"/>
        </w:rPr>
        <w:t xml:space="preserve">KEGG-05</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KEGG pathway map for 'GABAergic synapse' (hsa04727) and identify all receptor subunit genes (GABRA, GABRB, GABRG families) plus their interacting proteins.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hsa04727 is the confirmed KEGG GABAergic synapse pathway. Must return GABA-A receptor subunits (GABRA1-6, GABRB1-3, GABRG1-3) and GABA-B receptors (GABBR1, GABBR2). Several GABRA/GABRB/GABRG genes are in the 131 DEE list. Pass criteria: hsa04727 resolves; GABRA1 and GABRB subunits appear.</w:t>
      </w:r>
    </w:p>
    <w:p>
      <w:pPr>
        <w:spacing w:before="200"/>
      </w:pPr>
      <w:r>
        <w:rPr>
          <w:rFonts w:ascii="Arial" w:cs="Arial" w:eastAsia="Arial" w:hAnsi="Arial"/>
          <w:b/>
          <w:bCs/>
          <w:color w:val="7300BF"/>
          <w:sz w:val="24"/>
          <w:szCs w:val="24"/>
        </w:rPr>
        <w:t xml:space="preserve">KEGG-06</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KEGG for the compound entry of valproic acid and return all associated target pathways and enzymes.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Valproic acid has verified targets including HDAC (histone deacetylase, particularly HDAC1-3, 8), GAD (glutamic acid decarboxylase), and SSADH (succinic semialdehyde dehydrogenase). Multiple pathway associations should be returned reflecting valproate's broad mechanism. Pass criteria: at least 2 target enzymes or pathways are returned.</w:t>
      </w:r>
    </w:p>
    <w:p>
      <w:pPr>
        <w:spacing w:before="200"/>
      </w:pPr>
      <w:r>
        <w:rPr>
          <w:rFonts w:ascii="Arial" w:cs="Arial" w:eastAsia="Arial" w:hAnsi="Arial"/>
          <w:b/>
          <w:bCs/>
          <w:color w:val="7300BF"/>
          <w:sz w:val="24"/>
          <w:szCs w:val="24"/>
        </w:rPr>
        <w:t xml:space="preserve">KEGG-07</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Perform KEGG pathway enrichment for a hypothetical functional cluster containing {CACNA1A, CACNA1E, CACNB4, CACNA2D2} (calcium channel genes from the DEE list) and return enriched pathways.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enrichment for calcium signaling pathway (hsa04020, a confirmed KEGG pathway). These CACNA genes encode voltage-operated calcium channel components. Calcium channel-specific pathways should dominate. Pass criteria: hsa04020 (Calcium signaling) appears in enrichment results.</w:t>
      </w:r>
    </w:p>
    <w:p>
      <w:pPr>
        <w:spacing w:before="200"/>
      </w:pPr>
      <w:r>
        <w:rPr>
          <w:rFonts w:ascii="Arial" w:cs="Arial" w:eastAsia="Arial" w:hAnsi="Arial"/>
          <w:b/>
          <w:bCs/>
          <w:color w:val="7300BF"/>
          <w:sz w:val="24"/>
          <w:szCs w:val="24"/>
        </w:rPr>
        <w:t xml:space="preserve">KEGG-08</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KEGG orthology (KO) assignments for SCN1A, SCN2A, and SCN8A and determine whether they share the same KO group or have distinct assignments.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All three are sodium channel alpha subunits with high sequence homology (approximately 70-85% protein identity). They are paralogs arising from vertebrate genome duplication events. They may share a KO group or have closely related assignments within the Nav1 family. Pass criteria: KO assignments are returned for all 3 genes; their evolutionary relationship is reflected.</w:t>
      </w:r>
    </w:p>
    <w:p>
      <w:pPr>
        <w:spacing w:before="200"/>
      </w:pPr>
      <w:r>
        <w:rPr>
          <w:rFonts w:ascii="Arial" w:cs="Arial" w:eastAsia="Arial" w:hAnsi="Arial"/>
          <w:b/>
          <w:bCs/>
          <w:color w:val="7300BF"/>
          <w:sz w:val="24"/>
          <w:szCs w:val="24"/>
        </w:rPr>
        <w:t xml:space="preserve">KEGG-09</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KEGG DRUG for all approved drugs with 'anticonvulsant' or 'antiepileptic' as their therapeutic category and return drug names, KEGG IDs, and primary target pathways.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approved AEDs including phenytoin, carbamazepine, valproate, levetiracetam, and lamotrigine. Each should have a KEGG drug ID (D##### format) and associated target/pathway information. Pass criteria: at least 5 AEDs are returned with valid KEGG drug IDs.</w:t>
      </w:r>
    </w:p>
    <w:p>
      <w:pPr>
        <w:spacing w:before="200"/>
      </w:pPr>
      <w:r>
        <w:rPr>
          <w:rFonts w:ascii="Arial" w:cs="Arial" w:eastAsia="Arial" w:hAnsi="Arial"/>
          <w:b/>
          <w:bCs/>
          <w:color w:val="7300BF"/>
          <w:sz w:val="24"/>
          <w:szCs w:val="24"/>
        </w:rPr>
        <w:t xml:space="preserve">KEGG-10</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'mTOR signaling pathway' (hsa04150), retrieve all genes and determine overlap with DEE genes, specifically looking for DEPDC5, NPRL2, NPRL3 (GATOR1 complex).</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hsa04150 is the confirmed KEGG mTOR signaling pathway. GATOR1 complex genes (DEPDC5, NPRL2, NPRL3) are established mTOR regulators and known epilepsy genes (approximately 10% of focal epilepsy cases harbor GATOR1 mutations). TSC1 and TSC2 should also be present. Pass criteria: at least 2 of DEPDC5/NPRL2/NPRL3 or TSC1/TSC2 appear in the pathway.</w:t>
      </w:r>
    </w:p>
    <w:p>
      <w:r>
        <w:br w:type="page"/>
      </w:r>
    </w:p>
    <w:p>
      <w:pPr>
        <w:pStyle w:val="Heading2"/>
      </w:pPr>
      <w:r>
        <w:rPr>
          <w:rFonts w:ascii="Arial" w:cs="Arial" w:eastAsia="Arial" w:hAnsi="Arial"/>
          <w:b/>
          <w:bCs/>
          <w:sz w:val="28"/>
          <w:szCs w:val="28"/>
        </w:rPr>
        <w:t xml:space="preserve">Ensembl — Ensembl Genome Database</w:t>
      </w:r>
    </w:p>
    <w:p>
      <w:pPr>
        <w:spacing w:after="80"/>
      </w:pPr>
      <w:r>
        <w:rPr>
          <w:rFonts w:ascii="Arial" w:cs="Arial" w:eastAsia="Arial" w:hAnsi="Arial"/>
          <w:b/>
          <w:bCs/>
          <w:sz w:val="24"/>
          <w:szCs w:val="24"/>
        </w:rPr>
        <w:t xml:space="preserve">Referenced in: </w:t>
      </w:r>
      <w:r>
        <w:rPr>
          <w:rFonts w:ascii="Arial" w:cs="Arial" w:eastAsia="Arial" w:hAnsi="Arial"/>
          <w:sz w:val="24"/>
          <w:szCs w:val="24"/>
        </w:rPr>
        <w:t xml:space="preserve">10 of 100 pipelines</w:t>
      </w:r>
    </w:p>
    <w:p>
      <w:pPr>
        <w:spacing w:after="200"/>
      </w:pPr>
      <w:r>
        <w:rPr>
          <w:rFonts w:ascii="Arial" w:cs="Arial" w:eastAsia="Arial" w:hAnsi="Arial"/>
          <w:b/>
          <w:bCs/>
          <w:sz w:val="24"/>
          <w:szCs w:val="24"/>
        </w:rPr>
        <w:t xml:space="preserve">API Access: </w:t>
      </w:r>
      <w:r>
        <w:rPr>
          <w:rFonts w:ascii="Arial" w:cs="Arial" w:eastAsia="Arial" w:hAnsi="Arial"/>
          <w:sz w:val="24"/>
          <w:szCs w:val="24"/>
        </w:rPr>
        <w:t xml:space="preserve">REST API at https://rest.ensembl.org; supports gene, transcript, variant, regulatory, and cross-reference queries; species 'homo_sapiens'</w:t>
      </w:r>
    </w:p>
    <w:p>
      <w:pPr>
        <w:spacing w:before="200"/>
      </w:pPr>
      <w:r>
        <w:rPr>
          <w:rFonts w:ascii="Arial" w:cs="Arial" w:eastAsia="Arial" w:hAnsi="Arial"/>
          <w:b/>
          <w:bCs/>
          <w:color w:val="7300BF"/>
          <w:sz w:val="24"/>
          <w:szCs w:val="24"/>
        </w:rPr>
        <w:t xml:space="preserve">ENSEMBL-01</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the Ensembl gene entry for SCN1A including Ensembl gene ID, genomic coordinates (GRCh38), number of transcripts, and canonical transcript ID.</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ENSG00000144285 (verified gene ID), chromosome 2, coordinates approximately 165,984,641–166,182,806 (GRCh38, verified). Canonical transcript: ENST00000303395 (verified). Gene biotype: protein_coding. Multiple transcripts (30 documented). Pass criteria: ENSG00000144285 resolves; chromosome 2 location is confirmed.</w:t>
      </w:r>
    </w:p>
    <w:p>
      <w:pPr>
        <w:spacing w:before="200"/>
      </w:pPr>
      <w:r>
        <w:rPr>
          <w:rFonts w:ascii="Arial" w:cs="Arial" w:eastAsia="Arial" w:hAnsi="Arial"/>
          <w:b/>
          <w:bCs/>
          <w:color w:val="7300BF"/>
          <w:sz w:val="24"/>
          <w:szCs w:val="24"/>
        </w:rPr>
        <w:t xml:space="preserve">ENSEMBL-02</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DEE gene CDKL5 (X-linked), retrieve the transcript structure of the canonical transcript including number of exons, CDS length, and 5'/3' UTR lengths.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CDKL5 is confirmed X-linked. Canonical transcript (ENST00000623535.2) has 18 exons. The predominant brain isoform encodes a 960 amino acid protein; the full-length isoform is 1,030 amino acids. Multiple transcript isoforms should be listed. Pass criteria: X chromosome location confirmed; exon count and protein size are returned.</w:t>
      </w:r>
    </w:p>
    <w:p>
      <w:pPr>
        <w:spacing w:before="200"/>
      </w:pPr>
      <w:r>
        <w:rPr>
          <w:rFonts w:ascii="Arial" w:cs="Arial" w:eastAsia="Arial" w:hAnsi="Arial"/>
          <w:b/>
          <w:bCs/>
          <w:color w:val="7300BF"/>
          <w:sz w:val="24"/>
          <w:szCs w:val="24"/>
        </w:rPr>
        <w:t xml:space="preserve">ENSEMBL-03</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Ensembl Variant Effect Predictor (VEP) for a known pathogenic SCN1A missense variant and return predicted consequence, SIFT score, PolyPhen score, and CADD score.</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For a pathogenic SCN1A missense variant, VEP should return: consequence type 'missense_variant', SIFT prediction 'deleterious' (score &lt; 0.05), PolyPhen prediction 'probably_damaging' (score &gt; 0.9), and CADD score in the pathogenic range (&gt; 20). Pass criteria: VEP returns predictions from all 3 scoring tools (SIFT, PolyPhen, CADD); the variant is flagged as damaging.</w:t>
      </w:r>
    </w:p>
    <w:p>
      <w:pPr>
        <w:spacing w:before="200"/>
      </w:pPr>
      <w:r>
        <w:rPr>
          <w:rFonts w:ascii="Arial" w:cs="Arial" w:eastAsia="Arial" w:hAnsi="Arial"/>
          <w:b/>
          <w:bCs/>
          <w:color w:val="7300BF"/>
          <w:sz w:val="24"/>
          <w:szCs w:val="24"/>
        </w:rPr>
        <w:t xml:space="preserve">ENSEMBL-04</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all Ensembl regulatory features (promoters, enhancers, CTCF sites) overlapping the STXBP1 gene locus +/- 50kb on chromosome 9.</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STXBP1 is confirmed on chromosome 9q34.11. Ensembl Regulatory Build contains promoter, enhancer, and CTCF binding site tracks. Results should include at least one promoter near the STXBP1 TSS. Pass criteria: regulatory features are returned for the STXBP1 locus; at least 1 promoter element is identified.</w:t>
      </w:r>
    </w:p>
    <w:p>
      <w:pPr>
        <w:spacing w:before="200"/>
      </w:pPr>
      <w:r>
        <w:rPr>
          <w:rFonts w:ascii="Arial" w:cs="Arial" w:eastAsia="Arial" w:hAnsi="Arial"/>
          <w:b/>
          <w:bCs/>
          <w:color w:val="7300BF"/>
          <w:sz w:val="24"/>
          <w:szCs w:val="24"/>
        </w:rPr>
        <w:t xml:space="preserve">ENSEMBL-05</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each of the 3 sodium channel genes SCN1A, SCN2A, SCN8A, retrieve their Ensembl gene trees and confirm they are paralogs with a common ancestral gene.</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All three are confirmed paralogs within the voltage-gated sodium channel family. Protein identity between them is approximately 70-85% (verified). They arose through vertebrate genome duplication events. One-to-one paralog relationships should be documented. Pass criteria: all 3 genes appear in the same gene tree; paralog relationships are confirmed.</w:t>
      </w:r>
    </w:p>
    <w:p>
      <w:pPr>
        <w:spacing w:before="200"/>
      </w:pPr>
      <w:r>
        <w:rPr>
          <w:rFonts w:ascii="Arial" w:cs="Arial" w:eastAsia="Arial" w:hAnsi="Arial"/>
          <w:b/>
          <w:bCs/>
          <w:color w:val="7300BF"/>
          <w:sz w:val="24"/>
          <w:szCs w:val="24"/>
        </w:rPr>
        <w:t xml:space="preserve">ENSEMBL-06</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Ensembl for the expression profile of KCNQ2 across GTEx tissues and return TPM values for brain regions versus non-brain tissues.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KCNQ2 is a brain-enriched gene with highest expression in cortex, hippocampus, and cerebellum. Non-brain tissues should show substantially lower expression. This validates expression specificity data for therapeutic window assessment. Pass criteria: brain tissue expression is higher than non-brain; TPM values are returned.</w:t>
      </w:r>
    </w:p>
    <w:p>
      <w:pPr>
        <w:spacing w:before="200"/>
      </w:pPr>
      <w:r>
        <w:rPr>
          <w:rFonts w:ascii="Arial" w:cs="Arial" w:eastAsia="Arial" w:hAnsi="Arial"/>
          <w:b/>
          <w:bCs/>
          <w:color w:val="7300BF"/>
          <w:sz w:val="24"/>
          <w:szCs w:val="24"/>
        </w:rPr>
        <w:t xml:space="preserve">ENSEMBL-07</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all cross-references for SYNGAP1 from Ensembl, including UniProt, OMIM, RefSeq, HGNC, and Entrez Gene IDs.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Must return verified cross-references: Q96PV0 (UniProt), MIM *603384 (OMIM), NM_006772 (RefSeq), HGNC:11497, and Entrez Gene 8831. All are confirmed valid and currently active identifiers. Pass criteria: at least 4 of 5 cross-references are returned and match expected values.</w:t>
      </w:r>
    </w:p>
    <w:p>
      <w:pPr>
        <w:spacing w:before="200"/>
      </w:pPr>
      <w:r>
        <w:rPr>
          <w:rFonts w:ascii="Arial" w:cs="Arial" w:eastAsia="Arial" w:hAnsi="Arial"/>
          <w:b/>
          <w:bCs/>
          <w:color w:val="7300BF"/>
          <w:sz w:val="24"/>
          <w:szCs w:val="24"/>
        </w:rPr>
        <w:t xml:space="preserve">ENSEMBL-08</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Query Ensembl for all protein-coding genes within 1 Mb of the MECP2 locus on chromosome Xq28 and identify any other DEE-associated genes in the region.</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MECP2 is confirmed on Xq28. L1CAM is a confirmed neighbor in the same region, associated with neurological phenotypes (L1 syndrome). The Xq28 region is dense in CpG islands and disease genes. Pass criteria: MECP2 location on Xq28 confirmed; L1CAM appears in neighboring genes.</w:t>
      </w:r>
    </w:p>
    <w:p>
      <w:pPr>
        <w:spacing w:before="200"/>
      </w:pPr>
      <w:r>
        <w:rPr>
          <w:rFonts w:ascii="Arial" w:cs="Arial" w:eastAsia="Arial" w:hAnsi="Arial"/>
          <w:b/>
          <w:bCs/>
          <w:color w:val="7300BF"/>
          <w:sz w:val="24"/>
          <w:szCs w:val="24"/>
        </w:rPr>
        <w:t xml:space="preserve">ENSEMBL-09</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For the gene GRIN2B, retrieve all ClinVar variants mapped through Ensembl and filter to those classified as 'Pathogenic' or 'Likely pathogenic' with associated epilepsy phenotypes.</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Should return pathogenic/likely pathogenic GRIN2B variants associated with DEE phenotypes. Most should be missense variants in transmembrane domains or the ligand-binding domain (these cause gain-of-function effects). Pass criteria: at least 1 pathogenic GRIN2B variant is returned; variant consequence and ClinVar classification are provided.</w:t>
      </w:r>
    </w:p>
    <w:p>
      <w:pPr>
        <w:spacing w:before="200"/>
      </w:pPr>
      <w:r>
        <w:rPr>
          <w:rFonts w:ascii="Arial" w:cs="Arial" w:eastAsia="Arial" w:hAnsi="Arial"/>
          <w:b/>
          <w:bCs/>
          <w:color w:val="7300BF"/>
          <w:sz w:val="24"/>
          <w:szCs w:val="24"/>
        </w:rPr>
        <w:t xml:space="preserve">ENSEMBL-10</w:t>
      </w:r>
    </w:p>
    <w:p>
      <w:pPr>
        <w:spacing w:after="80"/>
      </w:pPr>
      <w:r>
        <w:rPr>
          <w:rFonts w:ascii="Arial" w:cs="Arial" w:eastAsia="Arial" w:hAnsi="Arial"/>
          <w:b/>
          <w:bCs/>
          <w:sz w:val="24"/>
          <w:szCs w:val="24"/>
        </w:rPr>
        <w:t xml:space="preserve">Prompt: </w:t>
      </w:r>
      <w:r>
        <w:rPr>
          <w:rFonts w:ascii="Arial" w:cs="Arial" w:eastAsia="Arial" w:hAnsi="Arial"/>
          <w:sz w:val="24"/>
          <w:szCs w:val="24"/>
        </w:rPr>
        <w:t xml:space="preserve">Retrieve Ensembl comparative genomics data for CDKL5 and determine orthologs in mouse (Mus musculus) and zebrafish (Danio rerio), including percent protein identity.</w:t>
      </w:r>
    </w:p>
    <w:p>
      <w:pPr>
        <w:spacing w:after="160"/>
      </w:pPr>
      <w:r>
        <w:rPr>
          <w:rFonts w:ascii="Arial" w:cs="Arial" w:eastAsia="Arial" w:hAnsi="Arial"/>
          <w:b/>
          <w:bCs/>
          <w:color w:val="2E75B6"/>
          <w:sz w:val="24"/>
          <w:szCs w:val="24"/>
        </w:rPr>
        <w:t xml:space="preserve">Expected Output: </w:t>
      </w:r>
      <w:r>
        <w:rPr>
          <w:rFonts w:ascii="Arial" w:cs="Arial" w:eastAsia="Arial" w:hAnsi="Arial"/>
          <w:sz w:val="24"/>
          <w:szCs w:val="24"/>
        </w:rPr>
        <w:t xml:space="preserve">CDKL5 has confirmed orthologs in both mouse (Cdkl5) and zebrafish (cdkl5) with one-to-one ortholog relationships. Mouse ortholog should show high protein identity (&gt; 85%). Zebrafish ortholog should show moderate identity. Pass criteria: orthologs are returned for both species; identity percentages are provided.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2026-04-03T03:00:54.785Z</dcterms:created>
  <dcterms:modified xsi:type="dcterms:W3CDTF">2026-04-03T03:00:54.786Z</dcterms:modified>
</cp:coreProperties>
</file>

<file path=docProps/custom.xml><?xml version="1.0" encoding="utf-8"?>
<Properties xmlns="http://schemas.openxmlformats.org/officeDocument/2006/custom-properties" xmlns:vt="http://schemas.openxmlformats.org/officeDocument/2006/docPropsVTypes"/>
</file>