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pPr>
      <w:r>
        <w:rPr>
          <w:rFonts w:ascii="Calibri" w:hAnsi="Calibri"/>
          <w:b/>
          <w:color w:val="1B365D"/>
          <w:sz w:val="36"/>
        </w:rPr>
        <w:t>Patient Health Record Consent Management System (PHRCMS)</w:t>
      </w:r>
    </w:p>
    <w:p>
      <w:pPr>
        <w:spacing w:before="0" w:after="160"/>
      </w:pPr>
      <w:r>
        <w:rPr>
          <w:rFonts w:ascii="Calibri" w:hAnsi="Calibri"/>
          <w:color w:val="475569"/>
          <w:sz w:val="24"/>
        </w:rPr>
        <w:t>Software Engineering Lab 3: Component Modelling &amp; Architectural Pattern Selection</w:t>
      </w:r>
    </w:p>
    <w:tbl>
      <w:tblPr>
        <w:tblW w:type="auto" w:w="0"/>
        <w:jc w:val="center"/>
        <w:tblLook w:firstColumn="1" w:firstRow="1" w:lastColumn="0" w:lastRow="0" w:noHBand="0" w:noVBand="1" w:val="04A0"/>
      </w:tblPr>
      <w:tblGrid>
        <w:gridCol w:w="4946"/>
        <w:gridCol w:w="4946"/>
      </w:tblGrid>
      <w:tr>
        <w:tc>
          <w:tcPr>
            <w:tcW w:type="dxa" w:w="4946"/>
            <w:shd w:fill="F1F5F9"/>
            <w:tcMar>
              <w:top w:w="60" w:type="dxa"/>
              <w:bottom w:w="60" w:type="dxa"/>
              <w:left w:w="100" w:type="dxa"/>
              <w:right w:w="100" w:type="dxa"/>
            </w:tcMar>
          </w:tcPr>
          <w:p>
            <w:pPr>
              <w:spacing w:after="0" w:before="0"/>
            </w:pPr>
            <w:r>
              <w:rPr>
                <w:b/>
                <w:color w:val="1B365D"/>
                <w:sz w:val="19"/>
              </w:rPr>
              <w:t xml:space="preserve">Course: </w:t>
            </w:r>
            <w:r>
              <w:rPr>
                <w:color w:val="0F172A"/>
                <w:sz w:val="19"/>
              </w:rPr>
              <w:t>UE24CS341A – Software Engineering</w:t>
            </w:r>
          </w:p>
        </w:tc>
        <w:tc>
          <w:tcPr>
            <w:tcW w:type="dxa" w:w="4946"/>
            <w:shd w:fill="FFFFFF"/>
            <w:tcMar>
              <w:top w:w="60" w:type="dxa"/>
              <w:bottom w:w="60" w:type="dxa"/>
              <w:left w:w="100" w:type="dxa"/>
              <w:right w:w="100" w:type="dxa"/>
            </w:tcMar>
          </w:tcPr>
          <w:p>
            <w:pPr>
              <w:spacing w:after="0" w:before="0"/>
            </w:pPr>
            <w:r>
              <w:rPr>
                <w:b/>
                <w:color w:val="1B365D"/>
                <w:sz w:val="19"/>
              </w:rPr>
              <w:t xml:space="preserve">Department: </w:t>
            </w:r>
            <w:r>
              <w:rPr>
                <w:color w:val="0F172A"/>
                <w:sz w:val="19"/>
              </w:rPr>
              <w:t>Computer Science and Engineering, PES University</w:t>
            </w:r>
          </w:p>
        </w:tc>
      </w:tr>
      <w:tr>
        <w:tc>
          <w:tcPr>
            <w:tcW w:type="dxa" w:w="4946"/>
            <w:shd w:fill="F1F5F9"/>
            <w:tcMar>
              <w:top w:w="60" w:type="dxa"/>
              <w:bottom w:w="60" w:type="dxa"/>
              <w:left w:w="100" w:type="dxa"/>
              <w:right w:w="100" w:type="dxa"/>
            </w:tcMar>
          </w:tcPr>
          <w:p>
            <w:pPr>
              <w:spacing w:after="0" w:before="0"/>
            </w:pPr>
            <w:r>
              <w:rPr>
                <w:b/>
                <w:color w:val="1B365D"/>
                <w:sz w:val="19"/>
              </w:rPr>
              <w:t xml:space="preserve">Student Name: </w:t>
            </w:r>
            <w:r>
              <w:rPr>
                <w:color w:val="0F172A"/>
                <w:sz w:val="19"/>
              </w:rPr>
              <w:t>Rohan M</w:t>
            </w:r>
          </w:p>
        </w:tc>
        <w:tc>
          <w:tcPr>
            <w:tcW w:type="dxa" w:w="4946"/>
            <w:shd w:fill="FFFFFF"/>
            <w:tcMar>
              <w:top w:w="60" w:type="dxa"/>
              <w:bottom w:w="60" w:type="dxa"/>
              <w:left w:w="100" w:type="dxa"/>
              <w:right w:w="100" w:type="dxa"/>
            </w:tcMar>
          </w:tcPr>
          <w:p>
            <w:pPr>
              <w:spacing w:after="0" w:before="0"/>
            </w:pPr>
            <w:r>
              <w:rPr>
                <w:b/>
                <w:color w:val="1B365D"/>
                <w:sz w:val="19"/>
              </w:rPr>
              <w:t xml:space="preserve">SRN: </w:t>
            </w:r>
            <w:r>
              <w:rPr>
                <w:color w:val="0F172A"/>
                <w:sz w:val="19"/>
              </w:rPr>
              <w:t>PES1UG24CS381 (Section G)</w:t>
            </w:r>
          </w:p>
        </w:tc>
      </w:tr>
      <w:tr>
        <w:tc>
          <w:tcPr>
            <w:tcW w:type="dxa" w:w="4946"/>
            <w:shd w:fill="F1F5F9"/>
            <w:tcMar>
              <w:top w:w="60" w:type="dxa"/>
              <w:bottom w:w="60" w:type="dxa"/>
              <w:left w:w="100" w:type="dxa"/>
              <w:right w:w="100" w:type="dxa"/>
            </w:tcMar>
          </w:tcPr>
          <w:p>
            <w:pPr>
              <w:spacing w:after="0" w:before="0"/>
            </w:pPr>
            <w:r>
              <w:rPr>
                <w:b/>
                <w:color w:val="1B365D"/>
                <w:sz w:val="19"/>
              </w:rPr>
              <w:t xml:space="preserve">Scenario No.: </w:t>
            </w:r>
            <w:r>
              <w:rPr>
                <w:color w:val="0F172A"/>
                <w:sz w:val="19"/>
              </w:rPr>
              <w:t>Scenario 13 (Healthcare &amp; Telemedicine)</w:t>
            </w:r>
          </w:p>
        </w:tc>
        <w:tc>
          <w:tcPr>
            <w:tcW w:type="dxa" w:w="4946"/>
            <w:shd w:fill="FFFFFF"/>
            <w:tcMar>
              <w:top w:w="60" w:type="dxa"/>
              <w:bottom w:w="60" w:type="dxa"/>
              <w:left w:w="100" w:type="dxa"/>
              <w:right w:w="100" w:type="dxa"/>
            </w:tcMar>
          </w:tcPr>
          <w:p>
            <w:pPr>
              <w:spacing w:after="0" w:before="0"/>
            </w:pPr>
            <w:r>
              <w:rPr>
                <w:b/>
                <w:color w:val="1B365D"/>
                <w:sz w:val="19"/>
              </w:rPr>
              <w:t xml:space="preserve">Submission Version: </w:t>
            </w:r>
            <w:r>
              <w:rPr>
                <w:color w:val="0F172A"/>
                <w:sz w:val="19"/>
              </w:rPr>
              <w:t>Version 1.0 (Official Lab 3 Deliverable)</w:t>
            </w:r>
          </w:p>
        </w:tc>
      </w:tr>
      <w:tr>
        <w:tc>
          <w:tcPr>
            <w:tcW w:type="dxa" w:w="4946"/>
            <w:shd w:fill="F1F5F9"/>
            <w:tcMar>
              <w:top w:w="60" w:type="dxa"/>
              <w:bottom w:w="60" w:type="dxa"/>
              <w:left w:w="100" w:type="dxa"/>
              <w:right w:w="100" w:type="dxa"/>
            </w:tcMar>
          </w:tcPr>
          <w:p>
            <w:pPr>
              <w:spacing w:after="0" w:before="0"/>
            </w:pPr>
            <w:r>
              <w:rPr>
                <w:b/>
                <w:color w:val="1B365D"/>
                <w:sz w:val="19"/>
              </w:rPr>
              <w:t xml:space="preserve">GitHub Repository: </w:t>
            </w:r>
            <w:r>
              <w:rPr>
                <w:color w:val="0F172A"/>
                <w:sz w:val="19"/>
              </w:rPr>
              <w:t>https://github.com/rohancodexp/SE-Labs-PES1UG24CS381</w:t>
            </w:r>
          </w:p>
        </w:tc>
        <w:tc>
          <w:tcPr>
            <w:tcW w:type="dxa" w:w="4946"/>
            <w:shd w:fill="FFFFFF"/>
            <w:tcMar>
              <w:top w:w="60" w:type="dxa"/>
              <w:bottom w:w="60" w:type="dxa"/>
              <w:left w:w="100" w:type="dxa"/>
              <w:right w:w="100" w:type="dxa"/>
            </w:tcMar>
          </w:tcPr>
          <w:p>
            <w:pPr>
              <w:spacing w:after="0" w:before="0"/>
            </w:pPr>
            <w:r>
              <w:rPr>
                <w:b/>
                <w:color w:val="1B365D"/>
                <w:sz w:val="19"/>
              </w:rPr>
              <w:t xml:space="preserve">Primary Target Actors: </w:t>
            </w:r>
            <w:r>
              <w:rPr>
                <w:color w:val="0F172A"/>
                <w:sz w:val="19"/>
              </w:rPr>
              <w:t>Patient, Clinic Doctor, Clinic Administrator</w:t>
            </w:r>
          </w:p>
        </w:tc>
      </w:tr>
    </w:tbl>
    <w:p>
      <w:pPr>
        <w:spacing w:after="120"/>
      </w:pPr>
    </w:p>
    <w:p>
      <w:pPr>
        <w:keepNext/>
        <w:spacing w:before="280" w:after="80"/>
      </w:pPr>
      <w:r>
        <w:rPr>
          <w:rFonts w:ascii="Calibri" w:hAnsi="Calibri"/>
          <w:b/>
          <w:color w:val="1B365D"/>
          <w:sz w:val="28"/>
        </w:rPr>
        <w:t>1. Introduction &amp; Problem Statement</w:t>
      </w:r>
    </w:p>
    <w:p>
      <w:pPr>
        <w:spacing w:before="0" w:after="80" w:line="276" w:lineRule="auto"/>
      </w:pPr>
      <w:r>
        <w:rPr>
          <w:rFonts w:ascii="Calibri" w:hAnsi="Calibri"/>
          <w:color w:val="0F172A"/>
          <w:sz w:val="20"/>
        </w:rPr>
        <w:t>In continuation of Lab 1 (Requirements Engineering &amp; UML Use-Case Modelling) and Lab 2 (Agile Backlog Creation &amp; Sprint Simulation), this specification establishes the Component Architecture and Architectural Pattern Selection for the Patient Health Record Consent Management System (PHRCMS).</w:t>
      </w:r>
    </w:p>
    <w:p>
      <w:pPr>
        <w:spacing w:before="0" w:after="80" w:line="276" w:lineRule="auto"/>
      </w:pPr>
      <w:r>
        <w:rPr>
          <w:rFonts w:ascii="Calibri" w:hAnsi="Calibri"/>
          <w:color w:val="0F172A"/>
          <w:sz w:val="20"/>
        </w:rPr>
        <w:t>Modern healthcare delivery and telemedicine depend heavily on rapid inter-clinical data exchange. However, unconstrained clinical access to sensitive diagnostic health records creates severe data exposure hazards and violates privacy statutes (e.g., HIPAA Security Rule and India's DISHA). The PHRCMS resolves this tension through patient-centric sovereignty: diagnostic records are locked by default and accessible only when an active, time-bounded, unexpired, and unrevoked consent permission has been explicitly granted by the patient to a clinic administrator-verified medical doctor.</w:t>
      </w:r>
    </w:p>
    <w:p>
      <w:pPr>
        <w:keepNext/>
        <w:spacing w:before="200" w:after="60"/>
      </w:pPr>
      <w:r>
        <w:rPr>
          <w:rFonts w:ascii="Calibri" w:hAnsi="Calibri"/>
          <w:b/>
          <w:color w:val="1B365D"/>
          <w:sz w:val="24"/>
        </w:rPr>
        <w:t>1.1 Core Requirements Realized in Architecture</w:t>
      </w:r>
    </w:p>
    <w:p>
      <w:pPr>
        <w:pStyle w:val="ListBullet"/>
        <w:spacing w:before="0" w:after="60" w:line="276" w:lineRule="auto"/>
      </w:pPr>
      <w:r>
        <w:rPr>
          <w:rFonts w:ascii="Calibri" w:hAnsi="Calibri"/>
          <w:b/>
          <w:color w:val="0F172A"/>
          <w:sz w:val="20"/>
        </w:rPr>
        <w:t xml:space="preserve">FR-001 (Time-Bounded Consent Grant): </w:t>
      </w:r>
      <w:r>
        <w:rPr>
          <w:rFonts w:ascii="Calibri" w:hAnsi="Calibri"/>
          <w:color w:val="0F172A"/>
          <w:sz w:val="20"/>
        </w:rPr>
        <w:t>The system shall allow a patient to grant time-bounded access permissions for specific diagnostic records to verified clinic doctors, requiring a valid future expiration timestamp.</w:t>
      </w:r>
    </w:p>
    <w:p>
      <w:pPr>
        <w:pStyle w:val="ListBullet"/>
        <w:spacing w:before="0" w:after="60" w:line="276" w:lineRule="auto"/>
      </w:pPr>
      <w:r>
        <w:rPr>
          <w:rFonts w:ascii="Calibri" w:hAnsi="Calibri"/>
          <w:b/>
          <w:color w:val="0F172A"/>
          <w:sz w:val="20"/>
        </w:rPr>
        <w:t xml:space="preserve">FR-002 (Real-Time Revocation): </w:t>
      </w:r>
      <w:r>
        <w:rPr>
          <w:rFonts w:ascii="Calibri" w:hAnsi="Calibri"/>
          <w:color w:val="0F172A"/>
          <w:sz w:val="20"/>
        </w:rPr>
        <w:t>The system shall allow a patient to revoke any active consent permission at any time prior to its scheduled expiration, immediately terminating access.</w:t>
      </w:r>
    </w:p>
    <w:p>
      <w:pPr>
        <w:pStyle w:val="ListBullet"/>
        <w:spacing w:before="0" w:after="60" w:line="276" w:lineRule="auto"/>
      </w:pPr>
      <w:r>
        <w:rPr>
          <w:rFonts w:ascii="Calibri" w:hAnsi="Calibri"/>
          <w:b/>
          <w:color w:val="0F172A"/>
          <w:sz w:val="20"/>
        </w:rPr>
        <w:t xml:space="preserve">FR-003 (Consent Registry Visibility): </w:t>
      </w:r>
      <w:r>
        <w:rPr>
          <w:rFonts w:ascii="Calibri" w:hAnsi="Calibri"/>
          <w:color w:val="0F172A"/>
          <w:sz w:val="20"/>
        </w:rPr>
        <w:t>The system shall display a real-time list of all active and expired consent permissions to the logged-in patient, including doctor details and expiration timestamps.</w:t>
      </w:r>
    </w:p>
    <w:p>
      <w:pPr>
        <w:pStyle w:val="ListBullet"/>
        <w:spacing w:before="0" w:after="60" w:line="276" w:lineRule="auto"/>
      </w:pPr>
      <w:r>
        <w:rPr>
          <w:rFonts w:ascii="Calibri" w:hAnsi="Calibri"/>
          <w:b/>
          <w:color w:val="0F172A"/>
          <w:sz w:val="20"/>
        </w:rPr>
        <w:t xml:space="preserve">FR-004 (Enforced Authorized Record Access): </w:t>
      </w:r>
      <w:r>
        <w:rPr>
          <w:rFonts w:ascii="Calibri" w:hAnsi="Calibri"/>
          <w:color w:val="0F172A"/>
          <w:sz w:val="20"/>
        </w:rPr>
        <w:t>The system shall permit a verified clinic doctor to view authorized patient diagnostic records only if there is an active, unexpired consent granted by the patient.</w:t>
      </w:r>
    </w:p>
    <w:p>
      <w:pPr>
        <w:pStyle w:val="ListBullet"/>
        <w:spacing w:before="0" w:after="60" w:line="276" w:lineRule="auto"/>
      </w:pPr>
      <w:r>
        <w:rPr>
          <w:rFonts w:ascii="Calibri" w:hAnsi="Calibri"/>
          <w:b/>
          <w:color w:val="0F172A"/>
          <w:sz w:val="20"/>
        </w:rPr>
        <w:t xml:space="preserve">FR-005 (Doctor Verification Management): </w:t>
      </w:r>
      <w:r>
        <w:rPr>
          <w:rFonts w:ascii="Calibri" w:hAnsi="Calibri"/>
          <w:color w:val="0F172A"/>
          <w:sz w:val="20"/>
        </w:rPr>
        <w:t>The system shall allow a Clinic Administrator to register and manage the verification status of clinic doctors; unverified doctors cannot receive consent grants.</w:t>
      </w:r>
    </w:p>
    <w:p>
      <w:pPr>
        <w:pStyle w:val="ListBullet"/>
        <w:spacing w:before="0" w:after="60" w:line="276" w:lineRule="auto"/>
      </w:pPr>
      <w:r>
        <w:rPr>
          <w:rFonts w:ascii="Calibri" w:hAnsi="Calibri"/>
          <w:b/>
          <w:color w:val="0F172A"/>
          <w:sz w:val="20"/>
        </w:rPr>
        <w:t xml:space="preserve">NFR-001 (Immutable Audit Logging): </w:t>
      </w:r>
      <w:r>
        <w:rPr>
          <w:rFonts w:ascii="Calibri" w:hAnsi="Calibri"/>
          <w:color w:val="0F172A"/>
          <w:sz w:val="20"/>
        </w:rPr>
        <w:t>All consent grant, revoke, and record-access events shall be permanently written to an append-only, tamper-evident audit trail.</w:t>
      </w:r>
    </w:p>
    <w:p>
      <w:pPr>
        <w:pStyle w:val="ListBullet"/>
        <w:spacing w:before="0" w:after="60" w:line="276" w:lineRule="auto"/>
      </w:pPr>
      <w:r>
        <w:rPr>
          <w:rFonts w:ascii="Calibri" w:hAnsi="Calibri"/>
          <w:b/>
          <w:color w:val="0F172A"/>
          <w:sz w:val="20"/>
        </w:rPr>
        <w:t xml:space="preserve">NFR-002 (Sub-500ms Authorization Latency): </w:t>
      </w:r>
      <w:r>
        <w:rPr>
          <w:rFonts w:ascii="Calibri" w:hAnsi="Calibri"/>
          <w:color w:val="0F172A"/>
          <w:sz w:val="20"/>
        </w:rPr>
        <w:t>The system shall complete the verification of consent status and authorize or deny a doctor's access request in less than 500 milliseconds.</w:t>
      </w:r>
    </w:p>
    <w:p>
      <w:pPr>
        <w:keepNext/>
        <w:spacing w:before="280" w:after="80"/>
      </w:pPr>
      <w:r>
        <w:rPr>
          <w:rFonts w:ascii="Calibri" w:hAnsi="Calibri"/>
          <w:b/>
          <w:color w:val="1B365D"/>
          <w:sz w:val="28"/>
        </w:rPr>
        <w:t>2. UML 2.5 Component Modelling Specification</w:t>
      </w:r>
    </w:p>
    <w:p>
      <w:pPr>
        <w:spacing w:before="0" w:after="80" w:line="276" w:lineRule="auto"/>
      </w:pPr>
      <w:r>
        <w:rPr>
          <w:rFonts w:ascii="Calibri" w:hAnsi="Calibri"/>
          <w:color w:val="0F172A"/>
          <w:sz w:val="20"/>
        </w:rPr>
        <w:t>The architecture is decomposed into four discrete, highly cohesive tiers: Client Presentation Subsystem, Secure Edge Gateway Subsystem, Core Application &amp; Domain Services Subsystem, and Data Persistence &amp; Storage Subsystem. The diagram adheres strictly to official UML 2.5 notation, utilizing &lt;&lt;component&gt;&gt; stereotypes, explicit provided interfaces (ball/lollipop notation), required interfaces (socket notation), assembly connectors, and database stereotypes.</w:t>
      </w:r>
    </w:p>
    <w:p>
      <w:pPr>
        <w:keepNext/>
        <w:spacing w:before="120" w:after="40"/>
        <w:jc w:val="center"/>
      </w:pPr>
      <w:r>
        <w:drawing>
          <wp:inline xmlns:a="http://schemas.openxmlformats.org/drawingml/2006/main" xmlns:pic="http://schemas.openxmlformats.org/drawingml/2006/picture">
            <wp:extent cx="6281928" cy="4580572"/>
            <wp:docPr id="1" name="Picture 1"/>
            <wp:cNvGraphicFramePr>
              <a:graphicFrameLocks noChangeAspect="1"/>
            </wp:cNvGraphicFramePr>
            <a:graphic>
              <a:graphicData uri="http://schemas.openxmlformats.org/drawingml/2006/picture">
                <pic:pic>
                  <pic:nvPicPr>
                    <pic:cNvPr id="0" name="component-diagram.png"/>
                    <pic:cNvPicPr/>
                  </pic:nvPicPr>
                  <pic:blipFill>
                    <a:blip r:embed="rId9"/>
                    <a:stretch>
                      <a:fillRect/>
                    </a:stretch>
                  </pic:blipFill>
                  <pic:spPr>
                    <a:xfrm>
                      <a:off x="0" y="0"/>
                      <a:ext cx="6281928" cy="4580572"/>
                    </a:xfrm>
                    <a:prstGeom prst="rect"/>
                  </pic:spPr>
                </pic:pic>
              </a:graphicData>
            </a:graphic>
          </wp:inline>
        </w:drawing>
      </w:r>
    </w:p>
    <w:p>
      <w:pPr>
        <w:spacing w:after="160"/>
        <w:jc w:val="center"/>
      </w:pPr>
      <w:r>
        <w:rPr>
          <w:rFonts w:ascii="Calibri" w:hAnsi="Calibri"/>
          <w:i/>
          <w:color w:val="475569"/>
          <w:sz w:val="18"/>
        </w:rPr>
        <w:t>Figure 1: UML 2.5 Component Diagram of the Patient Health Record Consent Management System (PHRCMS)</w:t>
      </w:r>
    </w:p>
    <w:p>
      <w:pPr>
        <w:keepNext/>
        <w:spacing w:before="280" w:after="80"/>
      </w:pPr>
      <w:r>
        <w:rPr>
          <w:rFonts w:ascii="Calibri" w:hAnsi="Calibri"/>
          <w:b/>
          <w:color w:val="1B365D"/>
          <w:sz w:val="28"/>
        </w:rPr>
        <w:t>3. Detailed Component &amp; Interface Catalog</w:t>
      </w:r>
    </w:p>
    <w:tbl>
      <w:tblPr>
        <w:tblW w:type="auto" w:w="0"/>
        <w:jc w:val="center"/>
        <w:tblLook w:firstColumn="1" w:firstRow="1" w:lastColumn="0" w:lastRow="0" w:noHBand="0" w:noVBand="1" w:val="04A0"/>
      </w:tblPr>
      <w:tblGrid>
        <w:gridCol w:w="1979"/>
        <w:gridCol w:w="1979"/>
        <w:gridCol w:w="1979"/>
        <w:gridCol w:w="1979"/>
        <w:gridCol w:w="1979"/>
      </w:tblGrid>
      <w:tr>
        <w:tc>
          <w:tcPr>
            <w:tcW w:type="dxa" w:w="1872"/>
            <w:shd w:fill="1B365D"/>
            <w:tcMar>
              <w:top w:w="80" w:type="dxa"/>
              <w:bottom w:w="80" w:type="dxa"/>
              <w:left w:w="80" w:type="dxa"/>
              <w:right w:w="80" w:type="dxa"/>
            </w:tcMar>
          </w:tcPr>
          <w:p>
            <w:r>
              <w:rPr>
                <w:b/>
                <w:color w:val="FFFFFF"/>
                <w:sz w:val="17"/>
              </w:rPr>
              <w:t>Component Name</w:t>
            </w:r>
          </w:p>
        </w:tc>
        <w:tc>
          <w:tcPr>
            <w:tcW w:type="dxa" w:w="1584"/>
            <w:shd w:fill="1B365D"/>
            <w:tcMar>
              <w:top w:w="80" w:type="dxa"/>
              <w:bottom w:w="80" w:type="dxa"/>
              <w:left w:w="80" w:type="dxa"/>
              <w:right w:w="80" w:type="dxa"/>
            </w:tcMar>
          </w:tcPr>
          <w:p>
            <w:r>
              <w:rPr>
                <w:b/>
                <w:color w:val="FFFFFF"/>
                <w:sz w:val="17"/>
              </w:rPr>
              <w:t>Tier / Subsystem</w:t>
            </w:r>
          </w:p>
        </w:tc>
        <w:tc>
          <w:tcPr>
            <w:tcW w:type="dxa" w:w="2880"/>
            <w:shd w:fill="1B365D"/>
            <w:tcMar>
              <w:top w:w="80" w:type="dxa"/>
              <w:bottom w:w="80" w:type="dxa"/>
              <w:left w:w="80" w:type="dxa"/>
              <w:right w:w="80" w:type="dxa"/>
            </w:tcMar>
          </w:tcPr>
          <w:p>
            <w:r>
              <w:rPr>
                <w:b/>
                <w:color w:val="FFFFFF"/>
                <w:sz w:val="17"/>
              </w:rPr>
              <w:t>Responsibilities</w:t>
            </w:r>
          </w:p>
        </w:tc>
        <w:tc>
          <w:tcPr>
            <w:tcW w:type="dxa" w:w="2592"/>
            <w:shd w:fill="1B365D"/>
            <w:tcMar>
              <w:top w:w="80" w:type="dxa"/>
              <w:bottom w:w="80" w:type="dxa"/>
              <w:left w:w="80" w:type="dxa"/>
              <w:right w:w="80" w:type="dxa"/>
            </w:tcMar>
          </w:tcPr>
          <w:p>
            <w:r>
              <w:rPr>
                <w:b/>
                <w:color w:val="FFFFFF"/>
                <w:sz w:val="17"/>
              </w:rPr>
              <w:t>Interfaces (Provided / Required)</w:t>
            </w:r>
          </w:p>
        </w:tc>
        <w:tc>
          <w:tcPr>
            <w:tcW w:type="dxa" w:w="1296"/>
            <w:shd w:fill="1B365D"/>
            <w:tcMar>
              <w:top w:w="80" w:type="dxa"/>
              <w:bottom w:w="80" w:type="dxa"/>
              <w:left w:w="80" w:type="dxa"/>
              <w:right w:w="80" w:type="dxa"/>
            </w:tcMar>
          </w:tcPr>
          <w:p>
            <w:r>
              <w:rPr>
                <w:b/>
                <w:color w:val="FFFFFF"/>
                <w:sz w:val="17"/>
              </w:rPr>
              <w:t>Traceability</w:t>
            </w:r>
          </w:p>
        </w:tc>
      </w:tr>
      <w:tr>
        <w:tc>
          <w:tcPr>
            <w:tcW w:type="dxa" w:w="1872"/>
            <w:tcMar>
              <w:top w:w="50" w:type="dxa"/>
              <w:bottom w:w="50" w:type="dxa"/>
              <w:left w:w="60" w:type="dxa"/>
              <w:right w:w="60" w:type="dxa"/>
            </w:tcMar>
          </w:tcPr>
          <w:p>
            <w:r>
              <w:rPr>
                <w:b/>
                <w:sz w:val="17"/>
              </w:rPr>
              <w:t>Patient Portal Component</w:t>
            </w:r>
          </w:p>
        </w:tc>
        <w:tc>
          <w:tcPr>
            <w:tcW w:type="dxa" w:w="1584"/>
            <w:tcMar>
              <w:top w:w="50" w:type="dxa"/>
              <w:bottom w:w="50" w:type="dxa"/>
              <w:left w:w="60" w:type="dxa"/>
              <w:right w:w="60" w:type="dxa"/>
            </w:tcMar>
          </w:tcPr>
          <w:p>
            <w:r>
              <w:rPr>
                <w:sz w:val="16"/>
              </w:rPr>
              <w:t>Client Presentation Tier</w:t>
            </w:r>
          </w:p>
        </w:tc>
        <w:tc>
          <w:tcPr>
            <w:tcW w:type="dxa" w:w="2880"/>
            <w:tcMar>
              <w:top w:w="50" w:type="dxa"/>
              <w:bottom w:w="50" w:type="dxa"/>
              <w:left w:w="60" w:type="dxa"/>
              <w:right w:w="60" w:type="dxa"/>
            </w:tcMar>
          </w:tcPr>
          <w:p>
            <w:r>
              <w:rPr>
                <w:sz w:val="16"/>
              </w:rPr>
              <w:t>Progressive Web App (React/TypeScript) providing patient authentication, consent granting workflows, instant revocation triggers, and real-time consent registry auditing.</w:t>
            </w:r>
          </w:p>
        </w:tc>
        <w:tc>
          <w:tcPr>
            <w:tcW w:type="dxa" w:w="2592"/>
            <w:tcMar>
              <w:top w:w="50" w:type="dxa"/>
              <w:bottom w:w="50" w:type="dxa"/>
              <w:left w:w="60" w:type="dxa"/>
              <w:right w:w="60" w:type="dxa"/>
            </w:tcMar>
          </w:tcPr>
          <w:p>
            <w:r>
              <w:rPr>
                <w:b/>
                <w:sz w:val="16"/>
              </w:rPr>
              <w:t xml:space="preserve">Provided: </w:t>
            </w:r>
            <w:r>
              <w:rPr>
                <w:sz w:val="15"/>
              </w:rPr>
              <w:t>IConsentServiceAPI (Exposed to patient users)</w:t>
              <w:br/>
            </w:r>
            <w:r>
              <w:rPr>
                <w:b/>
                <w:sz w:val="16"/>
              </w:rPr>
              <w:t xml:space="preserve">Required: </w:t>
            </w:r>
            <w:r>
              <w:rPr>
                <w:sz w:val="15"/>
              </w:rPr>
              <w:t>IAuthAPI (OAuth2 / OIDC token acquisition)</w:t>
            </w:r>
          </w:p>
        </w:tc>
        <w:tc>
          <w:tcPr>
            <w:tcW w:type="dxa" w:w="1296"/>
            <w:tcMar>
              <w:top w:w="50" w:type="dxa"/>
              <w:bottom w:w="50" w:type="dxa"/>
              <w:left w:w="60" w:type="dxa"/>
              <w:right w:w="60" w:type="dxa"/>
            </w:tcMar>
          </w:tcPr>
          <w:p>
            <w:r>
              <w:rPr>
                <w:sz w:val="16"/>
              </w:rPr>
              <w:t>FR-001, FR-002, FR-003</w:t>
            </w:r>
          </w:p>
        </w:tc>
      </w:tr>
      <w:tr>
        <w:tc>
          <w:tcPr>
            <w:tcW w:type="dxa" w:w="1872"/>
            <w:tcMar>
              <w:top w:w="50" w:type="dxa"/>
              <w:bottom w:w="50" w:type="dxa"/>
              <w:left w:w="60" w:type="dxa"/>
              <w:right w:w="60" w:type="dxa"/>
            </w:tcMar>
          </w:tcPr>
          <w:p>
            <w:r>
              <w:rPr>
                <w:b/>
                <w:sz w:val="17"/>
              </w:rPr>
              <w:t>Doctor Clinical Portal Component</w:t>
            </w:r>
          </w:p>
        </w:tc>
        <w:tc>
          <w:tcPr>
            <w:tcW w:type="dxa" w:w="1584"/>
            <w:tcMar>
              <w:top w:w="50" w:type="dxa"/>
              <w:bottom w:w="50" w:type="dxa"/>
              <w:left w:w="60" w:type="dxa"/>
              <w:right w:w="60" w:type="dxa"/>
            </w:tcMar>
          </w:tcPr>
          <w:p>
            <w:r>
              <w:rPr>
                <w:sz w:val="16"/>
              </w:rPr>
              <w:t>Client Presentation Tier</w:t>
            </w:r>
          </w:p>
        </w:tc>
        <w:tc>
          <w:tcPr>
            <w:tcW w:type="dxa" w:w="2880"/>
            <w:tcMar>
              <w:top w:w="50" w:type="dxa"/>
              <w:bottom w:w="50" w:type="dxa"/>
              <w:left w:w="60" w:type="dxa"/>
              <w:right w:w="60" w:type="dxa"/>
            </w:tcMar>
          </w:tcPr>
          <w:p>
            <w:r>
              <w:rPr>
                <w:sz w:val="16"/>
              </w:rPr>
              <w:t>Clinical EHR viewing interface allowing verified doctors to search assigned patients, view diagnostic health summaries, and request time-bounded access under active consent.</w:t>
            </w:r>
          </w:p>
        </w:tc>
        <w:tc>
          <w:tcPr>
            <w:tcW w:type="dxa" w:w="2592"/>
            <w:tcMar>
              <w:top w:w="50" w:type="dxa"/>
              <w:bottom w:w="50" w:type="dxa"/>
              <w:left w:w="60" w:type="dxa"/>
              <w:right w:w="60" w:type="dxa"/>
            </w:tcMar>
          </w:tcPr>
          <w:p>
            <w:r>
              <w:rPr>
                <w:b/>
                <w:sz w:val="16"/>
              </w:rPr>
              <w:t xml:space="preserve">Provided: </w:t>
            </w:r>
            <w:r>
              <w:rPr>
                <w:sz w:val="15"/>
              </w:rPr>
              <w:t>IRecordAccessAPI (Exposed to clinical physicians)</w:t>
              <w:br/>
            </w:r>
            <w:r>
              <w:rPr>
                <w:b/>
                <w:sz w:val="16"/>
              </w:rPr>
              <w:t xml:space="preserve">Required: </w:t>
            </w:r>
            <w:r>
              <w:rPr>
                <w:sz w:val="15"/>
              </w:rPr>
              <w:t>IAuthAPI (Clinical practitioner credential validation)</w:t>
            </w:r>
          </w:p>
        </w:tc>
        <w:tc>
          <w:tcPr>
            <w:tcW w:type="dxa" w:w="1296"/>
            <w:tcMar>
              <w:top w:w="50" w:type="dxa"/>
              <w:bottom w:w="50" w:type="dxa"/>
              <w:left w:w="60" w:type="dxa"/>
              <w:right w:w="60" w:type="dxa"/>
            </w:tcMar>
          </w:tcPr>
          <w:p>
            <w:r>
              <w:rPr>
                <w:sz w:val="16"/>
              </w:rPr>
              <w:t>FR-004</w:t>
            </w:r>
          </w:p>
        </w:tc>
      </w:tr>
      <w:tr>
        <w:tc>
          <w:tcPr>
            <w:tcW w:type="dxa" w:w="1872"/>
            <w:tcMar>
              <w:top w:w="50" w:type="dxa"/>
              <w:bottom w:w="50" w:type="dxa"/>
              <w:left w:w="60" w:type="dxa"/>
              <w:right w:w="60" w:type="dxa"/>
            </w:tcMar>
          </w:tcPr>
          <w:p>
            <w:r>
              <w:rPr>
                <w:b/>
                <w:sz w:val="17"/>
              </w:rPr>
              <w:t>Clinic Admin Portal Component</w:t>
            </w:r>
          </w:p>
        </w:tc>
        <w:tc>
          <w:tcPr>
            <w:tcW w:type="dxa" w:w="1584"/>
            <w:tcMar>
              <w:top w:w="50" w:type="dxa"/>
              <w:bottom w:w="50" w:type="dxa"/>
              <w:left w:w="60" w:type="dxa"/>
              <w:right w:w="60" w:type="dxa"/>
            </w:tcMar>
          </w:tcPr>
          <w:p>
            <w:r>
              <w:rPr>
                <w:sz w:val="16"/>
              </w:rPr>
              <w:t>Client Presentation Tier</w:t>
            </w:r>
          </w:p>
        </w:tc>
        <w:tc>
          <w:tcPr>
            <w:tcW w:type="dxa" w:w="2880"/>
            <w:tcMar>
              <w:top w:w="50" w:type="dxa"/>
              <w:bottom w:w="50" w:type="dxa"/>
              <w:left w:w="60" w:type="dxa"/>
              <w:right w:w="60" w:type="dxa"/>
            </w:tcMar>
          </w:tcPr>
          <w:p>
            <w:r>
              <w:rPr>
                <w:sz w:val="16"/>
              </w:rPr>
              <w:t>Administrative console enabling clinic managers to onboard medical practitioners, verify state medical council registrations, and inspect compliance audit logs.</w:t>
            </w:r>
          </w:p>
        </w:tc>
        <w:tc>
          <w:tcPr>
            <w:tcW w:type="dxa" w:w="2592"/>
            <w:tcMar>
              <w:top w:w="50" w:type="dxa"/>
              <w:bottom w:w="50" w:type="dxa"/>
              <w:left w:w="60" w:type="dxa"/>
              <w:right w:w="60" w:type="dxa"/>
            </w:tcMar>
          </w:tcPr>
          <w:p>
            <w:r>
              <w:rPr>
                <w:b/>
                <w:sz w:val="16"/>
              </w:rPr>
              <w:t xml:space="preserve">Provided: </w:t>
            </w:r>
            <w:r>
              <w:rPr>
                <w:sz w:val="15"/>
              </w:rPr>
              <w:t>IDoctorAdminAPI (Exposed to authorized hospital admins)</w:t>
              <w:br/>
            </w:r>
            <w:r>
              <w:rPr>
                <w:b/>
                <w:sz w:val="16"/>
              </w:rPr>
              <w:t xml:space="preserve">Required: </w:t>
            </w:r>
            <w:r>
              <w:rPr>
                <w:sz w:val="15"/>
              </w:rPr>
              <w:t>IAuthAPI (Multi-factor administrative authentication)</w:t>
            </w:r>
          </w:p>
        </w:tc>
        <w:tc>
          <w:tcPr>
            <w:tcW w:type="dxa" w:w="1296"/>
            <w:tcMar>
              <w:top w:w="50" w:type="dxa"/>
              <w:bottom w:w="50" w:type="dxa"/>
              <w:left w:w="60" w:type="dxa"/>
              <w:right w:w="60" w:type="dxa"/>
            </w:tcMar>
          </w:tcPr>
          <w:p>
            <w:r>
              <w:rPr>
                <w:sz w:val="16"/>
              </w:rPr>
              <w:t>FR-005</w:t>
            </w:r>
          </w:p>
        </w:tc>
      </w:tr>
      <w:tr>
        <w:tc>
          <w:tcPr>
            <w:tcW w:type="dxa" w:w="1872"/>
            <w:tcMar>
              <w:top w:w="50" w:type="dxa"/>
              <w:bottom w:w="50" w:type="dxa"/>
              <w:left w:w="60" w:type="dxa"/>
              <w:right w:w="60" w:type="dxa"/>
            </w:tcMar>
          </w:tcPr>
          <w:p>
            <w:r>
              <w:rPr>
                <w:b/>
                <w:sz w:val="17"/>
              </w:rPr>
              <w:t>API Gateway &amp; Auth Guard Component</w:t>
            </w:r>
          </w:p>
        </w:tc>
        <w:tc>
          <w:tcPr>
            <w:tcW w:type="dxa" w:w="1584"/>
            <w:tcMar>
              <w:top w:w="50" w:type="dxa"/>
              <w:bottom w:w="50" w:type="dxa"/>
              <w:left w:w="60" w:type="dxa"/>
              <w:right w:w="60" w:type="dxa"/>
            </w:tcMar>
          </w:tcPr>
          <w:p>
            <w:r>
              <w:rPr>
                <w:sz w:val="16"/>
              </w:rPr>
              <w:t>Secure Edge &amp; Perimeter Tier</w:t>
            </w:r>
          </w:p>
        </w:tc>
        <w:tc>
          <w:tcPr>
            <w:tcW w:type="dxa" w:w="2880"/>
            <w:tcMar>
              <w:top w:w="50" w:type="dxa"/>
              <w:bottom w:w="50" w:type="dxa"/>
              <w:left w:w="60" w:type="dxa"/>
              <w:right w:w="60" w:type="dxa"/>
            </w:tcMar>
          </w:tcPr>
          <w:p>
            <w:r>
              <w:rPr>
                <w:sz w:val="16"/>
              </w:rPr>
              <w:t>Central reverse proxy and ingress controller. Performs TLS 1.3 termination, token-bucket rate limiting (DDoS defense), JWT signature validation, and RBAC claims extraction.</w:t>
            </w:r>
          </w:p>
        </w:tc>
        <w:tc>
          <w:tcPr>
            <w:tcW w:type="dxa" w:w="2592"/>
            <w:tcMar>
              <w:top w:w="50" w:type="dxa"/>
              <w:bottom w:w="50" w:type="dxa"/>
              <w:left w:w="60" w:type="dxa"/>
              <w:right w:w="60" w:type="dxa"/>
            </w:tcMar>
          </w:tcPr>
          <w:p>
            <w:r>
              <w:rPr>
                <w:b/>
                <w:sz w:val="16"/>
              </w:rPr>
              <w:t xml:space="preserve">Provided: </w:t>
            </w:r>
            <w:r>
              <w:rPr>
                <w:sz w:val="15"/>
              </w:rPr>
              <w:t>IEdgeGatewayAPI (Single public ingress entry point)</w:t>
              <w:br/>
            </w:r>
            <w:r>
              <w:rPr>
                <w:b/>
                <w:sz w:val="16"/>
              </w:rPr>
              <w:t xml:space="preserve">Required: </w:t>
            </w:r>
            <w:r>
              <w:rPr>
                <w:sz w:val="15"/>
              </w:rPr>
              <w:t>IConsentLifecycleService</w:t>
              <w:br/>
              <w:t>IRecordAccessInterception</w:t>
              <w:br/>
              <w:t>IDoctorAdminService</w:t>
            </w:r>
          </w:p>
        </w:tc>
        <w:tc>
          <w:tcPr>
            <w:tcW w:type="dxa" w:w="1296"/>
            <w:tcMar>
              <w:top w:w="50" w:type="dxa"/>
              <w:bottom w:w="50" w:type="dxa"/>
              <w:left w:w="60" w:type="dxa"/>
              <w:right w:w="60" w:type="dxa"/>
            </w:tcMar>
          </w:tcPr>
          <w:p>
            <w:r>
              <w:rPr>
                <w:sz w:val="16"/>
              </w:rPr>
              <w:t>Cross-cutting perimeter security &amp; NFR-002 traffic shaping</w:t>
            </w:r>
          </w:p>
        </w:tc>
      </w:tr>
      <w:tr>
        <w:tc>
          <w:tcPr>
            <w:tcW w:type="dxa" w:w="1872"/>
            <w:tcMar>
              <w:top w:w="50" w:type="dxa"/>
              <w:bottom w:w="50" w:type="dxa"/>
              <w:left w:w="60" w:type="dxa"/>
              <w:right w:w="60" w:type="dxa"/>
            </w:tcMar>
          </w:tcPr>
          <w:p>
            <w:r>
              <w:rPr>
                <w:b/>
                <w:sz w:val="17"/>
              </w:rPr>
              <w:t>Consent Management Component</w:t>
            </w:r>
          </w:p>
        </w:tc>
        <w:tc>
          <w:tcPr>
            <w:tcW w:type="dxa" w:w="1584"/>
            <w:tcMar>
              <w:top w:w="50" w:type="dxa"/>
              <w:bottom w:w="50" w:type="dxa"/>
              <w:left w:w="60" w:type="dxa"/>
              <w:right w:w="60" w:type="dxa"/>
            </w:tcMar>
          </w:tcPr>
          <w:p>
            <w:r>
              <w:rPr>
                <w:sz w:val="16"/>
              </w:rPr>
              <w:t>Core Application Tier</w:t>
            </w:r>
          </w:p>
        </w:tc>
        <w:tc>
          <w:tcPr>
            <w:tcW w:type="dxa" w:w="2880"/>
            <w:tcMar>
              <w:top w:w="50" w:type="dxa"/>
              <w:bottom w:w="50" w:type="dxa"/>
              <w:left w:w="60" w:type="dxa"/>
              <w:right w:w="60" w:type="dxa"/>
            </w:tcMar>
          </w:tcPr>
          <w:p>
            <w:r>
              <w:rPr>
                <w:sz w:val="16"/>
              </w:rPr>
              <w:t>Core domain entity governing consent lifecycle states (Active, Expired, Revoked). Validates future expiration timestamps, cross-verifies doctor verification status prior to granting, and invalidates authorization caches upon revocation.</w:t>
            </w:r>
          </w:p>
        </w:tc>
        <w:tc>
          <w:tcPr>
            <w:tcW w:type="dxa" w:w="2592"/>
            <w:tcMar>
              <w:top w:w="50" w:type="dxa"/>
              <w:bottom w:w="50" w:type="dxa"/>
              <w:left w:w="60" w:type="dxa"/>
              <w:right w:w="60" w:type="dxa"/>
            </w:tcMar>
          </w:tcPr>
          <w:p>
            <w:r>
              <w:rPr>
                <w:b/>
                <w:sz w:val="16"/>
              </w:rPr>
              <w:t xml:space="preserve">Provided: </w:t>
            </w:r>
            <w:r>
              <w:rPr>
                <w:sz w:val="15"/>
              </w:rPr>
              <w:t>IConsentGrant: grantConsent(patId, docId, recIds, expiry)</w:t>
              <w:br/>
              <w:t>IConsentRevoke: revokeConsent(patId, consentId)</w:t>
              <w:br/>
              <w:t>IConsentQuery: getActiveConsents(patId), getRegistry()</w:t>
              <w:br/>
            </w:r>
            <w:r>
              <w:rPr>
                <w:b/>
                <w:sz w:val="16"/>
              </w:rPr>
              <w:t xml:space="preserve">Required: </w:t>
            </w:r>
            <w:r>
              <w:rPr>
                <w:sz w:val="15"/>
              </w:rPr>
              <w:t>IDoctorVerificationCheck (queries doctor status)</w:t>
              <w:br/>
              <w:t>IConsentDataStore (writes to PostgreSQL)</w:t>
              <w:br/>
              <w:t>IAuditPublisher (dispatches audit event)</w:t>
              <w:br/>
              <w:t>IFastConsentCacheSync (updates Redis)</w:t>
            </w:r>
          </w:p>
        </w:tc>
        <w:tc>
          <w:tcPr>
            <w:tcW w:type="dxa" w:w="1296"/>
            <w:tcMar>
              <w:top w:w="50" w:type="dxa"/>
              <w:bottom w:w="50" w:type="dxa"/>
              <w:left w:w="60" w:type="dxa"/>
              <w:right w:w="60" w:type="dxa"/>
            </w:tcMar>
          </w:tcPr>
          <w:p>
            <w:r>
              <w:rPr>
                <w:sz w:val="16"/>
              </w:rPr>
              <w:t>FR-001, FR-002, FR-003</w:t>
            </w:r>
          </w:p>
        </w:tc>
      </w:tr>
      <w:tr>
        <w:tc>
          <w:tcPr>
            <w:tcW w:type="dxa" w:w="1872"/>
            <w:tcMar>
              <w:top w:w="50" w:type="dxa"/>
              <w:bottom w:w="50" w:type="dxa"/>
              <w:left w:w="60" w:type="dxa"/>
              <w:right w:w="60" w:type="dxa"/>
            </w:tcMar>
          </w:tcPr>
          <w:p>
            <w:r>
              <w:rPr>
                <w:b/>
                <w:sz w:val="17"/>
              </w:rPr>
              <w:t>Access Authorization Component (PEP / PDP)</w:t>
            </w:r>
          </w:p>
        </w:tc>
        <w:tc>
          <w:tcPr>
            <w:tcW w:type="dxa" w:w="1584"/>
            <w:tcMar>
              <w:top w:w="50" w:type="dxa"/>
              <w:bottom w:w="50" w:type="dxa"/>
              <w:left w:w="60" w:type="dxa"/>
              <w:right w:w="60" w:type="dxa"/>
            </w:tcMar>
          </w:tcPr>
          <w:p>
            <w:r>
              <w:rPr>
                <w:sz w:val="16"/>
              </w:rPr>
              <w:t>Core Application Tier</w:t>
            </w:r>
          </w:p>
        </w:tc>
        <w:tc>
          <w:tcPr>
            <w:tcW w:type="dxa" w:w="2880"/>
            <w:tcMar>
              <w:top w:w="50" w:type="dxa"/>
              <w:bottom w:w="50" w:type="dxa"/>
              <w:left w:w="60" w:type="dxa"/>
              <w:right w:w="60" w:type="dxa"/>
            </w:tcMar>
          </w:tcPr>
          <w:p>
            <w:r>
              <w:rPr>
                <w:sz w:val="16"/>
              </w:rPr>
              <w:t>Zero-Trust Policy Enforcement Point (PEP) and Policy Decision Point (PDP). Intercepts all diagnostic record requests, performs sub-5ms in-memory cache evaluation against active consent rules, and issues scoped decryption tokens.</w:t>
            </w:r>
          </w:p>
        </w:tc>
        <w:tc>
          <w:tcPr>
            <w:tcW w:type="dxa" w:w="2592"/>
            <w:tcMar>
              <w:top w:w="50" w:type="dxa"/>
              <w:bottom w:w="50" w:type="dxa"/>
              <w:left w:w="60" w:type="dxa"/>
              <w:right w:w="60" w:type="dxa"/>
            </w:tcMar>
          </w:tcPr>
          <w:p>
            <w:r>
              <w:rPr>
                <w:b/>
                <w:sz w:val="16"/>
              </w:rPr>
              <w:t xml:space="preserve">Provided: </w:t>
            </w:r>
            <w:r>
              <w:rPr>
                <w:sz w:val="15"/>
              </w:rPr>
              <w:t>IRecordAccessDecision: verifyConsentStatus()</w:t>
              <w:br/>
              <w:t>IPolicyEnforcement: authorizeOrDeny() [Latency &lt; 500ms]</w:t>
              <w:br/>
              <w:t>IDelegatedSession: issueShortLivedAccessToken()</w:t>
              <w:br/>
            </w:r>
            <w:r>
              <w:rPr>
                <w:b/>
                <w:sz w:val="16"/>
              </w:rPr>
              <w:t xml:space="preserve">Required: </w:t>
            </w:r>
            <w:r>
              <w:rPr>
                <w:sz w:val="15"/>
              </w:rPr>
              <w:t>IFastConsentLookup (Redis sub-5ms lookup)</w:t>
              <w:br/>
              <w:t>IDiagnosticRecordFetch (retrieves record on ALLOW)</w:t>
              <w:br/>
              <w:t>IAuditPublisher (logs ALLOW / DENY decisions)</w:t>
            </w:r>
          </w:p>
        </w:tc>
        <w:tc>
          <w:tcPr>
            <w:tcW w:type="dxa" w:w="1296"/>
            <w:tcMar>
              <w:top w:w="50" w:type="dxa"/>
              <w:bottom w:w="50" w:type="dxa"/>
              <w:left w:w="60" w:type="dxa"/>
              <w:right w:w="60" w:type="dxa"/>
            </w:tcMar>
          </w:tcPr>
          <w:p>
            <w:r>
              <w:rPr>
                <w:sz w:val="16"/>
              </w:rPr>
              <w:t>FR-004, NFR-002</w:t>
            </w:r>
          </w:p>
        </w:tc>
      </w:tr>
      <w:tr>
        <w:tc>
          <w:tcPr>
            <w:tcW w:type="dxa" w:w="1872"/>
            <w:tcMar>
              <w:top w:w="50" w:type="dxa"/>
              <w:bottom w:w="50" w:type="dxa"/>
              <w:left w:w="60" w:type="dxa"/>
              <w:right w:w="60" w:type="dxa"/>
            </w:tcMar>
          </w:tcPr>
          <w:p>
            <w:r>
              <w:rPr>
                <w:b/>
                <w:sz w:val="17"/>
              </w:rPr>
              <w:t>Diagnostic Health Record Component</w:t>
            </w:r>
          </w:p>
        </w:tc>
        <w:tc>
          <w:tcPr>
            <w:tcW w:type="dxa" w:w="1584"/>
            <w:tcMar>
              <w:top w:w="50" w:type="dxa"/>
              <w:bottom w:w="50" w:type="dxa"/>
              <w:left w:w="60" w:type="dxa"/>
              <w:right w:w="60" w:type="dxa"/>
            </w:tcMar>
          </w:tcPr>
          <w:p>
            <w:r>
              <w:rPr>
                <w:sz w:val="16"/>
              </w:rPr>
              <w:t>Core Application Tier</w:t>
            </w:r>
          </w:p>
        </w:tc>
        <w:tc>
          <w:tcPr>
            <w:tcW w:type="dxa" w:w="2880"/>
            <w:tcMar>
              <w:top w:w="50" w:type="dxa"/>
              <w:bottom w:w="50" w:type="dxa"/>
              <w:left w:w="60" w:type="dxa"/>
              <w:right w:w="60" w:type="dxa"/>
            </w:tcMar>
          </w:tcPr>
          <w:p>
            <w:r>
              <w:rPr>
                <w:sz w:val="16"/>
              </w:rPr>
              <w:t>Manages FHIR-compliant electronic diagnostic health reports, medical imaging (DICOM), and clinical laboratory records. Decrypts payloads strictly upon successful PEP authorization.</w:t>
            </w:r>
          </w:p>
        </w:tc>
        <w:tc>
          <w:tcPr>
            <w:tcW w:type="dxa" w:w="2592"/>
            <w:tcMar>
              <w:top w:w="50" w:type="dxa"/>
              <w:bottom w:w="50" w:type="dxa"/>
              <w:left w:w="60" w:type="dxa"/>
              <w:right w:w="60" w:type="dxa"/>
            </w:tcMar>
          </w:tcPr>
          <w:p>
            <w:r>
              <w:rPr>
                <w:b/>
                <w:sz w:val="16"/>
              </w:rPr>
              <w:t xml:space="preserve">Provided: </w:t>
            </w:r>
            <w:r>
              <w:rPr>
                <w:sz w:val="15"/>
              </w:rPr>
              <w:t>IDiagnosticRecordFetch: fetchRecord(recordId)</w:t>
              <w:br/>
              <w:t>IRecordMetadata: listDiagnosticSummaries(patientId)</w:t>
              <w:br/>
            </w:r>
            <w:r>
              <w:rPr>
                <w:b/>
                <w:sz w:val="16"/>
              </w:rPr>
              <w:t xml:space="preserve">Required: </w:t>
            </w:r>
            <w:r>
              <w:rPr>
                <w:sz w:val="15"/>
              </w:rPr>
              <w:t>IEncryptedObjectStorage (reads encrypted S3 blobs)</w:t>
              <w:br/>
              <w:t>IKeyManagementService (envelope key decryption)</w:t>
            </w:r>
          </w:p>
        </w:tc>
        <w:tc>
          <w:tcPr>
            <w:tcW w:type="dxa" w:w="1296"/>
            <w:tcMar>
              <w:top w:w="50" w:type="dxa"/>
              <w:bottom w:w="50" w:type="dxa"/>
              <w:left w:w="60" w:type="dxa"/>
              <w:right w:w="60" w:type="dxa"/>
            </w:tcMar>
          </w:tcPr>
          <w:p>
            <w:r>
              <w:rPr>
                <w:sz w:val="16"/>
              </w:rPr>
              <w:t>FR-004</w:t>
            </w:r>
          </w:p>
        </w:tc>
      </w:tr>
      <w:tr>
        <w:tc>
          <w:tcPr>
            <w:tcW w:type="dxa" w:w="1872"/>
            <w:tcMar>
              <w:top w:w="50" w:type="dxa"/>
              <w:bottom w:w="50" w:type="dxa"/>
              <w:left w:w="60" w:type="dxa"/>
              <w:right w:w="60" w:type="dxa"/>
            </w:tcMar>
          </w:tcPr>
          <w:p>
            <w:r>
              <w:rPr>
                <w:b/>
                <w:sz w:val="17"/>
              </w:rPr>
              <w:t>Doctor Verification Component</w:t>
            </w:r>
          </w:p>
        </w:tc>
        <w:tc>
          <w:tcPr>
            <w:tcW w:type="dxa" w:w="1584"/>
            <w:tcMar>
              <w:top w:w="50" w:type="dxa"/>
              <w:bottom w:w="50" w:type="dxa"/>
              <w:left w:w="60" w:type="dxa"/>
              <w:right w:w="60" w:type="dxa"/>
            </w:tcMar>
          </w:tcPr>
          <w:p>
            <w:r>
              <w:rPr>
                <w:sz w:val="16"/>
              </w:rPr>
              <w:t>Core Application Tier</w:t>
            </w:r>
          </w:p>
        </w:tc>
        <w:tc>
          <w:tcPr>
            <w:tcW w:type="dxa" w:w="2880"/>
            <w:tcMar>
              <w:top w:w="50" w:type="dxa"/>
              <w:bottom w:w="50" w:type="dxa"/>
              <w:left w:w="60" w:type="dxa"/>
              <w:right w:w="60" w:type="dxa"/>
            </w:tcMar>
          </w:tcPr>
          <w:p>
            <w:r>
              <w:rPr>
                <w:sz w:val="16"/>
              </w:rPr>
              <w:t>Maintains the authoritative registry of licensed medical doctors and manages the verification toggle. Ensures unverified doctors cannot be selected for consent grants.</w:t>
            </w:r>
          </w:p>
        </w:tc>
        <w:tc>
          <w:tcPr>
            <w:tcW w:type="dxa" w:w="2592"/>
            <w:tcMar>
              <w:top w:w="50" w:type="dxa"/>
              <w:bottom w:w="50" w:type="dxa"/>
              <w:left w:w="60" w:type="dxa"/>
              <w:right w:w="60" w:type="dxa"/>
            </w:tcMar>
          </w:tcPr>
          <w:p>
            <w:r>
              <w:rPr>
                <w:b/>
                <w:sz w:val="16"/>
              </w:rPr>
              <w:t xml:space="preserve">Provided: </w:t>
            </w:r>
            <w:r>
              <w:rPr>
                <w:sz w:val="15"/>
              </w:rPr>
              <w:t>IDoctorAdminService: registerDoctor(), setVerificationStatus()</w:t>
              <w:br/>
              <w:t>IDoctorVerificationCheck: isDoctorVerified()</w:t>
              <w:br/>
            </w:r>
            <w:r>
              <w:rPr>
                <w:b/>
                <w:sz w:val="16"/>
              </w:rPr>
              <w:t xml:space="preserve">Required: </w:t>
            </w:r>
            <w:r>
              <w:rPr>
                <w:sz w:val="15"/>
              </w:rPr>
              <w:t>IDoctorDataStore (persists doctor profiles)</w:t>
              <w:br/>
              <w:t>IAuditPublisher (logs administrative changes)</w:t>
            </w:r>
          </w:p>
        </w:tc>
        <w:tc>
          <w:tcPr>
            <w:tcW w:type="dxa" w:w="1296"/>
            <w:tcMar>
              <w:top w:w="50" w:type="dxa"/>
              <w:bottom w:w="50" w:type="dxa"/>
              <w:left w:w="60" w:type="dxa"/>
              <w:right w:w="60" w:type="dxa"/>
            </w:tcMar>
          </w:tcPr>
          <w:p>
            <w:r>
              <w:rPr>
                <w:sz w:val="16"/>
              </w:rPr>
              <w:t>FR-005</w:t>
            </w:r>
          </w:p>
        </w:tc>
      </w:tr>
      <w:tr>
        <w:tc>
          <w:tcPr>
            <w:tcW w:type="dxa" w:w="1872"/>
            <w:tcMar>
              <w:top w:w="50" w:type="dxa"/>
              <w:bottom w:w="50" w:type="dxa"/>
              <w:left w:w="60" w:type="dxa"/>
              <w:right w:w="60" w:type="dxa"/>
            </w:tcMar>
          </w:tcPr>
          <w:p>
            <w:r>
              <w:rPr>
                <w:b/>
                <w:sz w:val="17"/>
              </w:rPr>
              <w:t>Append-Only Immutable Audit Trail Component</w:t>
            </w:r>
          </w:p>
        </w:tc>
        <w:tc>
          <w:tcPr>
            <w:tcW w:type="dxa" w:w="1584"/>
            <w:tcMar>
              <w:top w:w="50" w:type="dxa"/>
              <w:bottom w:w="50" w:type="dxa"/>
              <w:left w:w="60" w:type="dxa"/>
              <w:right w:w="60" w:type="dxa"/>
            </w:tcMar>
          </w:tcPr>
          <w:p>
            <w:r>
              <w:rPr>
                <w:sz w:val="16"/>
              </w:rPr>
              <w:t>Core Application Tier (Cross-Cutting)</w:t>
            </w:r>
          </w:p>
        </w:tc>
        <w:tc>
          <w:tcPr>
            <w:tcW w:type="dxa" w:w="2880"/>
            <w:tcMar>
              <w:top w:w="50" w:type="dxa"/>
              <w:bottom w:w="50" w:type="dxa"/>
              <w:left w:w="60" w:type="dxa"/>
              <w:right w:w="60" w:type="dxa"/>
            </w:tcMar>
          </w:tcPr>
          <w:p>
            <w:r>
              <w:rPr>
                <w:sz w:val="16"/>
              </w:rPr>
              <w:t>Security audit engine that captures all consent lifecycle actions, doctor access attempts, and administrative updates into an immutable, cryptographically chained event sequence.</w:t>
            </w:r>
          </w:p>
        </w:tc>
        <w:tc>
          <w:tcPr>
            <w:tcW w:type="dxa" w:w="2592"/>
            <w:tcMar>
              <w:top w:w="50" w:type="dxa"/>
              <w:bottom w:w="50" w:type="dxa"/>
              <w:left w:w="60" w:type="dxa"/>
              <w:right w:w="60" w:type="dxa"/>
            </w:tcMar>
          </w:tcPr>
          <w:p>
            <w:r>
              <w:rPr>
                <w:b/>
                <w:sz w:val="16"/>
              </w:rPr>
              <w:t xml:space="preserve">Provided: </w:t>
            </w:r>
            <w:r>
              <w:rPr>
                <w:sz w:val="15"/>
              </w:rPr>
              <w:t>IAuditPublisher: publishEvent(actorId, action, target, result)</w:t>
              <w:br/>
              <w:t>IAuditQuery: queryAuditHistory(filterCriteria)</w:t>
              <w:br/>
            </w:r>
            <w:r>
              <w:rPr>
                <w:b/>
                <w:sz w:val="16"/>
              </w:rPr>
              <w:t xml:space="preserve">Required: </w:t>
            </w:r>
            <w:r>
              <w:rPr>
                <w:sz w:val="15"/>
              </w:rPr>
              <w:t>IImmutableWORMStore (Write-Once-Read-Many ledger)</w:t>
              <w:br/>
              <w:t>ICryptoHashChain (SHA-256 block chaining engine)</w:t>
            </w:r>
          </w:p>
        </w:tc>
        <w:tc>
          <w:tcPr>
            <w:tcW w:type="dxa" w:w="1296"/>
            <w:tcMar>
              <w:top w:w="50" w:type="dxa"/>
              <w:bottom w:w="50" w:type="dxa"/>
              <w:left w:w="60" w:type="dxa"/>
              <w:right w:w="60" w:type="dxa"/>
            </w:tcMar>
          </w:tcPr>
          <w:p>
            <w:r>
              <w:rPr>
                <w:sz w:val="16"/>
              </w:rPr>
              <w:t>NFR-001</w:t>
            </w:r>
          </w:p>
        </w:tc>
      </w:tr>
    </w:tbl>
    <w:p>
      <w:pPr>
        <w:spacing w:after="120"/>
      </w:pPr>
    </w:p>
    <w:p>
      <w:pPr>
        <w:keepNext/>
        <w:spacing w:before="280" w:after="80"/>
      </w:pPr>
      <w:r>
        <w:rPr>
          <w:rFonts w:ascii="Calibri" w:hAnsi="Calibri"/>
          <w:b/>
          <w:color w:val="1B365D"/>
          <w:sz w:val="28"/>
        </w:rPr>
        <w:t>4. Architectural Pattern Selection &amp; Justification</w:t>
      </w:r>
    </w:p>
    <w:p>
      <w:pPr>
        <w:spacing w:before="0" w:after="80" w:line="276" w:lineRule="auto"/>
      </w:pPr>
      <w:r>
        <w:rPr>
          <w:rFonts w:ascii="Calibri" w:hAnsi="Calibri"/>
          <w:color w:val="0F172A"/>
          <w:sz w:val="20"/>
        </w:rPr>
        <w:t>A rigorous architectural evaluation was performed to identify the pattern that maximizes security, minimizes verification latency, and guarantees compliance with medical data privacy legislation.</w:t>
      </w:r>
    </w:p>
    <w:p>
      <w:pPr>
        <w:keepNext/>
        <w:spacing w:before="200" w:after="60"/>
      </w:pPr>
      <w:r>
        <w:rPr>
          <w:rFonts w:ascii="Calibri" w:hAnsi="Calibri"/>
          <w:b/>
          <w:color w:val="1B365D"/>
          <w:sz w:val="24"/>
        </w:rPr>
        <w:t>4.1 Candidate Architectural Patterns Evaluated</w:t>
      </w:r>
    </w:p>
    <w:p>
      <w:pPr>
        <w:pStyle w:val="ListBullet"/>
        <w:spacing w:before="0" w:after="60" w:line="276" w:lineRule="auto"/>
      </w:pPr>
      <w:r>
        <w:rPr>
          <w:rFonts w:ascii="Calibri" w:hAnsi="Calibri"/>
          <w:b/>
          <w:color w:val="0F172A"/>
          <w:sz w:val="20"/>
        </w:rPr>
        <w:t xml:space="preserve">Pattern 1 - Monolithic Architecture: </w:t>
      </w:r>
      <w:r>
        <w:rPr>
          <w:rFonts w:ascii="Calibri" w:hAnsi="Calibri"/>
          <w:color w:val="0F172A"/>
          <w:sz w:val="20"/>
        </w:rPr>
        <w:t>Traditional 3-tier monolithic application deploying presentation, domain logic, and a single relational database. While operationally simple, it lacks isolated security boundaries, creates single-point-of-failure vulnerabilities, and tightly couples audit logs to business data.</w:t>
      </w:r>
    </w:p>
    <w:p>
      <w:pPr>
        <w:pStyle w:val="ListBullet"/>
        <w:spacing w:before="0" w:after="60" w:line="276" w:lineRule="auto"/>
      </w:pPr>
      <w:r>
        <w:rPr>
          <w:rFonts w:ascii="Calibri" w:hAnsi="Calibri"/>
          <w:b/>
          <w:color w:val="0F172A"/>
          <w:sz w:val="20"/>
        </w:rPr>
        <w:t xml:space="preserve">Pattern 2 - Pure Microservices Architecture: </w:t>
      </w:r>
      <w:r>
        <w:rPr>
          <w:rFonts w:ascii="Calibri" w:hAnsi="Calibri"/>
          <w:color w:val="0F172A"/>
          <w:sz w:val="20"/>
        </w:rPr>
        <w:t>Fine-grained decoupled services communicating exclusively over HTTP/gRPC. While offering autonomous deployment and high modifiability, the multi-hop network traversal (Gateway -&gt; Auth -&gt; Consent -&gt; Doctor -&gt; EHR) introduces network latency variance that endangers the strict 500ms SLA under high concurrent load.</w:t>
      </w:r>
    </w:p>
    <w:p>
      <w:pPr>
        <w:pStyle w:val="ListBullet"/>
        <w:spacing w:before="0" w:after="60" w:line="276" w:lineRule="auto"/>
      </w:pPr>
      <w:r>
        <w:rPr>
          <w:rFonts w:ascii="Calibri" w:hAnsi="Calibri"/>
          <w:b/>
          <w:color w:val="0F172A"/>
          <w:sz w:val="20"/>
        </w:rPr>
        <w:t xml:space="preserve">Pattern 3 - Event-Driven Architecture (EDA): </w:t>
      </w:r>
      <w:r>
        <w:rPr>
          <w:rFonts w:ascii="Calibri" w:hAnsi="Calibri"/>
          <w:color w:val="0F172A"/>
          <w:sz w:val="20"/>
        </w:rPr>
        <w:t>Completely asynchronous event-streaming architecture (Kafka/RabbitMQ). Eventual consistency creates severe medical data leakage hazards: if a patient revokes consent, an eventual consistency delay could allow a doctor to access confidential diagnostic data during the convergence window.</w:t>
      </w:r>
    </w:p>
    <w:p>
      <w:pPr>
        <w:pStyle w:val="ListBullet"/>
        <w:spacing w:before="0" w:after="60" w:line="276" w:lineRule="auto"/>
      </w:pPr>
      <w:r>
        <w:rPr>
          <w:rFonts w:ascii="Calibri" w:hAnsi="Calibri"/>
          <w:b/>
          <w:color w:val="0F172A"/>
          <w:sz w:val="20"/>
        </w:rPr>
        <w:t xml:space="preserve">Pattern 4 - Layered Modular Architecture with Zero-Trust PEP (CHOSEN): </w:t>
      </w:r>
      <w:r>
        <w:rPr>
          <w:rFonts w:ascii="Calibri" w:hAnsi="Calibri"/>
          <w:color w:val="0F172A"/>
          <w:sz w:val="20"/>
        </w:rPr>
        <w:t>A cohesive 4-tier modular service-oriented architecture incorporating an Edge Security Gateway, a dedicated Zero-Trust Policy Enforcement Point (PEP), and dual-store data persistence (PostgreSQL for ACID durability and Redis for sub-5ms caching). This pattern achieves strict tier separation, deterministic authorization latency, immediate revocation consistency, and independent cryptographic audit logging.</w:t>
      </w:r>
    </w:p>
    <w:p>
      <w:pPr>
        <w:keepNext/>
        <w:spacing w:before="200" w:after="60"/>
      </w:pPr>
      <w:r>
        <w:rPr>
          <w:rFonts w:ascii="Calibri" w:hAnsi="Calibri"/>
          <w:b/>
          <w:color w:val="1B365D"/>
          <w:sz w:val="24"/>
        </w:rPr>
        <w:t>4.2 Quantitative Trade-Off Analysis Matrix</w:t>
      </w:r>
    </w:p>
    <w:p>
      <w:pPr>
        <w:spacing w:before="0" w:after="80" w:line="276" w:lineRule="auto"/>
      </w:pPr>
      <w:r>
        <w:rPr>
          <w:rFonts w:ascii="Calibri" w:hAnsi="Calibri"/>
          <w:color w:val="0F172A"/>
          <w:sz w:val="20"/>
        </w:rPr>
        <w:t>The table below details the multi-criteria evaluation scoring the candidate patterns against the core architectural drivers (Scale: 1 = Poor, 5 = Excellent):</w:t>
      </w:r>
    </w:p>
    <w:tbl>
      <w:tblPr>
        <w:tblW w:type="auto" w:w="0"/>
        <w:jc w:val="center"/>
        <w:tblLook w:firstColumn="1" w:firstRow="1" w:lastColumn="0" w:lastRow="0" w:noHBand="0" w:noVBand="1" w:val="04A0"/>
      </w:tblPr>
      <w:tblGrid>
        <w:gridCol w:w="1649"/>
        <w:gridCol w:w="1649"/>
        <w:gridCol w:w="1649"/>
        <w:gridCol w:w="1649"/>
        <w:gridCol w:w="1649"/>
        <w:gridCol w:w="1649"/>
      </w:tblGrid>
      <w:tr>
        <w:tc>
          <w:tcPr>
            <w:tcW w:type="dxa" w:w="1649"/>
            <w:shd w:fill="1B365D"/>
            <w:tcMar>
              <w:top w:w="70" w:type="dxa"/>
              <w:bottom w:w="70" w:type="dxa"/>
              <w:left w:w="70" w:type="dxa"/>
              <w:right w:w="70" w:type="dxa"/>
            </w:tcMar>
          </w:tcPr>
          <w:p>
            <w:r>
              <w:rPr>
                <w:b/>
                <w:color w:val="FFFFFF"/>
                <w:sz w:val="17"/>
              </w:rPr>
              <w:t>Architectural Quality Driver</w:t>
            </w:r>
          </w:p>
        </w:tc>
        <w:tc>
          <w:tcPr>
            <w:tcW w:type="dxa" w:w="1649"/>
            <w:shd w:fill="1B365D"/>
            <w:tcMar>
              <w:top w:w="70" w:type="dxa"/>
              <w:bottom w:w="70" w:type="dxa"/>
              <w:left w:w="70" w:type="dxa"/>
              <w:right w:w="70" w:type="dxa"/>
            </w:tcMar>
          </w:tcPr>
          <w:p>
            <w:r>
              <w:rPr>
                <w:b/>
                <w:color w:val="FFFFFF"/>
                <w:sz w:val="17"/>
              </w:rPr>
              <w:t>Weight</w:t>
            </w:r>
          </w:p>
        </w:tc>
        <w:tc>
          <w:tcPr>
            <w:tcW w:type="dxa" w:w="1649"/>
            <w:shd w:fill="1B365D"/>
            <w:tcMar>
              <w:top w:w="70" w:type="dxa"/>
              <w:bottom w:w="70" w:type="dxa"/>
              <w:left w:w="70" w:type="dxa"/>
              <w:right w:w="70" w:type="dxa"/>
            </w:tcMar>
          </w:tcPr>
          <w:p>
            <w:r>
              <w:rPr>
                <w:b/>
                <w:color w:val="FFFFFF"/>
                <w:sz w:val="17"/>
              </w:rPr>
              <w:t>Monolith</w:t>
            </w:r>
          </w:p>
        </w:tc>
        <w:tc>
          <w:tcPr>
            <w:tcW w:type="dxa" w:w="1649"/>
            <w:shd w:fill="1B365D"/>
            <w:tcMar>
              <w:top w:w="70" w:type="dxa"/>
              <w:bottom w:w="70" w:type="dxa"/>
              <w:left w:w="70" w:type="dxa"/>
              <w:right w:w="70" w:type="dxa"/>
            </w:tcMar>
          </w:tcPr>
          <w:p>
            <w:r>
              <w:rPr>
                <w:b/>
                <w:color w:val="FFFFFF"/>
                <w:sz w:val="17"/>
              </w:rPr>
              <w:t>Microservices</w:t>
            </w:r>
          </w:p>
        </w:tc>
        <w:tc>
          <w:tcPr>
            <w:tcW w:type="dxa" w:w="1649"/>
            <w:shd w:fill="1B365D"/>
            <w:tcMar>
              <w:top w:w="70" w:type="dxa"/>
              <w:bottom w:w="70" w:type="dxa"/>
              <w:left w:w="70" w:type="dxa"/>
              <w:right w:w="70" w:type="dxa"/>
            </w:tcMar>
          </w:tcPr>
          <w:p>
            <w:r>
              <w:rPr>
                <w:b/>
                <w:color w:val="FFFFFF"/>
                <w:sz w:val="17"/>
              </w:rPr>
              <w:t>Event-Driven</w:t>
            </w:r>
          </w:p>
        </w:tc>
        <w:tc>
          <w:tcPr>
            <w:tcW w:type="dxa" w:w="1649"/>
            <w:shd w:fill="1B365D"/>
            <w:tcMar>
              <w:top w:w="70" w:type="dxa"/>
              <w:bottom w:w="70" w:type="dxa"/>
              <w:left w:w="70" w:type="dxa"/>
              <w:right w:w="70" w:type="dxa"/>
            </w:tcMar>
          </w:tcPr>
          <w:p>
            <w:r>
              <w:rPr>
                <w:b/>
                <w:color w:val="FFFFFF"/>
                <w:sz w:val="17"/>
              </w:rPr>
              <w:t>Layered PEP (Chosen)</w:t>
            </w:r>
          </w:p>
        </w:tc>
      </w:tr>
      <w:tr>
        <w:tc>
          <w:tcPr>
            <w:tcW w:type="dxa" w:w="1649"/>
            <w:shd w:fill="FFFFFF"/>
            <w:tcMar>
              <w:top w:w="50" w:type="dxa"/>
              <w:bottom w:w="50" w:type="dxa"/>
              <w:left w:w="60" w:type="dxa"/>
              <w:right w:w="60" w:type="dxa"/>
            </w:tcMar>
          </w:tcPr>
          <w:p>
            <w:r>
              <w:rPr>
                <w:sz w:val="17"/>
              </w:rPr>
              <w:t>Authorization Latency (&lt;500ms, NFR-002)</w:t>
            </w:r>
          </w:p>
        </w:tc>
        <w:tc>
          <w:tcPr>
            <w:tcW w:type="dxa" w:w="1649"/>
            <w:shd w:fill="F8FAFC"/>
            <w:tcMar>
              <w:top w:w="50" w:type="dxa"/>
              <w:bottom w:w="50" w:type="dxa"/>
              <w:left w:w="60" w:type="dxa"/>
              <w:right w:w="60" w:type="dxa"/>
            </w:tcMar>
          </w:tcPr>
          <w:p>
            <w:r>
              <w:rPr>
                <w:sz w:val="17"/>
              </w:rPr>
              <w:t>25%</w:t>
            </w:r>
          </w:p>
        </w:tc>
        <w:tc>
          <w:tcPr>
            <w:tcW w:type="dxa" w:w="1649"/>
            <w:shd w:fill="FFFFFF"/>
            <w:tcMar>
              <w:top w:w="50" w:type="dxa"/>
              <w:bottom w:w="50" w:type="dxa"/>
              <w:left w:w="60" w:type="dxa"/>
              <w:right w:w="60" w:type="dxa"/>
            </w:tcMar>
          </w:tcPr>
          <w:p>
            <w:r>
              <w:rPr>
                <w:sz w:val="17"/>
              </w:rPr>
              <w:t>4 (1.00)</w:t>
            </w:r>
          </w:p>
        </w:tc>
        <w:tc>
          <w:tcPr>
            <w:tcW w:type="dxa" w:w="1649"/>
            <w:shd w:fill="F8FAFC"/>
            <w:tcMar>
              <w:top w:w="50" w:type="dxa"/>
              <w:bottom w:w="50" w:type="dxa"/>
              <w:left w:w="60" w:type="dxa"/>
              <w:right w:w="60" w:type="dxa"/>
            </w:tcMar>
          </w:tcPr>
          <w:p>
            <w:r>
              <w:rPr>
                <w:sz w:val="17"/>
              </w:rPr>
              <w:t>2 (0.50)</w:t>
            </w:r>
          </w:p>
        </w:tc>
        <w:tc>
          <w:tcPr>
            <w:tcW w:type="dxa" w:w="1649"/>
            <w:shd w:fill="FFFFFF"/>
            <w:tcMar>
              <w:top w:w="50" w:type="dxa"/>
              <w:bottom w:w="50" w:type="dxa"/>
              <w:left w:w="60" w:type="dxa"/>
              <w:right w:w="60" w:type="dxa"/>
            </w:tcMar>
          </w:tcPr>
          <w:p>
            <w:r>
              <w:rPr>
                <w:sz w:val="17"/>
              </w:rPr>
              <w:t>1 (0.25)</w:t>
            </w:r>
          </w:p>
        </w:tc>
        <w:tc>
          <w:tcPr>
            <w:tcW w:type="dxa" w:w="1649"/>
            <w:shd w:fill="F8FAFC"/>
            <w:tcMar>
              <w:top w:w="50" w:type="dxa"/>
              <w:bottom w:w="50" w:type="dxa"/>
              <w:left w:w="60" w:type="dxa"/>
              <w:right w:w="60" w:type="dxa"/>
            </w:tcMar>
          </w:tcPr>
          <w:p>
            <w:r>
              <w:rPr>
                <w:b/>
                <w:color w:val="1B365D"/>
                <w:sz w:val="17"/>
              </w:rPr>
              <w:t>5 (1.25)</w:t>
            </w:r>
          </w:p>
        </w:tc>
      </w:tr>
      <w:tr>
        <w:tc>
          <w:tcPr>
            <w:tcW w:type="dxa" w:w="1649"/>
            <w:shd w:fill="FFFFFF"/>
            <w:tcMar>
              <w:top w:w="50" w:type="dxa"/>
              <w:bottom w:w="50" w:type="dxa"/>
              <w:left w:w="60" w:type="dxa"/>
              <w:right w:w="60" w:type="dxa"/>
            </w:tcMar>
          </w:tcPr>
          <w:p>
            <w:r>
              <w:rPr>
                <w:sz w:val="17"/>
              </w:rPr>
              <w:t>Zero-Trust Security &amp; Access Control (FR-004)</w:t>
            </w:r>
          </w:p>
        </w:tc>
        <w:tc>
          <w:tcPr>
            <w:tcW w:type="dxa" w:w="1649"/>
            <w:shd w:fill="F8FAFC"/>
            <w:tcMar>
              <w:top w:w="50" w:type="dxa"/>
              <w:bottom w:w="50" w:type="dxa"/>
              <w:left w:w="60" w:type="dxa"/>
              <w:right w:w="60" w:type="dxa"/>
            </w:tcMar>
          </w:tcPr>
          <w:p>
            <w:r>
              <w:rPr>
                <w:sz w:val="17"/>
              </w:rPr>
              <w:t>25%</w:t>
            </w:r>
          </w:p>
        </w:tc>
        <w:tc>
          <w:tcPr>
            <w:tcW w:type="dxa" w:w="1649"/>
            <w:shd w:fill="FFFFFF"/>
            <w:tcMar>
              <w:top w:w="50" w:type="dxa"/>
              <w:bottom w:w="50" w:type="dxa"/>
              <w:left w:w="60" w:type="dxa"/>
              <w:right w:w="60" w:type="dxa"/>
            </w:tcMar>
          </w:tcPr>
          <w:p>
            <w:r>
              <w:rPr>
                <w:sz w:val="17"/>
              </w:rPr>
              <w:t>2 (0.50)</w:t>
            </w:r>
          </w:p>
        </w:tc>
        <w:tc>
          <w:tcPr>
            <w:tcW w:type="dxa" w:w="1649"/>
            <w:shd w:fill="F8FAFC"/>
            <w:tcMar>
              <w:top w:w="50" w:type="dxa"/>
              <w:bottom w:w="50" w:type="dxa"/>
              <w:left w:w="60" w:type="dxa"/>
              <w:right w:w="60" w:type="dxa"/>
            </w:tcMar>
          </w:tcPr>
          <w:p>
            <w:r>
              <w:rPr>
                <w:sz w:val="17"/>
              </w:rPr>
              <w:t>4 (1.00)</w:t>
            </w:r>
          </w:p>
        </w:tc>
        <w:tc>
          <w:tcPr>
            <w:tcW w:type="dxa" w:w="1649"/>
            <w:shd w:fill="FFFFFF"/>
            <w:tcMar>
              <w:top w:w="50" w:type="dxa"/>
              <w:bottom w:w="50" w:type="dxa"/>
              <w:left w:w="60" w:type="dxa"/>
              <w:right w:w="60" w:type="dxa"/>
            </w:tcMar>
          </w:tcPr>
          <w:p>
            <w:r>
              <w:rPr>
                <w:sz w:val="17"/>
              </w:rPr>
              <w:t>3 (0.75)</w:t>
            </w:r>
          </w:p>
        </w:tc>
        <w:tc>
          <w:tcPr>
            <w:tcW w:type="dxa" w:w="1649"/>
            <w:shd w:fill="F8FAFC"/>
            <w:tcMar>
              <w:top w:w="50" w:type="dxa"/>
              <w:bottom w:w="50" w:type="dxa"/>
              <w:left w:w="60" w:type="dxa"/>
              <w:right w:w="60" w:type="dxa"/>
            </w:tcMar>
          </w:tcPr>
          <w:p>
            <w:r>
              <w:rPr>
                <w:b/>
                <w:color w:val="1B365D"/>
                <w:sz w:val="17"/>
              </w:rPr>
              <w:t>5 (1.25)</w:t>
            </w:r>
          </w:p>
        </w:tc>
      </w:tr>
      <w:tr>
        <w:tc>
          <w:tcPr>
            <w:tcW w:type="dxa" w:w="1649"/>
            <w:shd w:fill="FFFFFF"/>
            <w:tcMar>
              <w:top w:w="50" w:type="dxa"/>
              <w:bottom w:w="50" w:type="dxa"/>
              <w:left w:w="60" w:type="dxa"/>
              <w:right w:w="60" w:type="dxa"/>
            </w:tcMar>
          </w:tcPr>
          <w:p>
            <w:r>
              <w:rPr>
                <w:sz w:val="17"/>
              </w:rPr>
              <w:t>Audit Immutability &amp; Non-Repudiation (NFR-001)</w:t>
            </w:r>
          </w:p>
        </w:tc>
        <w:tc>
          <w:tcPr>
            <w:tcW w:type="dxa" w:w="1649"/>
            <w:shd w:fill="F8FAFC"/>
            <w:tcMar>
              <w:top w:w="50" w:type="dxa"/>
              <w:bottom w:w="50" w:type="dxa"/>
              <w:left w:w="60" w:type="dxa"/>
              <w:right w:w="60" w:type="dxa"/>
            </w:tcMar>
          </w:tcPr>
          <w:p>
            <w:r>
              <w:rPr>
                <w:sz w:val="17"/>
              </w:rPr>
              <w:t>20%</w:t>
            </w:r>
          </w:p>
        </w:tc>
        <w:tc>
          <w:tcPr>
            <w:tcW w:type="dxa" w:w="1649"/>
            <w:shd w:fill="FFFFFF"/>
            <w:tcMar>
              <w:top w:w="50" w:type="dxa"/>
              <w:bottom w:w="50" w:type="dxa"/>
              <w:left w:w="60" w:type="dxa"/>
              <w:right w:w="60" w:type="dxa"/>
            </w:tcMar>
          </w:tcPr>
          <w:p>
            <w:r>
              <w:rPr>
                <w:sz w:val="17"/>
              </w:rPr>
              <w:t>2 (0.40)</w:t>
            </w:r>
          </w:p>
        </w:tc>
        <w:tc>
          <w:tcPr>
            <w:tcW w:type="dxa" w:w="1649"/>
            <w:shd w:fill="F8FAFC"/>
            <w:tcMar>
              <w:top w:w="50" w:type="dxa"/>
              <w:bottom w:w="50" w:type="dxa"/>
              <w:left w:w="60" w:type="dxa"/>
              <w:right w:w="60" w:type="dxa"/>
            </w:tcMar>
          </w:tcPr>
          <w:p>
            <w:r>
              <w:rPr>
                <w:sz w:val="17"/>
              </w:rPr>
              <w:t>4 (0.80)</w:t>
            </w:r>
          </w:p>
        </w:tc>
        <w:tc>
          <w:tcPr>
            <w:tcW w:type="dxa" w:w="1649"/>
            <w:shd w:fill="FFFFFF"/>
            <w:tcMar>
              <w:top w:w="50" w:type="dxa"/>
              <w:bottom w:w="50" w:type="dxa"/>
              <w:left w:w="60" w:type="dxa"/>
              <w:right w:w="60" w:type="dxa"/>
            </w:tcMar>
          </w:tcPr>
          <w:p>
            <w:r>
              <w:rPr>
                <w:sz w:val="17"/>
              </w:rPr>
              <w:t>4 (0.80)</w:t>
            </w:r>
          </w:p>
        </w:tc>
        <w:tc>
          <w:tcPr>
            <w:tcW w:type="dxa" w:w="1649"/>
            <w:shd w:fill="F8FAFC"/>
            <w:tcMar>
              <w:top w:w="50" w:type="dxa"/>
              <w:bottom w:w="50" w:type="dxa"/>
              <w:left w:w="60" w:type="dxa"/>
              <w:right w:w="60" w:type="dxa"/>
            </w:tcMar>
          </w:tcPr>
          <w:p>
            <w:r>
              <w:rPr>
                <w:b/>
                <w:color w:val="1B365D"/>
                <w:sz w:val="17"/>
              </w:rPr>
              <w:t>5 (1.00)</w:t>
            </w:r>
          </w:p>
        </w:tc>
      </w:tr>
      <w:tr>
        <w:tc>
          <w:tcPr>
            <w:tcW w:type="dxa" w:w="1649"/>
            <w:shd w:fill="FFFFFF"/>
            <w:tcMar>
              <w:top w:w="50" w:type="dxa"/>
              <w:bottom w:w="50" w:type="dxa"/>
              <w:left w:w="60" w:type="dxa"/>
              <w:right w:w="60" w:type="dxa"/>
            </w:tcMar>
          </w:tcPr>
          <w:p>
            <w:r>
              <w:rPr>
                <w:sz w:val="17"/>
              </w:rPr>
              <w:t>Instant Consistency upon Revocation (FR-002)</w:t>
            </w:r>
          </w:p>
        </w:tc>
        <w:tc>
          <w:tcPr>
            <w:tcW w:type="dxa" w:w="1649"/>
            <w:shd w:fill="F8FAFC"/>
            <w:tcMar>
              <w:top w:w="50" w:type="dxa"/>
              <w:bottom w:w="50" w:type="dxa"/>
              <w:left w:w="60" w:type="dxa"/>
              <w:right w:w="60" w:type="dxa"/>
            </w:tcMar>
          </w:tcPr>
          <w:p>
            <w:r>
              <w:rPr>
                <w:sz w:val="17"/>
              </w:rPr>
              <w:t>15%</w:t>
            </w:r>
          </w:p>
        </w:tc>
        <w:tc>
          <w:tcPr>
            <w:tcW w:type="dxa" w:w="1649"/>
            <w:shd w:fill="FFFFFF"/>
            <w:tcMar>
              <w:top w:w="50" w:type="dxa"/>
              <w:bottom w:w="50" w:type="dxa"/>
              <w:left w:w="60" w:type="dxa"/>
              <w:right w:w="60" w:type="dxa"/>
            </w:tcMar>
          </w:tcPr>
          <w:p>
            <w:r>
              <w:rPr>
                <w:sz w:val="17"/>
              </w:rPr>
              <w:t>5 (0.75)</w:t>
            </w:r>
          </w:p>
        </w:tc>
        <w:tc>
          <w:tcPr>
            <w:tcW w:type="dxa" w:w="1649"/>
            <w:shd w:fill="F8FAFC"/>
            <w:tcMar>
              <w:top w:w="50" w:type="dxa"/>
              <w:bottom w:w="50" w:type="dxa"/>
              <w:left w:w="60" w:type="dxa"/>
              <w:right w:w="60" w:type="dxa"/>
            </w:tcMar>
          </w:tcPr>
          <w:p>
            <w:r>
              <w:rPr>
                <w:sz w:val="17"/>
              </w:rPr>
              <w:t>3 (0.45)</w:t>
            </w:r>
          </w:p>
        </w:tc>
        <w:tc>
          <w:tcPr>
            <w:tcW w:type="dxa" w:w="1649"/>
            <w:shd w:fill="FFFFFF"/>
            <w:tcMar>
              <w:top w:w="50" w:type="dxa"/>
              <w:bottom w:w="50" w:type="dxa"/>
              <w:left w:w="60" w:type="dxa"/>
              <w:right w:w="60" w:type="dxa"/>
            </w:tcMar>
          </w:tcPr>
          <w:p>
            <w:r>
              <w:rPr>
                <w:sz w:val="17"/>
              </w:rPr>
              <w:t>1 (0.15)</w:t>
            </w:r>
          </w:p>
        </w:tc>
        <w:tc>
          <w:tcPr>
            <w:tcW w:type="dxa" w:w="1649"/>
            <w:shd w:fill="F8FAFC"/>
            <w:tcMar>
              <w:top w:w="50" w:type="dxa"/>
              <w:bottom w:w="50" w:type="dxa"/>
              <w:left w:w="60" w:type="dxa"/>
              <w:right w:w="60" w:type="dxa"/>
            </w:tcMar>
          </w:tcPr>
          <w:p>
            <w:r>
              <w:rPr>
                <w:b/>
                <w:color w:val="1B365D"/>
                <w:sz w:val="17"/>
              </w:rPr>
              <w:t>5 (0.75)</w:t>
            </w:r>
          </w:p>
        </w:tc>
      </w:tr>
      <w:tr>
        <w:tc>
          <w:tcPr>
            <w:tcW w:type="dxa" w:w="1649"/>
            <w:shd w:fill="FFFFFF"/>
            <w:tcMar>
              <w:top w:w="50" w:type="dxa"/>
              <w:bottom w:w="50" w:type="dxa"/>
              <w:left w:w="60" w:type="dxa"/>
              <w:right w:w="60" w:type="dxa"/>
            </w:tcMar>
          </w:tcPr>
          <w:p>
            <w:r>
              <w:rPr>
                <w:sz w:val="17"/>
              </w:rPr>
              <w:t>Operational Simplicity &amp; Maintainability</w:t>
            </w:r>
          </w:p>
        </w:tc>
        <w:tc>
          <w:tcPr>
            <w:tcW w:type="dxa" w:w="1649"/>
            <w:shd w:fill="F8FAFC"/>
            <w:tcMar>
              <w:top w:w="50" w:type="dxa"/>
              <w:bottom w:w="50" w:type="dxa"/>
              <w:left w:w="60" w:type="dxa"/>
              <w:right w:w="60" w:type="dxa"/>
            </w:tcMar>
          </w:tcPr>
          <w:p>
            <w:r>
              <w:rPr>
                <w:sz w:val="17"/>
              </w:rPr>
              <w:t>15%</w:t>
            </w:r>
          </w:p>
        </w:tc>
        <w:tc>
          <w:tcPr>
            <w:tcW w:type="dxa" w:w="1649"/>
            <w:shd w:fill="FFFFFF"/>
            <w:tcMar>
              <w:top w:w="50" w:type="dxa"/>
              <w:bottom w:w="50" w:type="dxa"/>
              <w:left w:w="60" w:type="dxa"/>
              <w:right w:w="60" w:type="dxa"/>
            </w:tcMar>
          </w:tcPr>
          <w:p>
            <w:r>
              <w:rPr>
                <w:sz w:val="17"/>
              </w:rPr>
              <w:t>4 (0.60)</w:t>
            </w:r>
          </w:p>
        </w:tc>
        <w:tc>
          <w:tcPr>
            <w:tcW w:type="dxa" w:w="1649"/>
            <w:shd w:fill="F8FAFC"/>
            <w:tcMar>
              <w:top w:w="50" w:type="dxa"/>
              <w:bottom w:w="50" w:type="dxa"/>
              <w:left w:w="60" w:type="dxa"/>
              <w:right w:w="60" w:type="dxa"/>
            </w:tcMar>
          </w:tcPr>
          <w:p>
            <w:r>
              <w:rPr>
                <w:sz w:val="17"/>
              </w:rPr>
              <w:t>2 (0.30)</w:t>
            </w:r>
          </w:p>
        </w:tc>
        <w:tc>
          <w:tcPr>
            <w:tcW w:type="dxa" w:w="1649"/>
            <w:shd w:fill="FFFFFF"/>
            <w:tcMar>
              <w:top w:w="50" w:type="dxa"/>
              <w:bottom w:w="50" w:type="dxa"/>
              <w:left w:w="60" w:type="dxa"/>
              <w:right w:w="60" w:type="dxa"/>
            </w:tcMar>
          </w:tcPr>
          <w:p>
            <w:r>
              <w:rPr>
                <w:sz w:val="17"/>
              </w:rPr>
              <w:t>2 (0.30)</w:t>
            </w:r>
          </w:p>
        </w:tc>
        <w:tc>
          <w:tcPr>
            <w:tcW w:type="dxa" w:w="1649"/>
            <w:shd w:fill="F8FAFC"/>
            <w:tcMar>
              <w:top w:w="50" w:type="dxa"/>
              <w:bottom w:w="50" w:type="dxa"/>
              <w:left w:w="60" w:type="dxa"/>
              <w:right w:w="60" w:type="dxa"/>
            </w:tcMar>
          </w:tcPr>
          <w:p>
            <w:r>
              <w:rPr>
                <w:b/>
                <w:color w:val="1B365D"/>
                <w:sz w:val="17"/>
              </w:rPr>
              <w:t>4 (0.60)</w:t>
            </w:r>
          </w:p>
        </w:tc>
      </w:tr>
      <w:tr>
        <w:tc>
          <w:tcPr>
            <w:tcW w:type="dxa" w:w="1649"/>
            <w:shd w:fill="E2E8F0"/>
            <w:tcMar>
              <w:top w:w="50" w:type="dxa"/>
              <w:bottom w:w="50" w:type="dxa"/>
              <w:left w:w="60" w:type="dxa"/>
              <w:right w:w="60" w:type="dxa"/>
            </w:tcMar>
          </w:tcPr>
          <w:p>
            <w:r>
              <w:rPr>
                <w:b/>
                <w:sz w:val="17"/>
              </w:rPr>
              <w:t>WEIGHTED OVERALL SCORE</w:t>
            </w:r>
          </w:p>
        </w:tc>
        <w:tc>
          <w:tcPr>
            <w:tcW w:type="dxa" w:w="1649"/>
            <w:shd w:fill="E2E8F0"/>
            <w:tcMar>
              <w:top w:w="50" w:type="dxa"/>
              <w:bottom w:w="50" w:type="dxa"/>
              <w:left w:w="60" w:type="dxa"/>
              <w:right w:w="60" w:type="dxa"/>
            </w:tcMar>
          </w:tcPr>
          <w:p>
            <w:r>
              <w:rPr>
                <w:b/>
                <w:sz w:val="17"/>
              </w:rPr>
              <w:t>100%</w:t>
            </w:r>
          </w:p>
        </w:tc>
        <w:tc>
          <w:tcPr>
            <w:tcW w:type="dxa" w:w="1649"/>
            <w:shd w:fill="E2E8F0"/>
            <w:tcMar>
              <w:top w:w="50" w:type="dxa"/>
              <w:bottom w:w="50" w:type="dxa"/>
              <w:left w:w="60" w:type="dxa"/>
              <w:right w:w="60" w:type="dxa"/>
            </w:tcMar>
          </w:tcPr>
          <w:p>
            <w:r>
              <w:rPr>
                <w:b/>
                <w:sz w:val="17"/>
              </w:rPr>
              <w:t>3.25 / 5.0</w:t>
            </w:r>
          </w:p>
        </w:tc>
        <w:tc>
          <w:tcPr>
            <w:tcW w:type="dxa" w:w="1649"/>
            <w:shd w:fill="E2E8F0"/>
            <w:tcMar>
              <w:top w:w="50" w:type="dxa"/>
              <w:bottom w:w="50" w:type="dxa"/>
              <w:left w:w="60" w:type="dxa"/>
              <w:right w:w="60" w:type="dxa"/>
            </w:tcMar>
          </w:tcPr>
          <w:p>
            <w:r>
              <w:rPr>
                <w:b/>
                <w:sz w:val="17"/>
              </w:rPr>
              <w:t>3.05 / 5.0</w:t>
            </w:r>
          </w:p>
        </w:tc>
        <w:tc>
          <w:tcPr>
            <w:tcW w:type="dxa" w:w="1649"/>
            <w:shd w:fill="E2E8F0"/>
            <w:tcMar>
              <w:top w:w="50" w:type="dxa"/>
              <w:bottom w:w="50" w:type="dxa"/>
              <w:left w:w="60" w:type="dxa"/>
              <w:right w:w="60" w:type="dxa"/>
            </w:tcMar>
          </w:tcPr>
          <w:p>
            <w:r>
              <w:rPr>
                <w:b/>
                <w:sz w:val="17"/>
              </w:rPr>
              <w:t>2.25 / 5.0</w:t>
            </w:r>
          </w:p>
        </w:tc>
        <w:tc>
          <w:tcPr>
            <w:tcW w:type="dxa" w:w="1649"/>
            <w:shd w:fill="E2E8F0"/>
            <w:tcMar>
              <w:top w:w="50" w:type="dxa"/>
              <w:bottom w:w="50" w:type="dxa"/>
              <w:left w:w="60" w:type="dxa"/>
              <w:right w:w="60" w:type="dxa"/>
            </w:tcMar>
          </w:tcPr>
          <w:p>
            <w:r>
              <w:rPr>
                <w:b/>
                <w:color w:val="1B365D"/>
                <w:sz w:val="17"/>
              </w:rPr>
              <w:t>4.85 / 5.0</w:t>
            </w:r>
          </w:p>
        </w:tc>
      </w:tr>
    </w:tbl>
    <w:p>
      <w:pPr>
        <w:spacing w:after="120"/>
      </w:pPr>
    </w:p>
    <w:p>
      <w:pPr>
        <w:keepNext/>
        <w:spacing w:before="200" w:after="60"/>
      </w:pPr>
      <w:r>
        <w:rPr>
          <w:rFonts w:ascii="Calibri" w:hAnsi="Calibri"/>
          <w:b/>
          <w:color w:val="1B365D"/>
          <w:sz w:val="24"/>
        </w:rPr>
        <w:t>4.3 Architectural Decision Records (ADRs)</w:t>
      </w:r>
    </w:p>
    <w:p>
      <w:pPr>
        <w:pStyle w:val="ListBullet"/>
        <w:spacing w:before="0" w:after="60" w:line="276" w:lineRule="auto"/>
      </w:pPr>
      <w:r>
        <w:rPr>
          <w:rFonts w:ascii="Calibri" w:hAnsi="Calibri"/>
          <w:b/>
          <w:color w:val="0F172A"/>
          <w:sz w:val="20"/>
        </w:rPr>
        <w:t xml:space="preserve">ADR-001: Policy Enforcement Point (PEP) Interception: </w:t>
      </w:r>
      <w:r>
        <w:rPr>
          <w:rFonts w:ascii="Calibri" w:hAnsi="Calibri"/>
          <w:color w:val="0F172A"/>
          <w:sz w:val="20"/>
        </w:rPr>
        <w:t>Implement a dedicated Access Authorization Component acting as a Policy Enforcement Point (PEP) that intercepts every doctor record access request and queries an in-memory Policy Decision Point (PDP) cache before granting access. Rationale: Healthcare diagnostic records must never be directly queried by client applications without validating active consent.</w:t>
      </w:r>
    </w:p>
    <w:p>
      <w:pPr>
        <w:pStyle w:val="ListBullet"/>
        <w:spacing w:before="0" w:after="60" w:line="276" w:lineRule="auto"/>
      </w:pPr>
      <w:r>
        <w:rPr>
          <w:rFonts w:ascii="Calibri" w:hAnsi="Calibri"/>
          <w:b/>
          <w:color w:val="0F172A"/>
          <w:sz w:val="20"/>
        </w:rPr>
        <w:t xml:space="preserve">ADR-002: Dual-Store Strategy (PostgreSQL + Redis Cache): </w:t>
      </w:r>
      <w:r>
        <w:rPr>
          <w:rFonts w:ascii="Calibri" w:hAnsi="Calibri"/>
          <w:color w:val="0F172A"/>
          <w:sz w:val="20"/>
        </w:rPr>
        <w:t>Use PostgreSQL for ACID durability of consent and doctor master records, coupled with an active Redis cache key-value store for sub-5ms consent validity checks. Upon consent creation, records write to both DB and cache. Upon revocation, the cache key is evicted immediately and the DB updated synchronously. Rationale: Guarantees NFR-002 (&lt;500ms latency) while eliminating temporal data leakage windows upon revocation (FR-002).</w:t>
      </w:r>
    </w:p>
    <w:p>
      <w:pPr>
        <w:pStyle w:val="ListBullet"/>
        <w:spacing w:before="0" w:after="60" w:line="276" w:lineRule="auto"/>
      </w:pPr>
      <w:r>
        <w:rPr>
          <w:rFonts w:ascii="Calibri" w:hAnsi="Calibri"/>
          <w:b/>
          <w:color w:val="0F172A"/>
          <w:sz w:val="20"/>
        </w:rPr>
        <w:t xml:space="preserve">ADR-003: Cryptographically Chained Append-Only Audit Trail: </w:t>
      </w:r>
      <w:r>
        <w:rPr>
          <w:rFonts w:ascii="Calibri" w:hAnsi="Calibri"/>
          <w:color w:val="0F172A"/>
          <w:sz w:val="20"/>
        </w:rPr>
        <w:t>All consent grant, revoke, and doctor record access events are hashed using SHA-256 and chained to predecessor blocks: H_n = SHA-256(H_{n-1} || Event_Payload_n || Timestamp_n). Logs are persisted to a Write-Once-Read-Many (WORM) storage ledger. Rationale: Completely eliminates risk of administrator tampering or log deletion, satisfying NFR-001 and legal non-repudiation.</w:t>
      </w:r>
    </w:p>
    <w:p>
      <w:pPr>
        <w:pStyle w:val="ListBullet"/>
        <w:spacing w:before="0" w:after="60" w:line="276" w:lineRule="auto"/>
      </w:pPr>
      <w:r>
        <w:rPr>
          <w:rFonts w:ascii="Calibri" w:hAnsi="Calibri"/>
          <w:b/>
          <w:color w:val="0F172A"/>
          <w:sz w:val="20"/>
        </w:rPr>
        <w:t xml:space="preserve">ADR-004: Envelope Encryption with Customer Managed Keys: </w:t>
      </w:r>
      <w:r>
        <w:rPr>
          <w:rFonts w:ascii="Calibri" w:hAnsi="Calibri"/>
          <w:color w:val="0F172A"/>
          <w:sz w:val="20"/>
        </w:rPr>
        <w:t>Diagnostic records are encrypted at rest using AES-256 envelope encryption. Decryption keys are held in AWS KMS / HashiCorp Vault and are dispensed only to the Diagnostic Record Component upon receiving an authorized cryptographically signed assertion from the PEP. Rationale: Minimizes blast radius of physical storage compromise.</w:t>
      </w:r>
    </w:p>
    <w:p>
      <w:pPr>
        <w:keepNext/>
        <w:spacing w:before="280" w:after="80"/>
      </w:pPr>
      <w:r>
        <w:rPr>
          <w:rFonts w:ascii="Calibri" w:hAnsi="Calibri"/>
          <w:b/>
          <w:color w:val="1B365D"/>
          <w:sz w:val="28"/>
        </w:rPr>
        <w:t>5. Requirements Traceability Matrix (Architecture to Lab 1)</w:t>
      </w:r>
    </w:p>
    <w:p>
      <w:pPr>
        <w:spacing w:before="0" w:after="80" w:line="276" w:lineRule="auto"/>
      </w:pPr>
      <w:r>
        <w:rPr>
          <w:rFonts w:ascii="Calibri" w:hAnsi="Calibri"/>
          <w:color w:val="0F172A"/>
          <w:sz w:val="20"/>
        </w:rPr>
        <w:t>The table below demonstrates bidirectional traceability between Lab 1 requirements and the component architecture:</w:t>
      </w:r>
    </w:p>
    <w:tbl>
      <w:tblPr>
        <w:tblW w:type="auto" w:w="0"/>
        <w:jc w:val="center"/>
        <w:tblLook w:firstColumn="1" w:firstRow="1" w:lastColumn="0" w:lastRow="0" w:noHBand="0" w:noVBand="1" w:val="04A0"/>
      </w:tblPr>
      <w:tblGrid>
        <w:gridCol w:w="1979"/>
        <w:gridCol w:w="1979"/>
        <w:gridCol w:w="1979"/>
        <w:gridCol w:w="1979"/>
        <w:gridCol w:w="1979"/>
      </w:tblGrid>
      <w:tr>
        <w:tc>
          <w:tcPr>
            <w:tcW w:type="dxa" w:w="1296"/>
            <w:shd w:fill="1B365D"/>
            <w:tcMar>
              <w:top w:w="70" w:type="dxa"/>
              <w:bottom w:w="70" w:type="dxa"/>
              <w:left w:w="70" w:type="dxa"/>
              <w:right w:w="70" w:type="dxa"/>
            </w:tcMar>
          </w:tcPr>
          <w:p>
            <w:r>
              <w:rPr>
                <w:b/>
                <w:color w:val="FFFFFF"/>
                <w:sz w:val="17"/>
              </w:rPr>
              <w:t>Req ID</w:t>
            </w:r>
          </w:p>
        </w:tc>
        <w:tc>
          <w:tcPr>
            <w:tcW w:type="dxa" w:w="2448"/>
            <w:shd w:fill="1B365D"/>
            <w:tcMar>
              <w:top w:w="70" w:type="dxa"/>
              <w:bottom w:w="70" w:type="dxa"/>
              <w:left w:w="70" w:type="dxa"/>
              <w:right w:w="70" w:type="dxa"/>
            </w:tcMar>
          </w:tcPr>
          <w:p>
            <w:r>
              <w:rPr>
                <w:b/>
                <w:color w:val="FFFFFF"/>
                <w:sz w:val="17"/>
              </w:rPr>
              <w:t>Requirement Summary</w:t>
            </w:r>
          </w:p>
        </w:tc>
        <w:tc>
          <w:tcPr>
            <w:tcW w:type="dxa" w:w="2304"/>
            <w:shd w:fill="1B365D"/>
            <w:tcMar>
              <w:top w:w="70" w:type="dxa"/>
              <w:bottom w:w="70" w:type="dxa"/>
              <w:left w:w="70" w:type="dxa"/>
              <w:right w:w="70" w:type="dxa"/>
            </w:tcMar>
          </w:tcPr>
          <w:p>
            <w:r>
              <w:rPr>
                <w:b/>
                <w:color w:val="FFFFFF"/>
                <w:sz w:val="17"/>
              </w:rPr>
              <w:t>Realizing Architectural Component</w:t>
            </w:r>
          </w:p>
        </w:tc>
        <w:tc>
          <w:tcPr>
            <w:tcW w:type="dxa" w:w="2016"/>
            <w:shd w:fill="1B365D"/>
            <w:tcMar>
              <w:top w:w="70" w:type="dxa"/>
              <w:bottom w:w="70" w:type="dxa"/>
              <w:left w:w="70" w:type="dxa"/>
              <w:right w:w="70" w:type="dxa"/>
            </w:tcMar>
          </w:tcPr>
          <w:p>
            <w:r>
              <w:rPr>
                <w:b/>
                <w:color w:val="FFFFFF"/>
                <w:sz w:val="17"/>
              </w:rPr>
              <w:t>Interface Contract</w:t>
            </w:r>
          </w:p>
        </w:tc>
        <w:tc>
          <w:tcPr>
            <w:tcW w:type="dxa" w:w="2160"/>
            <w:shd w:fill="1B365D"/>
            <w:tcMar>
              <w:top w:w="70" w:type="dxa"/>
              <w:bottom w:w="70" w:type="dxa"/>
              <w:left w:w="70" w:type="dxa"/>
              <w:right w:w="70" w:type="dxa"/>
            </w:tcMar>
          </w:tcPr>
          <w:p>
            <w:r>
              <w:rPr>
                <w:b/>
                <w:color w:val="FFFFFF"/>
                <w:sz w:val="17"/>
              </w:rPr>
              <w:t>Acceptance Verification Mechanism</w:t>
            </w:r>
          </w:p>
        </w:tc>
      </w:tr>
      <w:tr>
        <w:tc>
          <w:tcPr>
            <w:tcW w:type="dxa" w:w="1296"/>
            <w:shd w:fill="FFFFFF"/>
            <w:tcMar>
              <w:top w:w="50" w:type="dxa"/>
              <w:bottom w:w="50" w:type="dxa"/>
              <w:left w:w="60" w:type="dxa"/>
              <w:right w:w="60" w:type="dxa"/>
            </w:tcMar>
          </w:tcPr>
          <w:p>
            <w:r>
              <w:rPr>
                <w:b/>
                <w:color w:val="1B365D"/>
                <w:sz w:val="16"/>
              </w:rPr>
              <w:t>FR-001</w:t>
            </w:r>
          </w:p>
        </w:tc>
        <w:tc>
          <w:tcPr>
            <w:tcW w:type="dxa" w:w="2448"/>
            <w:shd w:fill="F8FAFC"/>
            <w:tcMar>
              <w:top w:w="50" w:type="dxa"/>
              <w:bottom w:w="50" w:type="dxa"/>
              <w:left w:w="60" w:type="dxa"/>
              <w:right w:w="60" w:type="dxa"/>
            </w:tcMar>
          </w:tcPr>
          <w:p>
            <w:r>
              <w:rPr>
                <w:sz w:val="16"/>
              </w:rPr>
              <w:t>Grant time-bounded consent with expiration timestamp</w:t>
            </w:r>
          </w:p>
        </w:tc>
        <w:tc>
          <w:tcPr>
            <w:tcW w:type="dxa" w:w="2304"/>
            <w:shd w:fill="FFFFFF"/>
            <w:tcMar>
              <w:top w:w="50" w:type="dxa"/>
              <w:bottom w:w="50" w:type="dxa"/>
              <w:left w:w="60" w:type="dxa"/>
              <w:right w:w="60" w:type="dxa"/>
            </w:tcMar>
          </w:tcPr>
          <w:p>
            <w:r>
              <w:rPr>
                <w:sz w:val="16"/>
              </w:rPr>
              <w:t>Consent Management Component</w:t>
            </w:r>
          </w:p>
        </w:tc>
        <w:tc>
          <w:tcPr>
            <w:tcW w:type="dxa" w:w="2016"/>
            <w:shd w:fill="F8FAFC"/>
            <w:tcMar>
              <w:top w:w="50" w:type="dxa"/>
              <w:bottom w:w="50" w:type="dxa"/>
              <w:left w:w="60" w:type="dxa"/>
              <w:right w:w="60" w:type="dxa"/>
            </w:tcMar>
          </w:tcPr>
          <w:p>
            <w:r>
              <w:rPr>
                <w:sz w:val="16"/>
              </w:rPr>
              <w:t>IConsentGrant, IDoctorVerificationCheck</w:t>
            </w:r>
          </w:p>
        </w:tc>
        <w:tc>
          <w:tcPr>
            <w:tcW w:type="dxa" w:w="2160"/>
            <w:shd w:fill="FFFFFF"/>
            <w:tcMar>
              <w:top w:w="50" w:type="dxa"/>
              <w:bottom w:w="50" w:type="dxa"/>
              <w:left w:w="60" w:type="dxa"/>
              <w:right w:w="60" w:type="dxa"/>
            </w:tcMar>
          </w:tcPr>
          <w:p>
            <w:r>
              <w:rPr>
                <w:sz w:val="16"/>
              </w:rPr>
              <w:t>Automated test grants consent; verifies active state in DB/cache and rejects expired timestamps.</w:t>
            </w:r>
          </w:p>
        </w:tc>
      </w:tr>
      <w:tr>
        <w:tc>
          <w:tcPr>
            <w:tcW w:type="dxa" w:w="1296"/>
            <w:shd w:fill="FFFFFF"/>
            <w:tcMar>
              <w:top w:w="50" w:type="dxa"/>
              <w:bottom w:w="50" w:type="dxa"/>
              <w:left w:w="60" w:type="dxa"/>
              <w:right w:w="60" w:type="dxa"/>
            </w:tcMar>
          </w:tcPr>
          <w:p>
            <w:r>
              <w:rPr>
                <w:b/>
                <w:color w:val="1B365D"/>
                <w:sz w:val="16"/>
              </w:rPr>
              <w:t>FR-002</w:t>
            </w:r>
          </w:p>
        </w:tc>
        <w:tc>
          <w:tcPr>
            <w:tcW w:type="dxa" w:w="2448"/>
            <w:shd w:fill="F8FAFC"/>
            <w:tcMar>
              <w:top w:w="50" w:type="dxa"/>
              <w:bottom w:w="50" w:type="dxa"/>
              <w:left w:w="60" w:type="dxa"/>
              <w:right w:w="60" w:type="dxa"/>
            </w:tcMar>
          </w:tcPr>
          <w:p>
            <w:r>
              <w:rPr>
                <w:sz w:val="16"/>
              </w:rPr>
              <w:t>Instant revocation prior to scheduled expiration</w:t>
            </w:r>
          </w:p>
        </w:tc>
        <w:tc>
          <w:tcPr>
            <w:tcW w:type="dxa" w:w="2304"/>
            <w:shd w:fill="FFFFFF"/>
            <w:tcMar>
              <w:top w:w="50" w:type="dxa"/>
              <w:bottom w:w="50" w:type="dxa"/>
              <w:left w:w="60" w:type="dxa"/>
              <w:right w:w="60" w:type="dxa"/>
            </w:tcMar>
          </w:tcPr>
          <w:p>
            <w:r>
              <w:rPr>
                <w:sz w:val="16"/>
              </w:rPr>
              <w:t>Consent Management Component</w:t>
            </w:r>
          </w:p>
        </w:tc>
        <w:tc>
          <w:tcPr>
            <w:tcW w:type="dxa" w:w="2016"/>
            <w:shd w:fill="F8FAFC"/>
            <w:tcMar>
              <w:top w:w="50" w:type="dxa"/>
              <w:bottom w:w="50" w:type="dxa"/>
              <w:left w:w="60" w:type="dxa"/>
              <w:right w:w="60" w:type="dxa"/>
            </w:tcMar>
          </w:tcPr>
          <w:p>
            <w:r>
              <w:rPr>
                <w:sz w:val="16"/>
              </w:rPr>
              <w:t>IConsentRevoke, IFastConsentCacheSync</w:t>
            </w:r>
          </w:p>
        </w:tc>
        <w:tc>
          <w:tcPr>
            <w:tcW w:type="dxa" w:w="2160"/>
            <w:shd w:fill="FFFFFF"/>
            <w:tcMar>
              <w:top w:w="50" w:type="dxa"/>
              <w:bottom w:w="50" w:type="dxa"/>
              <w:left w:w="60" w:type="dxa"/>
              <w:right w:w="60" w:type="dxa"/>
            </w:tcMar>
          </w:tcPr>
          <w:p>
            <w:r>
              <w:rPr>
                <w:sz w:val="16"/>
              </w:rPr>
              <w:t>Revocation call immediately invalidates Redis cache; subsequent doctor access attempt returns 403 Forbidden.</w:t>
            </w:r>
          </w:p>
        </w:tc>
      </w:tr>
      <w:tr>
        <w:tc>
          <w:tcPr>
            <w:tcW w:type="dxa" w:w="1296"/>
            <w:shd w:fill="FFFFFF"/>
            <w:tcMar>
              <w:top w:w="50" w:type="dxa"/>
              <w:bottom w:w="50" w:type="dxa"/>
              <w:left w:w="60" w:type="dxa"/>
              <w:right w:w="60" w:type="dxa"/>
            </w:tcMar>
          </w:tcPr>
          <w:p>
            <w:r>
              <w:rPr>
                <w:b/>
                <w:color w:val="1B365D"/>
                <w:sz w:val="16"/>
              </w:rPr>
              <w:t>FR-003</w:t>
            </w:r>
          </w:p>
        </w:tc>
        <w:tc>
          <w:tcPr>
            <w:tcW w:type="dxa" w:w="2448"/>
            <w:shd w:fill="F8FAFC"/>
            <w:tcMar>
              <w:top w:w="50" w:type="dxa"/>
              <w:bottom w:w="50" w:type="dxa"/>
              <w:left w:w="60" w:type="dxa"/>
              <w:right w:w="60" w:type="dxa"/>
            </w:tcMar>
          </w:tcPr>
          <w:p>
            <w:r>
              <w:rPr>
                <w:sz w:val="16"/>
              </w:rPr>
              <w:t>Real-time list of active and expired consents</w:t>
            </w:r>
          </w:p>
        </w:tc>
        <w:tc>
          <w:tcPr>
            <w:tcW w:type="dxa" w:w="2304"/>
            <w:shd w:fill="FFFFFF"/>
            <w:tcMar>
              <w:top w:w="50" w:type="dxa"/>
              <w:bottom w:w="50" w:type="dxa"/>
              <w:left w:w="60" w:type="dxa"/>
              <w:right w:w="60" w:type="dxa"/>
            </w:tcMar>
          </w:tcPr>
          <w:p>
            <w:r>
              <w:rPr>
                <w:sz w:val="16"/>
              </w:rPr>
              <w:t>Consent Management Component</w:t>
            </w:r>
          </w:p>
        </w:tc>
        <w:tc>
          <w:tcPr>
            <w:tcW w:type="dxa" w:w="2016"/>
            <w:shd w:fill="F8FAFC"/>
            <w:tcMar>
              <w:top w:w="50" w:type="dxa"/>
              <w:bottom w:w="50" w:type="dxa"/>
              <w:left w:w="60" w:type="dxa"/>
              <w:right w:w="60" w:type="dxa"/>
            </w:tcMar>
          </w:tcPr>
          <w:p>
            <w:r>
              <w:rPr>
                <w:sz w:val="16"/>
              </w:rPr>
              <w:t>IConsentQuery</w:t>
            </w:r>
          </w:p>
        </w:tc>
        <w:tc>
          <w:tcPr>
            <w:tcW w:type="dxa" w:w="2160"/>
            <w:shd w:fill="FFFFFF"/>
            <w:tcMar>
              <w:top w:w="50" w:type="dxa"/>
              <w:bottom w:w="50" w:type="dxa"/>
              <w:left w:w="60" w:type="dxa"/>
              <w:right w:w="60" w:type="dxa"/>
            </w:tcMar>
          </w:tcPr>
          <w:p>
            <w:r>
              <w:rPr>
                <w:sz w:val="16"/>
              </w:rPr>
              <w:t>Patient registry query returns accurate active, revoked, and expired statuses with remaining TTLs.</w:t>
            </w:r>
          </w:p>
        </w:tc>
      </w:tr>
      <w:tr>
        <w:tc>
          <w:tcPr>
            <w:tcW w:type="dxa" w:w="1296"/>
            <w:shd w:fill="FFFFFF"/>
            <w:tcMar>
              <w:top w:w="50" w:type="dxa"/>
              <w:bottom w:w="50" w:type="dxa"/>
              <w:left w:w="60" w:type="dxa"/>
              <w:right w:w="60" w:type="dxa"/>
            </w:tcMar>
          </w:tcPr>
          <w:p>
            <w:r>
              <w:rPr>
                <w:b/>
                <w:color w:val="1B365D"/>
                <w:sz w:val="16"/>
              </w:rPr>
              <w:t>FR-004</w:t>
            </w:r>
          </w:p>
        </w:tc>
        <w:tc>
          <w:tcPr>
            <w:tcW w:type="dxa" w:w="2448"/>
            <w:shd w:fill="F8FAFC"/>
            <w:tcMar>
              <w:top w:w="50" w:type="dxa"/>
              <w:bottom w:w="50" w:type="dxa"/>
              <w:left w:w="60" w:type="dxa"/>
              <w:right w:w="60" w:type="dxa"/>
            </w:tcMar>
          </w:tcPr>
          <w:p>
            <w:r>
              <w:rPr>
                <w:sz w:val="16"/>
              </w:rPr>
              <w:t>Doctor accesses records only under active consent</w:t>
            </w:r>
          </w:p>
        </w:tc>
        <w:tc>
          <w:tcPr>
            <w:tcW w:type="dxa" w:w="2304"/>
            <w:shd w:fill="FFFFFF"/>
            <w:tcMar>
              <w:top w:w="50" w:type="dxa"/>
              <w:bottom w:w="50" w:type="dxa"/>
              <w:left w:w="60" w:type="dxa"/>
              <w:right w:w="60" w:type="dxa"/>
            </w:tcMar>
          </w:tcPr>
          <w:p>
            <w:r>
              <w:rPr>
                <w:sz w:val="16"/>
              </w:rPr>
              <w:t>Access Authorization (PEP) &amp; Diagnostic Record Component</w:t>
            </w:r>
          </w:p>
        </w:tc>
        <w:tc>
          <w:tcPr>
            <w:tcW w:type="dxa" w:w="2016"/>
            <w:shd w:fill="F8FAFC"/>
            <w:tcMar>
              <w:top w:w="50" w:type="dxa"/>
              <w:bottom w:w="50" w:type="dxa"/>
              <w:left w:w="60" w:type="dxa"/>
              <w:right w:w="60" w:type="dxa"/>
            </w:tcMar>
          </w:tcPr>
          <w:p>
            <w:r>
              <w:rPr>
                <w:sz w:val="16"/>
              </w:rPr>
              <w:t>IRecordAccessDecision, IDiagnosticRecordFetch</w:t>
            </w:r>
          </w:p>
        </w:tc>
        <w:tc>
          <w:tcPr>
            <w:tcW w:type="dxa" w:w="2160"/>
            <w:shd w:fill="FFFFFF"/>
            <w:tcMar>
              <w:top w:w="50" w:type="dxa"/>
              <w:bottom w:w="50" w:type="dxa"/>
              <w:left w:w="60" w:type="dxa"/>
              <w:right w:w="60" w:type="dxa"/>
            </w:tcMar>
          </w:tcPr>
          <w:p>
            <w:r>
              <w:rPr>
                <w:sz w:val="16"/>
              </w:rPr>
              <w:t>Mock doctor request without active consent receives 403 Access Denied; request with valid consent receives decrypted payload.</w:t>
            </w:r>
          </w:p>
        </w:tc>
      </w:tr>
      <w:tr>
        <w:tc>
          <w:tcPr>
            <w:tcW w:type="dxa" w:w="1296"/>
            <w:shd w:fill="FFFFFF"/>
            <w:tcMar>
              <w:top w:w="50" w:type="dxa"/>
              <w:bottom w:w="50" w:type="dxa"/>
              <w:left w:w="60" w:type="dxa"/>
              <w:right w:w="60" w:type="dxa"/>
            </w:tcMar>
          </w:tcPr>
          <w:p>
            <w:r>
              <w:rPr>
                <w:b/>
                <w:color w:val="1B365D"/>
                <w:sz w:val="16"/>
              </w:rPr>
              <w:t>FR-005</w:t>
            </w:r>
          </w:p>
        </w:tc>
        <w:tc>
          <w:tcPr>
            <w:tcW w:type="dxa" w:w="2448"/>
            <w:shd w:fill="F8FAFC"/>
            <w:tcMar>
              <w:top w:w="50" w:type="dxa"/>
              <w:bottom w:w="50" w:type="dxa"/>
              <w:left w:w="60" w:type="dxa"/>
              <w:right w:w="60" w:type="dxa"/>
            </w:tcMar>
          </w:tcPr>
          <w:p>
            <w:r>
              <w:rPr>
                <w:sz w:val="16"/>
              </w:rPr>
              <w:t>Clinic Admin manages doctor verification status</w:t>
            </w:r>
          </w:p>
        </w:tc>
        <w:tc>
          <w:tcPr>
            <w:tcW w:type="dxa" w:w="2304"/>
            <w:shd w:fill="FFFFFF"/>
            <w:tcMar>
              <w:top w:w="50" w:type="dxa"/>
              <w:bottom w:w="50" w:type="dxa"/>
              <w:left w:w="60" w:type="dxa"/>
              <w:right w:w="60" w:type="dxa"/>
            </w:tcMar>
          </w:tcPr>
          <w:p>
            <w:r>
              <w:rPr>
                <w:sz w:val="16"/>
              </w:rPr>
              <w:t>Doctor Verification Component</w:t>
            </w:r>
          </w:p>
        </w:tc>
        <w:tc>
          <w:tcPr>
            <w:tcW w:type="dxa" w:w="2016"/>
            <w:shd w:fill="F8FAFC"/>
            <w:tcMar>
              <w:top w:w="50" w:type="dxa"/>
              <w:bottom w:w="50" w:type="dxa"/>
              <w:left w:w="60" w:type="dxa"/>
              <w:right w:w="60" w:type="dxa"/>
            </w:tcMar>
          </w:tcPr>
          <w:p>
            <w:r>
              <w:rPr>
                <w:sz w:val="16"/>
              </w:rPr>
              <w:t>IDoctorAdminService, IDoctorVerificationCheck</w:t>
            </w:r>
          </w:p>
        </w:tc>
        <w:tc>
          <w:tcPr>
            <w:tcW w:type="dxa" w:w="2160"/>
            <w:shd w:fill="FFFFFF"/>
            <w:tcMar>
              <w:top w:w="50" w:type="dxa"/>
              <w:bottom w:w="50" w:type="dxa"/>
              <w:left w:w="60" w:type="dxa"/>
              <w:right w:w="60" w:type="dxa"/>
            </w:tcMar>
          </w:tcPr>
          <w:p>
            <w:r>
              <w:rPr>
                <w:sz w:val="16"/>
              </w:rPr>
              <w:t>Admin toggles doctor verification; unverified doctor is rejected when patient attempts to grant consent.</w:t>
            </w:r>
          </w:p>
        </w:tc>
      </w:tr>
      <w:tr>
        <w:tc>
          <w:tcPr>
            <w:tcW w:type="dxa" w:w="1296"/>
            <w:shd w:fill="FFFFFF"/>
            <w:tcMar>
              <w:top w:w="50" w:type="dxa"/>
              <w:bottom w:w="50" w:type="dxa"/>
              <w:left w:w="60" w:type="dxa"/>
              <w:right w:w="60" w:type="dxa"/>
            </w:tcMar>
          </w:tcPr>
          <w:p>
            <w:r>
              <w:rPr>
                <w:b/>
                <w:color w:val="1B365D"/>
                <w:sz w:val="16"/>
              </w:rPr>
              <w:t>NFR-001</w:t>
            </w:r>
          </w:p>
        </w:tc>
        <w:tc>
          <w:tcPr>
            <w:tcW w:type="dxa" w:w="2448"/>
            <w:shd w:fill="F8FAFC"/>
            <w:tcMar>
              <w:top w:w="50" w:type="dxa"/>
              <w:bottom w:w="50" w:type="dxa"/>
              <w:left w:w="60" w:type="dxa"/>
              <w:right w:w="60" w:type="dxa"/>
            </w:tcMar>
          </w:tcPr>
          <w:p>
            <w:r>
              <w:rPr>
                <w:sz w:val="16"/>
              </w:rPr>
              <w:t>Permanent append-only audit trail logging</w:t>
            </w:r>
          </w:p>
        </w:tc>
        <w:tc>
          <w:tcPr>
            <w:tcW w:type="dxa" w:w="2304"/>
            <w:shd w:fill="FFFFFF"/>
            <w:tcMar>
              <w:top w:w="50" w:type="dxa"/>
              <w:bottom w:w="50" w:type="dxa"/>
              <w:left w:w="60" w:type="dxa"/>
              <w:right w:w="60" w:type="dxa"/>
            </w:tcMar>
          </w:tcPr>
          <w:p>
            <w:r>
              <w:rPr>
                <w:sz w:val="16"/>
              </w:rPr>
              <w:t>Append-Only Immutable Audit Trail Component</w:t>
            </w:r>
          </w:p>
        </w:tc>
        <w:tc>
          <w:tcPr>
            <w:tcW w:type="dxa" w:w="2016"/>
            <w:shd w:fill="F8FAFC"/>
            <w:tcMar>
              <w:top w:w="50" w:type="dxa"/>
              <w:bottom w:w="50" w:type="dxa"/>
              <w:left w:w="60" w:type="dxa"/>
              <w:right w:w="60" w:type="dxa"/>
            </w:tcMar>
          </w:tcPr>
          <w:p>
            <w:r>
              <w:rPr>
                <w:sz w:val="16"/>
              </w:rPr>
              <w:t>IAuditPublisher, IImmutableWORMStore</w:t>
            </w:r>
          </w:p>
        </w:tc>
        <w:tc>
          <w:tcPr>
            <w:tcW w:type="dxa" w:w="2160"/>
            <w:shd w:fill="FFFFFF"/>
            <w:tcMar>
              <w:top w:w="50" w:type="dxa"/>
              <w:bottom w:w="50" w:type="dxa"/>
              <w:left w:w="60" w:type="dxa"/>
              <w:right w:w="60" w:type="dxa"/>
            </w:tcMar>
          </w:tcPr>
          <w:p>
            <w:r>
              <w:rPr>
                <w:sz w:val="16"/>
              </w:rPr>
              <w:t>SHA-256 hash chain verification test confirms all grant, revoke, and access events are recorded and unalterable.</w:t>
            </w:r>
          </w:p>
        </w:tc>
      </w:tr>
      <w:tr>
        <w:tc>
          <w:tcPr>
            <w:tcW w:type="dxa" w:w="1296"/>
            <w:shd w:fill="FFFFFF"/>
            <w:tcMar>
              <w:top w:w="50" w:type="dxa"/>
              <w:bottom w:w="50" w:type="dxa"/>
              <w:left w:w="60" w:type="dxa"/>
              <w:right w:w="60" w:type="dxa"/>
            </w:tcMar>
          </w:tcPr>
          <w:p>
            <w:r>
              <w:rPr>
                <w:b/>
                <w:color w:val="1B365D"/>
                <w:sz w:val="16"/>
              </w:rPr>
              <w:t>NFR-002</w:t>
            </w:r>
          </w:p>
        </w:tc>
        <w:tc>
          <w:tcPr>
            <w:tcW w:type="dxa" w:w="2448"/>
            <w:shd w:fill="F8FAFC"/>
            <w:tcMar>
              <w:top w:w="50" w:type="dxa"/>
              <w:bottom w:w="50" w:type="dxa"/>
              <w:left w:w="60" w:type="dxa"/>
              <w:right w:w="60" w:type="dxa"/>
            </w:tcMar>
          </w:tcPr>
          <w:p>
            <w:r>
              <w:rPr>
                <w:sz w:val="16"/>
              </w:rPr>
              <w:t>Authorization latency strictly &lt; 500ms</w:t>
            </w:r>
          </w:p>
        </w:tc>
        <w:tc>
          <w:tcPr>
            <w:tcW w:type="dxa" w:w="2304"/>
            <w:shd w:fill="FFFFFF"/>
            <w:tcMar>
              <w:top w:w="50" w:type="dxa"/>
              <w:bottom w:w="50" w:type="dxa"/>
              <w:left w:w="60" w:type="dxa"/>
              <w:right w:w="60" w:type="dxa"/>
            </w:tcMar>
          </w:tcPr>
          <w:p>
            <w:r>
              <w:rPr>
                <w:sz w:val="16"/>
              </w:rPr>
              <w:t>Access Authorization Component &amp; Redis Cache</w:t>
            </w:r>
          </w:p>
        </w:tc>
        <w:tc>
          <w:tcPr>
            <w:tcW w:type="dxa" w:w="2016"/>
            <w:shd w:fill="F8FAFC"/>
            <w:tcMar>
              <w:top w:w="50" w:type="dxa"/>
              <w:bottom w:w="50" w:type="dxa"/>
              <w:left w:w="60" w:type="dxa"/>
              <w:right w:w="60" w:type="dxa"/>
            </w:tcMar>
          </w:tcPr>
          <w:p>
            <w:r>
              <w:rPr>
                <w:sz w:val="16"/>
              </w:rPr>
              <w:t>IPolicyEnforcement, IFastConsentLookup</w:t>
            </w:r>
          </w:p>
        </w:tc>
        <w:tc>
          <w:tcPr>
            <w:tcW w:type="dxa" w:w="2160"/>
            <w:shd w:fill="FFFFFF"/>
            <w:tcMar>
              <w:top w:w="50" w:type="dxa"/>
              <w:bottom w:w="50" w:type="dxa"/>
              <w:left w:w="60" w:type="dxa"/>
              <w:right w:w="60" w:type="dxa"/>
            </w:tcMar>
          </w:tcPr>
          <w:p>
            <w:r>
              <w:rPr>
                <w:sz w:val="16"/>
              </w:rPr>
              <w:t>JMeter performance test with 50 concurrent requests verifies average authorization response latency is &lt; 35ms.</w:t>
            </w:r>
          </w:p>
        </w:tc>
      </w:tr>
    </w:tbl>
    <w:p>
      <w:pPr>
        <w:spacing w:after="120"/>
      </w:pPr>
    </w:p>
    <w:p>
      <w:pPr>
        <w:keepNext/>
        <w:spacing w:before="280" w:after="80"/>
      </w:pPr>
      <w:r>
        <w:rPr>
          <w:rFonts w:ascii="Calibri" w:hAnsi="Calibri"/>
          <w:b/>
          <w:color w:val="1B365D"/>
          <w:sz w:val="28"/>
        </w:rPr>
        <w:t>6. Security Architecture: STRIDE Threat Analysis</w:t>
      </w:r>
    </w:p>
    <w:p>
      <w:pPr>
        <w:spacing w:before="0" w:after="80" w:line="276" w:lineRule="auto"/>
      </w:pPr>
      <w:r>
        <w:rPr>
          <w:rFonts w:ascii="Calibri" w:hAnsi="Calibri"/>
          <w:color w:val="0F172A"/>
          <w:sz w:val="20"/>
        </w:rPr>
        <w:t>A rigorous STRIDE threat analysis was conducted to establish proactive security countermeasures across every component:</w:t>
      </w:r>
    </w:p>
    <w:tbl>
      <w:tblPr>
        <w:tblW w:type="auto" w:w="0"/>
        <w:jc w:val="center"/>
        <w:tblLook w:firstColumn="1" w:firstRow="1" w:lastColumn="0" w:lastRow="0" w:noHBand="0" w:noVBand="1" w:val="04A0"/>
      </w:tblPr>
      <w:tblGrid>
        <w:gridCol w:w="2473"/>
        <w:gridCol w:w="2473"/>
        <w:gridCol w:w="2473"/>
        <w:gridCol w:w="2473"/>
      </w:tblGrid>
      <w:tr>
        <w:tc>
          <w:tcPr>
            <w:tcW w:type="dxa" w:w="1728"/>
            <w:shd w:fill="1B365D"/>
            <w:tcMar>
              <w:top w:w="70" w:type="dxa"/>
              <w:bottom w:w="70" w:type="dxa"/>
              <w:left w:w="70" w:type="dxa"/>
              <w:right w:w="70" w:type="dxa"/>
            </w:tcMar>
          </w:tcPr>
          <w:p>
            <w:r>
              <w:rPr>
                <w:b/>
                <w:color w:val="FFFFFF"/>
                <w:sz w:val="17"/>
              </w:rPr>
              <w:t>Threat Category</w:t>
            </w:r>
          </w:p>
        </w:tc>
        <w:tc>
          <w:tcPr>
            <w:tcW w:type="dxa" w:w="3024"/>
            <w:shd w:fill="1B365D"/>
            <w:tcMar>
              <w:top w:w="70" w:type="dxa"/>
              <w:bottom w:w="70" w:type="dxa"/>
              <w:left w:w="70" w:type="dxa"/>
              <w:right w:w="70" w:type="dxa"/>
            </w:tcMar>
          </w:tcPr>
          <w:p>
            <w:r>
              <w:rPr>
                <w:b/>
                <w:color w:val="FFFFFF"/>
                <w:sz w:val="17"/>
              </w:rPr>
              <w:t>Healthcare Specific Attack Scenario</w:t>
            </w:r>
          </w:p>
        </w:tc>
        <w:tc>
          <w:tcPr>
            <w:tcW w:type="dxa" w:w="3168"/>
            <w:shd w:fill="1B365D"/>
            <w:tcMar>
              <w:top w:w="70" w:type="dxa"/>
              <w:bottom w:w="70" w:type="dxa"/>
              <w:left w:w="70" w:type="dxa"/>
              <w:right w:w="70" w:type="dxa"/>
            </w:tcMar>
          </w:tcPr>
          <w:p>
            <w:r>
              <w:rPr>
                <w:b/>
                <w:color w:val="FFFFFF"/>
                <w:sz w:val="17"/>
              </w:rPr>
              <w:t>Architectural Countermeasure &amp; Defense</w:t>
            </w:r>
          </w:p>
        </w:tc>
        <w:tc>
          <w:tcPr>
            <w:tcW w:type="dxa" w:w="2304"/>
            <w:shd w:fill="1B365D"/>
            <w:tcMar>
              <w:top w:w="70" w:type="dxa"/>
              <w:bottom w:w="70" w:type="dxa"/>
              <w:left w:w="70" w:type="dxa"/>
              <w:right w:w="70" w:type="dxa"/>
            </w:tcMar>
          </w:tcPr>
          <w:p>
            <w:r>
              <w:rPr>
                <w:b/>
                <w:color w:val="FFFFFF"/>
                <w:sz w:val="17"/>
              </w:rPr>
              <w:t>Enforcing Component</w:t>
            </w:r>
          </w:p>
        </w:tc>
      </w:tr>
      <w:tr>
        <w:tc>
          <w:tcPr>
            <w:tcW w:type="dxa" w:w="1728"/>
            <w:shd w:fill="FFFFFF"/>
            <w:tcMar>
              <w:top w:w="50" w:type="dxa"/>
              <w:bottom w:w="50" w:type="dxa"/>
              <w:left w:w="60" w:type="dxa"/>
              <w:right w:w="60" w:type="dxa"/>
            </w:tcMar>
          </w:tcPr>
          <w:p>
            <w:r>
              <w:rPr>
                <w:b/>
                <w:color w:val="1B365D"/>
                <w:sz w:val="16"/>
              </w:rPr>
              <w:t>Spoofing (S)</w:t>
            </w:r>
          </w:p>
        </w:tc>
        <w:tc>
          <w:tcPr>
            <w:tcW w:type="dxa" w:w="3024"/>
            <w:shd w:fill="F8FAFC"/>
            <w:tcMar>
              <w:top w:w="50" w:type="dxa"/>
              <w:bottom w:w="50" w:type="dxa"/>
              <w:left w:w="60" w:type="dxa"/>
              <w:right w:w="60" w:type="dxa"/>
            </w:tcMar>
          </w:tcPr>
          <w:p>
            <w:r>
              <w:rPr>
                <w:sz w:val="16"/>
              </w:rPr>
              <w:t>Attacker impersonates a verified clinic doctor to access confidential patient records.</w:t>
            </w:r>
          </w:p>
        </w:tc>
        <w:tc>
          <w:tcPr>
            <w:tcW w:type="dxa" w:w="3168"/>
            <w:shd w:fill="FFFFFF"/>
            <w:tcMar>
              <w:top w:w="50" w:type="dxa"/>
              <w:bottom w:w="50" w:type="dxa"/>
              <w:left w:w="60" w:type="dxa"/>
              <w:right w:w="60" w:type="dxa"/>
            </w:tcMar>
          </w:tcPr>
          <w:p>
            <w:r>
              <w:rPr>
                <w:sz w:val="16"/>
              </w:rPr>
              <w:t>Mutual TLS 1.3, OAuth2 / OIDC authentication with RSA-256 signed JWT tokens, and strict clinic admin verification gate (FR-005).</w:t>
            </w:r>
          </w:p>
        </w:tc>
        <w:tc>
          <w:tcPr>
            <w:tcW w:type="dxa" w:w="2304"/>
            <w:shd w:fill="F8FAFC"/>
            <w:tcMar>
              <w:top w:w="50" w:type="dxa"/>
              <w:bottom w:w="50" w:type="dxa"/>
              <w:left w:w="60" w:type="dxa"/>
              <w:right w:w="60" w:type="dxa"/>
            </w:tcMar>
          </w:tcPr>
          <w:p>
            <w:r>
              <w:rPr>
                <w:sz w:val="16"/>
              </w:rPr>
              <w:t>API Gateway &amp; Doctor Verification Component</w:t>
            </w:r>
          </w:p>
        </w:tc>
      </w:tr>
      <w:tr>
        <w:tc>
          <w:tcPr>
            <w:tcW w:type="dxa" w:w="1728"/>
            <w:shd w:fill="FFFFFF"/>
            <w:tcMar>
              <w:top w:w="50" w:type="dxa"/>
              <w:bottom w:w="50" w:type="dxa"/>
              <w:left w:w="60" w:type="dxa"/>
              <w:right w:w="60" w:type="dxa"/>
            </w:tcMar>
          </w:tcPr>
          <w:p>
            <w:r>
              <w:rPr>
                <w:b/>
                <w:color w:val="1B365D"/>
                <w:sz w:val="16"/>
              </w:rPr>
              <w:t>Tampering (T)</w:t>
            </w:r>
          </w:p>
        </w:tc>
        <w:tc>
          <w:tcPr>
            <w:tcW w:type="dxa" w:w="3024"/>
            <w:shd w:fill="F8FAFC"/>
            <w:tcMar>
              <w:top w:w="50" w:type="dxa"/>
              <w:bottom w:w="50" w:type="dxa"/>
              <w:left w:w="60" w:type="dxa"/>
              <w:right w:w="60" w:type="dxa"/>
            </w:tcMar>
          </w:tcPr>
          <w:p>
            <w:r>
              <w:rPr>
                <w:sz w:val="16"/>
              </w:rPr>
              <w:t>Malicious user alters consent expiration timestamp or modifies past audit logs.</w:t>
            </w:r>
          </w:p>
        </w:tc>
        <w:tc>
          <w:tcPr>
            <w:tcW w:type="dxa" w:w="3168"/>
            <w:shd w:fill="FFFFFF"/>
            <w:tcMar>
              <w:top w:w="50" w:type="dxa"/>
              <w:bottom w:w="50" w:type="dxa"/>
              <w:left w:w="60" w:type="dxa"/>
              <w:right w:w="60" w:type="dxa"/>
            </w:tcMar>
          </w:tcPr>
          <w:p>
            <w:r>
              <w:rPr>
                <w:sz w:val="16"/>
              </w:rPr>
              <w:t>Database integrity constraints, digital signatures on consent records, and SHA-256 cryptographic hash chaining for audit logs (NFR-001).</w:t>
            </w:r>
          </w:p>
        </w:tc>
        <w:tc>
          <w:tcPr>
            <w:tcW w:type="dxa" w:w="2304"/>
            <w:shd w:fill="F8FAFC"/>
            <w:tcMar>
              <w:top w:w="50" w:type="dxa"/>
              <w:bottom w:w="50" w:type="dxa"/>
              <w:left w:w="60" w:type="dxa"/>
              <w:right w:w="60" w:type="dxa"/>
            </w:tcMar>
          </w:tcPr>
          <w:p>
            <w:r>
              <w:rPr>
                <w:sz w:val="16"/>
              </w:rPr>
              <w:t>Consent Management &amp; Append-Only Audit Trail Component</w:t>
            </w:r>
          </w:p>
        </w:tc>
      </w:tr>
      <w:tr>
        <w:tc>
          <w:tcPr>
            <w:tcW w:type="dxa" w:w="1728"/>
            <w:shd w:fill="FFFFFF"/>
            <w:tcMar>
              <w:top w:w="50" w:type="dxa"/>
              <w:bottom w:w="50" w:type="dxa"/>
              <w:left w:w="60" w:type="dxa"/>
              <w:right w:w="60" w:type="dxa"/>
            </w:tcMar>
          </w:tcPr>
          <w:p>
            <w:r>
              <w:rPr>
                <w:b/>
                <w:color w:val="1B365D"/>
                <w:sz w:val="16"/>
              </w:rPr>
              <w:t>Repudiation (R)</w:t>
            </w:r>
          </w:p>
        </w:tc>
        <w:tc>
          <w:tcPr>
            <w:tcW w:type="dxa" w:w="3024"/>
            <w:shd w:fill="F8FAFC"/>
            <w:tcMar>
              <w:top w:w="50" w:type="dxa"/>
              <w:bottom w:w="50" w:type="dxa"/>
              <w:left w:w="60" w:type="dxa"/>
              <w:right w:w="60" w:type="dxa"/>
            </w:tcMar>
          </w:tcPr>
          <w:p>
            <w:r>
              <w:rPr>
                <w:sz w:val="16"/>
              </w:rPr>
              <w:t>Doctor denies accessing sensitive health data; patient denies granting consent.</w:t>
            </w:r>
          </w:p>
        </w:tc>
        <w:tc>
          <w:tcPr>
            <w:tcW w:type="dxa" w:w="3168"/>
            <w:shd w:fill="FFFFFF"/>
            <w:tcMar>
              <w:top w:w="50" w:type="dxa"/>
              <w:bottom w:w="50" w:type="dxa"/>
              <w:left w:w="60" w:type="dxa"/>
              <w:right w:w="60" w:type="dxa"/>
            </w:tcMar>
          </w:tcPr>
          <w:p>
            <w:r>
              <w:rPr>
                <w:sz w:val="16"/>
              </w:rPr>
              <w:t>Nonce-backed digital consent receipts and immutable audit logs capturing actor ID, timestamp, and IP address.</w:t>
            </w:r>
          </w:p>
        </w:tc>
        <w:tc>
          <w:tcPr>
            <w:tcW w:type="dxa" w:w="2304"/>
            <w:shd w:fill="F8FAFC"/>
            <w:tcMar>
              <w:top w:w="50" w:type="dxa"/>
              <w:bottom w:w="50" w:type="dxa"/>
              <w:left w:w="60" w:type="dxa"/>
              <w:right w:w="60" w:type="dxa"/>
            </w:tcMar>
          </w:tcPr>
          <w:p>
            <w:r>
              <w:rPr>
                <w:sz w:val="16"/>
              </w:rPr>
              <w:t>Append-Only Immutable Audit Trail Component</w:t>
            </w:r>
          </w:p>
        </w:tc>
      </w:tr>
      <w:tr>
        <w:tc>
          <w:tcPr>
            <w:tcW w:type="dxa" w:w="1728"/>
            <w:shd w:fill="FFFFFF"/>
            <w:tcMar>
              <w:top w:w="50" w:type="dxa"/>
              <w:bottom w:w="50" w:type="dxa"/>
              <w:left w:w="60" w:type="dxa"/>
              <w:right w:w="60" w:type="dxa"/>
            </w:tcMar>
          </w:tcPr>
          <w:p>
            <w:r>
              <w:rPr>
                <w:b/>
                <w:color w:val="1B365D"/>
                <w:sz w:val="16"/>
              </w:rPr>
              <w:t>Information Disclosure (I)</w:t>
            </w:r>
          </w:p>
        </w:tc>
        <w:tc>
          <w:tcPr>
            <w:tcW w:type="dxa" w:w="3024"/>
            <w:shd w:fill="F8FAFC"/>
            <w:tcMar>
              <w:top w:w="50" w:type="dxa"/>
              <w:bottom w:w="50" w:type="dxa"/>
              <w:left w:w="60" w:type="dxa"/>
              <w:right w:w="60" w:type="dxa"/>
            </w:tcMar>
          </w:tcPr>
          <w:p>
            <w:r>
              <w:rPr>
                <w:sz w:val="16"/>
              </w:rPr>
              <w:t>Unauthorized extraction or eavesdropping of patient diagnostic reports.</w:t>
            </w:r>
          </w:p>
        </w:tc>
        <w:tc>
          <w:tcPr>
            <w:tcW w:type="dxa" w:w="3168"/>
            <w:shd w:fill="FFFFFF"/>
            <w:tcMar>
              <w:top w:w="50" w:type="dxa"/>
              <w:bottom w:w="50" w:type="dxa"/>
              <w:left w:w="60" w:type="dxa"/>
              <w:right w:w="60" w:type="dxa"/>
            </w:tcMar>
          </w:tcPr>
          <w:p>
            <w:r>
              <w:rPr>
                <w:sz w:val="16"/>
              </w:rPr>
              <w:t>Zero-Trust PEP gate (FR-004), TLS 1.3 in transit, and AES-256 envelope encryption at rest via AWS KMS CMK.</w:t>
            </w:r>
          </w:p>
        </w:tc>
        <w:tc>
          <w:tcPr>
            <w:tcW w:type="dxa" w:w="2304"/>
            <w:shd w:fill="F8FAFC"/>
            <w:tcMar>
              <w:top w:w="50" w:type="dxa"/>
              <w:bottom w:w="50" w:type="dxa"/>
              <w:left w:w="60" w:type="dxa"/>
              <w:right w:w="60" w:type="dxa"/>
            </w:tcMar>
          </w:tcPr>
          <w:p>
            <w:r>
              <w:rPr>
                <w:sz w:val="16"/>
              </w:rPr>
              <w:t>Access Authorization &amp; Diagnostic Record Component</w:t>
            </w:r>
          </w:p>
        </w:tc>
      </w:tr>
      <w:tr>
        <w:tc>
          <w:tcPr>
            <w:tcW w:type="dxa" w:w="1728"/>
            <w:shd w:fill="FFFFFF"/>
            <w:tcMar>
              <w:top w:w="50" w:type="dxa"/>
              <w:bottom w:w="50" w:type="dxa"/>
              <w:left w:w="60" w:type="dxa"/>
              <w:right w:w="60" w:type="dxa"/>
            </w:tcMar>
          </w:tcPr>
          <w:p>
            <w:r>
              <w:rPr>
                <w:b/>
                <w:color w:val="1B365D"/>
                <w:sz w:val="16"/>
              </w:rPr>
              <w:t>Denial of Service (D)</w:t>
            </w:r>
          </w:p>
        </w:tc>
        <w:tc>
          <w:tcPr>
            <w:tcW w:type="dxa" w:w="3024"/>
            <w:shd w:fill="F8FAFC"/>
            <w:tcMar>
              <w:top w:w="50" w:type="dxa"/>
              <w:bottom w:w="50" w:type="dxa"/>
              <w:left w:w="60" w:type="dxa"/>
              <w:right w:w="60" w:type="dxa"/>
            </w:tcMar>
          </w:tcPr>
          <w:p>
            <w:r>
              <w:rPr>
                <w:sz w:val="16"/>
              </w:rPr>
              <w:t>High-frequency API floods degrade consent verification latency beyond 500ms.</w:t>
            </w:r>
          </w:p>
        </w:tc>
        <w:tc>
          <w:tcPr>
            <w:tcW w:type="dxa" w:w="3168"/>
            <w:shd w:fill="FFFFFF"/>
            <w:tcMar>
              <w:top w:w="50" w:type="dxa"/>
              <w:bottom w:w="50" w:type="dxa"/>
              <w:left w:w="60" w:type="dxa"/>
              <w:right w:w="60" w:type="dxa"/>
            </w:tcMar>
          </w:tcPr>
          <w:p>
            <w:r>
              <w:rPr>
                <w:sz w:val="16"/>
              </w:rPr>
              <w:t>Token bucket rate limiting at API Gateway and sub-5ms Redis cache lookups guaranteeing &lt; 500ms latency (NFR-002).</w:t>
            </w:r>
          </w:p>
        </w:tc>
        <w:tc>
          <w:tcPr>
            <w:tcW w:type="dxa" w:w="2304"/>
            <w:shd w:fill="F8FAFC"/>
            <w:tcMar>
              <w:top w:w="50" w:type="dxa"/>
              <w:bottom w:w="50" w:type="dxa"/>
              <w:left w:w="60" w:type="dxa"/>
              <w:right w:w="60" w:type="dxa"/>
            </w:tcMar>
          </w:tcPr>
          <w:p>
            <w:r>
              <w:rPr>
                <w:sz w:val="16"/>
              </w:rPr>
              <w:t>API Gateway &amp; Fast Active Consent Cache (Redis)</w:t>
            </w:r>
          </w:p>
        </w:tc>
      </w:tr>
      <w:tr>
        <w:tc>
          <w:tcPr>
            <w:tcW w:type="dxa" w:w="1728"/>
            <w:shd w:fill="FFFFFF"/>
            <w:tcMar>
              <w:top w:w="50" w:type="dxa"/>
              <w:bottom w:w="50" w:type="dxa"/>
              <w:left w:w="60" w:type="dxa"/>
              <w:right w:w="60" w:type="dxa"/>
            </w:tcMar>
          </w:tcPr>
          <w:p>
            <w:r>
              <w:rPr>
                <w:b/>
                <w:color w:val="1B365D"/>
                <w:sz w:val="16"/>
              </w:rPr>
              <w:t>Elevation of Privilege (E)</w:t>
            </w:r>
          </w:p>
        </w:tc>
        <w:tc>
          <w:tcPr>
            <w:tcW w:type="dxa" w:w="3024"/>
            <w:shd w:fill="F8FAFC"/>
            <w:tcMar>
              <w:top w:w="50" w:type="dxa"/>
              <w:bottom w:w="50" w:type="dxa"/>
              <w:left w:w="60" w:type="dxa"/>
              <w:right w:w="60" w:type="dxa"/>
            </w:tcMar>
          </w:tcPr>
          <w:p>
            <w:r>
              <w:rPr>
                <w:sz w:val="16"/>
              </w:rPr>
              <w:t>Doctor attempts to verify themselves or patient accesses admin endpoints.</w:t>
            </w:r>
          </w:p>
        </w:tc>
        <w:tc>
          <w:tcPr>
            <w:tcW w:type="dxa" w:w="3168"/>
            <w:shd w:fill="FFFFFF"/>
            <w:tcMar>
              <w:top w:w="50" w:type="dxa"/>
              <w:bottom w:w="50" w:type="dxa"/>
              <w:left w:w="60" w:type="dxa"/>
              <w:right w:w="60" w:type="dxa"/>
            </w:tcMar>
          </w:tcPr>
          <w:p>
            <w:r>
              <w:rPr>
                <w:sz w:val="16"/>
              </w:rPr>
              <w:t>Role-Based Access Control (RBAC) enforced at API Gateway and service boundaries; unverified doctor gate (FR-005).</w:t>
            </w:r>
          </w:p>
        </w:tc>
        <w:tc>
          <w:tcPr>
            <w:tcW w:type="dxa" w:w="2304"/>
            <w:shd w:fill="F8FAFC"/>
            <w:tcMar>
              <w:top w:w="50" w:type="dxa"/>
              <w:bottom w:w="50" w:type="dxa"/>
              <w:left w:w="60" w:type="dxa"/>
              <w:right w:w="60" w:type="dxa"/>
            </w:tcMar>
          </w:tcPr>
          <w:p>
            <w:r>
              <w:rPr>
                <w:sz w:val="16"/>
              </w:rPr>
              <w:t>API Gateway &amp; Doctor Verification Component</w:t>
            </w:r>
          </w:p>
        </w:tc>
      </w:tr>
    </w:tbl>
    <w:p>
      <w:pPr>
        <w:spacing w:after="120"/>
      </w:pPr>
    </w:p>
    <w:p>
      <w:pPr>
        <w:keepNext/>
        <w:spacing w:before="280" w:after="80"/>
      </w:pPr>
      <w:r>
        <w:rPr>
          <w:rFonts w:ascii="Calibri" w:hAnsi="Calibri"/>
          <w:b/>
          <w:color w:val="1B365D"/>
          <w:sz w:val="28"/>
        </w:rPr>
        <w:t>7. Failure Modes &amp; Latency Budget Analysis</w:t>
      </w:r>
    </w:p>
    <w:p>
      <w:pPr>
        <w:keepNext/>
        <w:spacing w:before="200" w:after="60"/>
      </w:pPr>
      <w:r>
        <w:rPr>
          <w:rFonts w:ascii="Calibri" w:hAnsi="Calibri"/>
          <w:b/>
          <w:color w:val="1B365D"/>
          <w:sz w:val="24"/>
        </w:rPr>
        <w:t>7.1 Sub-500ms Authorization Latency Budget Breakdown (NFR-002)</w:t>
      </w:r>
    </w:p>
    <w:p>
      <w:pPr>
        <w:spacing w:before="0" w:after="80" w:line="276" w:lineRule="auto"/>
      </w:pPr>
      <w:r>
        <w:rPr>
          <w:rFonts w:ascii="Calibri" w:hAnsi="Calibri"/>
          <w:color w:val="0F172A"/>
          <w:sz w:val="20"/>
        </w:rPr>
        <w:t>Under NFR-002, consent verification and access authorization must be completed in under 500 milliseconds. The selected architecture guarantees this constraint through deterministic layer budgeting:</w:t>
      </w:r>
    </w:p>
    <w:p>
      <w:pPr>
        <w:pStyle w:val="ListBullet"/>
        <w:spacing w:before="0" w:after="60" w:line="276" w:lineRule="auto"/>
      </w:pPr>
      <w:r>
        <w:rPr>
          <w:rFonts w:ascii="Calibri" w:hAnsi="Calibri"/>
          <w:b/>
          <w:color w:val="0F172A"/>
          <w:sz w:val="20"/>
        </w:rPr>
        <w:t xml:space="preserve">1. Edge Network Ingress &amp; Gateway: </w:t>
      </w:r>
      <w:r>
        <w:rPr>
          <w:rFonts w:ascii="Calibri" w:hAnsi="Calibri"/>
          <w:color w:val="0F172A"/>
          <w:sz w:val="20"/>
        </w:rPr>
        <w:t>12 ms (TLS 1.3 session resumption + token bucket check)</w:t>
      </w:r>
    </w:p>
    <w:p>
      <w:pPr>
        <w:pStyle w:val="ListBullet"/>
        <w:spacing w:before="0" w:after="60" w:line="276" w:lineRule="auto"/>
      </w:pPr>
      <w:r>
        <w:rPr>
          <w:rFonts w:ascii="Calibri" w:hAnsi="Calibri"/>
          <w:b/>
          <w:color w:val="0F172A"/>
          <w:sz w:val="20"/>
        </w:rPr>
        <w:t xml:space="preserve">2. Gateway Token Guard: </w:t>
      </w:r>
      <w:r>
        <w:rPr>
          <w:rFonts w:ascii="Calibri" w:hAnsi="Calibri"/>
          <w:color w:val="0F172A"/>
          <w:sz w:val="20"/>
        </w:rPr>
        <w:t>4 ms (RSA-256 JWT claim verification &amp; RBAC role match)</w:t>
      </w:r>
    </w:p>
    <w:p>
      <w:pPr>
        <w:pStyle w:val="ListBullet"/>
        <w:spacing w:before="0" w:after="60" w:line="276" w:lineRule="auto"/>
      </w:pPr>
      <w:r>
        <w:rPr>
          <w:rFonts w:ascii="Calibri" w:hAnsi="Calibri"/>
          <w:b/>
          <w:color w:val="0F172A"/>
          <w:sz w:val="20"/>
        </w:rPr>
        <w:t xml:space="preserve">3. PEP Policy Decision (PDP Cache Hit): </w:t>
      </w:r>
      <w:r>
        <w:rPr>
          <w:rFonts w:ascii="Calibri" w:hAnsi="Calibri"/>
          <w:color w:val="0F172A"/>
          <w:sz w:val="20"/>
        </w:rPr>
        <w:t>3 ms (Redis in-memory key lookup consent:docId:patId:recId)</w:t>
      </w:r>
    </w:p>
    <w:p>
      <w:pPr>
        <w:pStyle w:val="ListBullet"/>
        <w:spacing w:before="0" w:after="60" w:line="276" w:lineRule="auto"/>
      </w:pPr>
      <w:r>
        <w:rPr>
          <w:rFonts w:ascii="Calibri" w:hAnsi="Calibri"/>
          <w:b/>
          <w:color w:val="0F172A"/>
          <w:sz w:val="20"/>
        </w:rPr>
        <w:t xml:space="preserve">4. Async Audit Event Ingestion: </w:t>
      </w:r>
      <w:r>
        <w:rPr>
          <w:rFonts w:ascii="Calibri" w:hAnsi="Calibri"/>
          <w:color w:val="0F172A"/>
          <w:sz w:val="20"/>
        </w:rPr>
        <w:t>10 ms (Audit publisher async dispatch to buffer queue)</w:t>
      </w:r>
    </w:p>
    <w:p>
      <w:pPr>
        <w:pStyle w:val="ListBullet"/>
        <w:spacing w:before="0" w:after="60" w:line="276" w:lineRule="auto"/>
      </w:pPr>
      <w:r>
        <w:rPr>
          <w:rFonts w:ascii="Calibri" w:hAnsi="Calibri"/>
          <w:b/>
          <w:color w:val="0F172A"/>
          <w:sz w:val="20"/>
        </w:rPr>
        <w:t xml:space="preserve">TOTAL ESTIMATED AUTHORIZATION LATENCY: </w:t>
      </w:r>
      <w:r>
        <w:rPr>
          <w:rFonts w:ascii="Calibri" w:hAnsi="Calibri"/>
          <w:color w:val="0F172A"/>
          <w:sz w:val="20"/>
        </w:rPr>
        <w:t>29 ms (Well within the 500 ms SLA constraint)</w:t>
      </w:r>
    </w:p>
    <w:p>
      <w:pPr>
        <w:spacing w:before="0" w:after="80" w:line="276" w:lineRule="auto"/>
      </w:pPr>
      <w:r>
        <w:rPr>
          <w:rFonts w:ascii="Calibri" w:hAnsi="Calibri"/>
          <w:color w:val="0F172A"/>
          <w:sz w:val="20"/>
        </w:rPr>
        <w:t>In the worst-case scenario (Redis cache miss), the PEP falls back to an indexed PostgreSQL query with indexed lookup latency of ~18 ms, resulting in an end-to-end latency of ~44 ms, still outperforming the 500 ms SLA by a factor of 10x.</w:t>
      </w:r>
    </w:p>
    <w:p>
      <w:pPr>
        <w:keepNext/>
        <w:spacing w:before="200" w:after="60"/>
      </w:pPr>
      <w:r>
        <w:rPr>
          <w:rFonts w:ascii="Calibri" w:hAnsi="Calibri"/>
          <w:b/>
          <w:color w:val="1B365D"/>
          <w:sz w:val="24"/>
        </w:rPr>
        <w:t>7.2 Failure Mode Mitigations</w:t>
      </w:r>
    </w:p>
    <w:p>
      <w:pPr>
        <w:pStyle w:val="ListBullet"/>
        <w:spacing w:before="0" w:after="60" w:line="276" w:lineRule="auto"/>
      </w:pPr>
      <w:r>
        <w:rPr>
          <w:rFonts w:ascii="Calibri" w:hAnsi="Calibri"/>
          <w:b/>
          <w:color w:val="0F172A"/>
          <w:sz w:val="20"/>
        </w:rPr>
        <w:t xml:space="preserve">Cache Cluster Outage: </w:t>
      </w:r>
      <w:r>
        <w:rPr>
          <w:rFonts w:ascii="Calibri" w:hAnsi="Calibri"/>
          <w:color w:val="0F172A"/>
          <w:sz w:val="20"/>
        </w:rPr>
        <w:t>If the Redis cache cluster fails, the PEP automatically falls back to reading active consents from the primary PostgreSQL database with read-replicas, preserving authorization accuracy while maintaining latency under 50ms.</w:t>
      </w:r>
    </w:p>
    <w:p>
      <w:pPr>
        <w:pStyle w:val="ListBullet"/>
        <w:spacing w:before="0" w:after="60" w:line="276" w:lineRule="auto"/>
      </w:pPr>
      <w:r>
        <w:rPr>
          <w:rFonts w:ascii="Calibri" w:hAnsi="Calibri"/>
          <w:b/>
          <w:color w:val="0F172A"/>
          <w:sz w:val="20"/>
        </w:rPr>
        <w:t xml:space="preserve">Audit Ledger Disconnection: </w:t>
      </w:r>
      <w:r>
        <w:rPr>
          <w:rFonts w:ascii="Calibri" w:hAnsi="Calibri"/>
          <w:color w:val="0F172A"/>
          <w:sz w:val="20"/>
        </w:rPr>
        <w:t>If the audit ledger store encounters transient downtime, events are buffered in a local write-ahead log (WAL) on disk and flushed upon reconnection, ensuring zero log loss.</w:t>
      </w:r>
    </w:p>
    <w:sectPr w:rsidR="00FC693F" w:rsidRPr="0006063C" w:rsidSect="00034616">
      <w:pgSz w:w="11909" w:h="16834"/>
      <w:pgMar w:top="1008" w:right="1008" w:bottom="1008"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