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INSTRUMEN DAN HASIL PENGUJIAN SYSTEM USABILITY SCALE</w:t>
      </w:r>
    </w:p>
    <w:p>
      <w:pPr>
        <w:spacing w:after="560"/>
        <w:jc w:val="center"/>
      </w:pPr>
      <w:r>
        <w:rPr>
          <w:rFonts w:ascii="Times New Roman" w:hAnsi="Times New Roman" w:eastAsia="Times New Roman"/>
          <w:sz w:val="24"/>
        </w:rPr>
        <w:t>Sistem Informasi Manajemen Barbershop Homcuts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Nama Mahasiswa : ............................................................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NIM : ............................................................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 Studi : ............................................................</w:t>
      </w:r>
    </w:p>
    <w:p>
      <w:pPr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Tanggal Pengujian : ............................................................</w:t>
      </w:r>
    </w:p>
    <w:p>
      <w:pPr>
        <w:spacing w:line="360" w:lineRule="auto" w:before="40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Dokumen ini merupakan lembar kerja pengujian. Nilai hasil hanya boleh diisi berdasarkan pelaksanaan dengan responden nyata dan bukti yang dapat ditelusuri.</w:t>
      </w:r>
    </w:p>
    <w:p>
      <w:r>
        <w:br w:type="page"/>
      </w:r>
    </w:p>
    <w:p>
      <w:pPr>
        <w:pStyle w:val="Heading2"/>
      </w:pPr>
      <w:r>
        <w:t>1 Tujuan Pengujian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Pengujian System Usability Scale (SUS) bertujuan mengukur persepsi kemudahan penggunaan sistem Homcuts setelah responden menyelesaikan tugas yang mewakili perannya. SUS terdiri atas sepuluh pernyataan baku dengan skala jawaban 1 sampai 5. Hasilnya berupa indeks usability 0 sampai 100 dan tidak diartikan sebagai persentase jawaban benar.</w:t>
      </w:r>
    </w:p>
    <w:p>
      <w:pPr>
        <w:pStyle w:val="Heading2"/>
      </w:pPr>
      <w:r>
        <w:t>2 Ketentuan Pelaksanaan</w:t>
      </w:r>
    </w:p>
    <w:p>
      <w:pPr>
        <w:spacing w:line="48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color w:val="000000"/>
          <w:sz w:val="24"/>
        </w:rPr>
        <w:t xml:space="preserve">1) </w:t>
      </w:r>
      <w:r>
        <w:rPr>
          <w:rFonts w:ascii="Times New Roman" w:hAnsi="Times New Roman" w:eastAsia="Times New Roman"/>
          <w:color w:val="000000"/>
          <w:sz w:val="24"/>
        </w:rPr>
        <w:t>Responden menggunakan sistem secara langsung sebelum mengisi kuesioner.</w:t>
      </w:r>
    </w:p>
    <w:p>
      <w:pPr>
        <w:spacing w:line="48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color w:val="000000"/>
          <w:sz w:val="24"/>
        </w:rPr>
        <w:t xml:space="preserve">2) </w:t>
      </w:r>
      <w:r>
        <w:rPr>
          <w:rFonts w:ascii="Times New Roman" w:hAnsi="Times New Roman" w:eastAsia="Times New Roman"/>
          <w:color w:val="000000"/>
          <w:sz w:val="24"/>
        </w:rPr>
        <w:t>Peneliti menjelaskan tujuan dan tugas, tetapi tidak mengarahkan jawaban.</w:t>
      </w:r>
    </w:p>
    <w:p>
      <w:pPr>
        <w:spacing w:line="48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color w:val="000000"/>
          <w:sz w:val="24"/>
        </w:rPr>
        <w:t xml:space="preserve">3) </w:t>
      </w:r>
      <w:r>
        <w:rPr>
          <w:rFonts w:ascii="Times New Roman" w:hAnsi="Times New Roman" w:eastAsia="Times New Roman"/>
          <w:color w:val="000000"/>
          <w:sz w:val="24"/>
        </w:rPr>
        <w:t>Responden menjawab seluruh pernyataan berdasarkan pengalaman pada sesi yang sama.</w:t>
      </w:r>
    </w:p>
    <w:p>
      <w:pPr>
        <w:spacing w:line="48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color w:val="000000"/>
          <w:sz w:val="24"/>
        </w:rPr>
        <w:t xml:space="preserve">4) </w:t>
      </w:r>
      <w:r>
        <w:rPr>
          <w:rFonts w:ascii="Times New Roman" w:hAnsi="Times New Roman" w:eastAsia="Times New Roman"/>
          <w:color w:val="000000"/>
          <w:sz w:val="24"/>
        </w:rPr>
        <w:t>Identitas pribadi dapat diganti kode responden, misalnya R1, R2, dan seterusnya.</w:t>
      </w:r>
    </w:p>
    <w:p>
      <w:pPr>
        <w:spacing w:line="480" w:lineRule="auto" w:before="0" w:after="0"/>
        <w:ind w:left="425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color w:val="000000"/>
          <w:sz w:val="24"/>
        </w:rPr>
        <w:t xml:space="preserve">5) </w:t>
      </w:r>
      <w:r>
        <w:rPr>
          <w:rFonts w:ascii="Times New Roman" w:hAnsi="Times New Roman" w:eastAsia="Times New Roman"/>
          <w:color w:val="000000"/>
          <w:sz w:val="24"/>
        </w:rPr>
        <w:t>Bukti yang disimpan berupa lembar jawaban, tanggal pelaksanaan, peran, dan dokumentasi kegiatan dengan persetujuan responden.</w:t>
      </w:r>
    </w:p>
    <w:p>
      <w:pPr>
        <w:pStyle w:val="Heading2"/>
      </w:pPr>
      <w:r>
        <w:t>3 Identitas Responden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2097"/>
        <w:gridCol w:w="1701"/>
        <w:gridCol w:w="2438"/>
      </w:tblGrid>
      <w:tr>
        <w:trPr>
          <w:tblHeader w:val="true"/>
          <w:cantSplit/>
        </w:trPr>
        <w:tc>
          <w:tcPr>
            <w:tcW w:type="dxa" w:w="1701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Kode Responden</w:t>
            </w:r>
          </w:p>
        </w:tc>
        <w:tc>
          <w:tcPr>
            <w:tcW w:type="dxa" w:w="2097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Peran</w:t>
            </w:r>
          </w:p>
        </w:tc>
        <w:tc>
          <w:tcPr>
            <w:tcW w:type="dxa" w:w="1701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2438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Perangkat/Peramban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Pelanggan / Admin / Kasir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pStyle w:val="Heading2"/>
      </w:pPr>
      <w:r>
        <w:t>4 Tugas Sebelum Pengisian SUS</w:t>
      </w:r>
    </w:p>
    <w:p>
      <w:pPr>
        <w:spacing w:line="240" w:lineRule="auto" w:before="12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>Tabel 1 Tugas Penggunaan Sistem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"/>
        <w:gridCol w:w="1474"/>
        <w:gridCol w:w="6010"/>
      </w:tblGrid>
      <w:tr>
        <w:trPr>
          <w:tblHeader w:val="true"/>
          <w:cantSplit/>
        </w:trPr>
        <w:tc>
          <w:tcPr>
            <w:tcW w:type="dxa" w:w="453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No</w:t>
            </w:r>
          </w:p>
        </w:tc>
        <w:tc>
          <w:tcPr>
            <w:tcW w:type="dxa" w:w="147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Peran</w:t>
            </w:r>
          </w:p>
        </w:tc>
        <w:tc>
          <w:tcPr>
            <w:tcW w:type="dxa" w:w="6010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Tugas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Pelanggan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Mencari informasi layanan, harga, capster, galeri, dan kontak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Pelanggan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Membuat booking pada jadwal tersedia dan memeriksa statusnya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Pelanggan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Memesan produk melalui keranjang dan checkout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Admin/Kasir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Login, memeriksa ringkasan, serta membuka notifikasi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Admin/Kasir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Mencatat pelanggan walk-in melalui POS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Admin/Kasir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Mengonfirmasi pembayaran booking atau produk</w:t>
            </w:r>
          </w:p>
        </w:tc>
      </w:tr>
      <w:tr>
        <w:trPr>
          <w:cantSplit/>
        </w:trPr>
        <w:tc>
          <w:tcPr>
            <w:tcW w:type="dxa" w:w="45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Admin/Kasir</w:t>
            </w:r>
          </w:p>
        </w:tc>
        <w:tc>
          <w:tcPr>
            <w:tcW w:type="dxa" w:w="601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Mengelola salah satu data utama dan memeriksa laporan transaksi</w:t>
            </w:r>
          </w:p>
        </w:tc>
      </w:tr>
    </w:tbl>
    <w:p>
      <w:pPr>
        <w:pStyle w:val="Heading2"/>
      </w:pPr>
      <w:r>
        <w:t>5 Kuesioner SUS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Berilah tanda pada satu angka untuk setiap pernyataan: 1 = sangat tidak setuju, 2 = tidak setuju, 3 = netral, 4 = setuju, dan 5 = sangat setuju.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"/>
        <w:gridCol w:w="5556"/>
        <w:gridCol w:w="396"/>
        <w:gridCol w:w="396"/>
        <w:gridCol w:w="396"/>
        <w:gridCol w:w="396"/>
        <w:gridCol w:w="396"/>
      </w:tblGrid>
      <w:tr>
        <w:trPr>
          <w:tblHeader w:val="true"/>
          <w:cantSplit/>
        </w:trPr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555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Pernyataan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ingin sering menggunakan sistem Homcuts ini.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sistem Homcuts terlalu rumit untuk digunakan.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sistem Homcuts mudah digunakan.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memerlukan bantuan orang yang memahami teknis untuk menggunakan sistem ini.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berbagai fungsi dalam sistem Homcuts terintegrasi dengan baik.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terdapat terlalu banyak ketidakkonsistenan dalam sistem ini.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membayangkan kebanyakan orang dapat mempelajari sistem ini dengan cepat.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sistem Homcuts membingungkan untuk digunakan.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merasa yakin saat menggunakan sistem Homcuts.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Saya perlu mempelajari banyak hal sebelum dapat menggunakan sistem Homcuts.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□</w:t>
            </w:r>
          </w:p>
        </w:tc>
      </w:tr>
    </w:tbl>
    <w:p>
      <w:pPr>
        <w:pStyle w:val="Heading2"/>
      </w:pPr>
      <w:r>
        <w:t>6 Cara Menghitung Skor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Skor kontribusi pernyataan ganjil dihitung dengan rumus jawaban dikurangi 1, sedangkan skor kontribusi pernyataan genap dihitung dengan rumus 5 dikurangi jawaban. Seluruh skor kontribusi dijumlahkan, kemudian dikalikan 2,5. Rumus skor responden adalah: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Skor SUS = jumlah seluruh skor kontribusi × 2,5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Rata-rata SUS = jumlah skor SUS seluruh responden ÷ jumlah responden</w:t>
      </w:r>
    </w:p>
    <w:p>
      <w:pPr>
        <w:pStyle w:val="Heading2"/>
      </w:pPr>
      <w:r>
        <w:t>7 Lembar Perhitungan Individual</w:t>
      </w:r>
    </w:p>
    <w:p>
      <w:pPr>
        <w:spacing w:line="240" w:lineRule="auto" w:before="12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>Tabel 2 Perhitungan Skor Responden</w:t>
      </w:r>
    </w:p>
    <w:tbl>
      <w:tblPr>
        <w:tblW w:type="dxa" w:w="623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0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680"/>
        <w:gridCol w:w="567"/>
      </w:tblGrid>
      <w:tr>
        <w:trPr>
          <w:tblHeader w:val="true"/>
          <w:cantSplit/>
        </w:trPr>
        <w:tc>
          <w:tcPr>
            <w:tcW w:type="dxa" w:w="1020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96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680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Jumlah</w:t>
            </w:r>
          </w:p>
        </w:tc>
        <w:tc>
          <w:tcPr>
            <w:tcW w:type="dxa" w:w="567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SUS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Jawaban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Kontribusi</w:t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pStyle w:val="Heading2"/>
      </w:pPr>
      <w:r>
        <w:t>8 Rekapitulasi Hasil</w:t>
      </w:r>
    </w:p>
    <w:p>
      <w:pPr>
        <w:spacing w:line="240" w:lineRule="auto" w:before="12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>Tabel 3 Rekapitulasi Skor SUS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50"/>
        <w:gridCol w:w="1304"/>
        <w:gridCol w:w="1814"/>
        <w:gridCol w:w="1474"/>
        <w:gridCol w:w="2494"/>
      </w:tblGrid>
      <w:tr>
        <w:trPr>
          <w:tblHeader w:val="true"/>
          <w:cantSplit/>
        </w:trPr>
        <w:tc>
          <w:tcPr>
            <w:tcW w:type="dxa" w:w="850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Kode</w:t>
            </w:r>
          </w:p>
        </w:tc>
        <w:tc>
          <w:tcPr>
            <w:tcW w:type="dxa" w:w="130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Peran</w:t>
            </w:r>
          </w:p>
        </w:tc>
        <w:tc>
          <w:tcPr>
            <w:tcW w:type="dxa" w:w="181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Jumlah Kontribusi</w:t>
            </w:r>
          </w:p>
        </w:tc>
        <w:tc>
          <w:tcPr>
            <w:tcW w:type="dxa" w:w="147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Skor SUS</w:t>
            </w:r>
          </w:p>
        </w:tc>
        <w:tc>
          <w:tcPr>
            <w:tcW w:type="dxa" w:w="249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line="240" w:lineRule="auto" w:before="120" w:after="80"/>
        <w:ind w:firstLine="0"/>
        <w:jc w:val="left"/>
      </w:pPr>
      <w:r>
        <w:rPr>
          <w:rFonts w:ascii="Times New Roman" w:hAnsi="Times New Roman" w:eastAsia="Times New Roman"/>
          <w:color w:val="000000"/>
          <w:sz w:val="24"/>
        </w:rPr>
        <w:t>Tabel 4 Kriteria Interpretasi SUS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9"/>
        <w:gridCol w:w="3969"/>
      </w:tblGrid>
      <w:tr>
        <w:trPr>
          <w:tblHeader w:val="true"/>
          <w:cantSplit/>
        </w:trPr>
        <w:tc>
          <w:tcPr>
            <w:tcW w:type="dxa" w:w="3969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Rentang Skor</w:t>
            </w:r>
          </w:p>
        </w:tc>
        <w:tc>
          <w:tcPr>
            <w:tcW w:type="dxa" w:w="3969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Kategori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≥ 85,5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Sangat baik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71,4–&lt;85,5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Baik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50,9–&lt;71,4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Cukup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 50,9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Kurang</w:t>
            </w:r>
          </w:p>
        </w:tc>
      </w:tr>
    </w:tbl>
    <w:p>
      <w:pPr>
        <w:pStyle w:val="Heading2"/>
      </w:pPr>
      <w:r>
        <w:t>9 Format Pelaporan pada Bab IV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Pengujian SUS melibatkan …… responden yang terdiri atas …… pelanggan dan …… Admin/Kasir. Berdasarkan perhitungan seluruh jawaban, diperoleh skor rata-rata SUS sebesar …… . Nilai tersebut berada pada kategori …… sesuai kriteria pada Bab II. Temuan utama dari catatan responden adalah …… . Dengan demikian, aspek usability sistem dinilai …… dan perbaikan yang diperlukan meliputi …… 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Teks di atas merupakan format isian. Ganti seluruh titik isian menggunakan hasil nyata sebelum dimasukkan ke naskah akhir.</w:t>
      </w:r>
    </w:p>
    <w:p>
      <w:pPr>
        <w:pStyle w:val="Heading2"/>
      </w:pPr>
      <w:r>
        <w:t>10 Pengesahan Pelaksanaan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2381"/>
        <w:gridCol w:w="1701"/>
        <w:gridCol w:w="2154"/>
      </w:tblGrid>
      <w:tr>
        <w:trPr>
          <w:tblHeader w:val="true"/>
          <w:cantSplit/>
        </w:trPr>
        <w:tc>
          <w:tcPr>
            <w:tcW w:type="dxa" w:w="1701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Pihak</w:t>
            </w:r>
          </w:p>
        </w:tc>
        <w:tc>
          <w:tcPr>
            <w:tcW w:type="dxa" w:w="2381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Nama/Peran</w:t>
            </w:r>
          </w:p>
        </w:tc>
        <w:tc>
          <w:tcPr>
            <w:tcW w:type="dxa" w:w="1701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2154"/>
            <w:shd w:fill="E7E6E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Tanda Tangan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Peneliti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Perwakilan Homcuts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="24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