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45724" w:rsidRDefault="00945724">
      <w:pPr>
        <w:spacing w:line="480" w:lineRule="auto"/>
      </w:pPr>
    </w:p>
    <w:p w14:paraId="68DFB0B5" w14:textId="324DA47F" w:rsidR="00945724" w:rsidRDefault="00945724" w:rsidP="5DDA6AB4">
      <w:pPr>
        <w:spacing w:line="480" w:lineRule="auto"/>
      </w:pPr>
    </w:p>
    <w:p w14:paraId="62F89663" w14:textId="52AB7683" w:rsidR="00945724" w:rsidRDefault="00945724" w:rsidP="5DDA6AB4">
      <w:pPr>
        <w:spacing w:line="480" w:lineRule="auto"/>
      </w:pPr>
    </w:p>
    <w:p w14:paraId="5032CA2C" w14:textId="73E6DF77" w:rsidR="00945724" w:rsidRDefault="00945724" w:rsidP="5DDA6AB4">
      <w:pPr>
        <w:spacing w:line="480" w:lineRule="auto"/>
      </w:pPr>
    </w:p>
    <w:p w14:paraId="417121D7" w14:textId="77777777" w:rsidR="00945724" w:rsidRDefault="00945724" w:rsidP="5DDA6AB4">
      <w:pPr>
        <w:spacing w:line="480" w:lineRule="auto"/>
      </w:pPr>
    </w:p>
    <w:p w14:paraId="02EB378F" w14:textId="77777777" w:rsidR="00945724" w:rsidRDefault="00945724" w:rsidP="005B0BE7">
      <w:pPr>
        <w:spacing w:line="480" w:lineRule="auto"/>
      </w:pPr>
    </w:p>
    <w:p w14:paraId="27B997EA" w14:textId="77777777" w:rsidR="00945724" w:rsidRDefault="00000000" w:rsidP="005B0BE7">
      <w:pPr>
        <w:spacing w:line="480" w:lineRule="auto"/>
        <w:jc w:val="center"/>
      </w:pPr>
      <w:r>
        <w:rPr>
          <w:b/>
          <w:bCs/>
          <w:color w:val="000000"/>
        </w:rPr>
        <w:t>Team Strategic Analysis Report: Section III</w:t>
      </w:r>
    </w:p>
    <w:p w14:paraId="5A39BBE3" w14:textId="074D7274" w:rsidR="00945724" w:rsidRDefault="5DDA6AB4" w:rsidP="005B0BE7">
      <w:pPr>
        <w:spacing w:line="480" w:lineRule="auto"/>
        <w:jc w:val="center"/>
      </w:pPr>
      <w:r>
        <w:rPr>
          <w:b/>
          <w:bCs/>
          <w:color w:val="000000"/>
        </w:rPr>
        <w:t>Situational Diagnostics &amp; Recommended Strategic Actions</w:t>
      </w:r>
    </w:p>
    <w:p w14:paraId="27A5F3D4" w14:textId="77777777" w:rsidR="00945724" w:rsidRDefault="5DDA6AB4" w:rsidP="005B0BE7">
      <w:pPr>
        <w:spacing w:line="480" w:lineRule="auto"/>
        <w:jc w:val="center"/>
      </w:pPr>
      <w:r>
        <w:rPr>
          <w:color w:val="000000"/>
        </w:rPr>
        <w:t>Shehan Senanayaka, Kevin Saravia, Rohan Desai, Janhavi Kotadia</w:t>
      </w:r>
    </w:p>
    <w:p w14:paraId="6895A951" w14:textId="77777777" w:rsidR="00945724" w:rsidRDefault="00000000" w:rsidP="005B0BE7">
      <w:pPr>
        <w:spacing w:line="480" w:lineRule="auto"/>
        <w:jc w:val="center"/>
      </w:pPr>
      <w:r>
        <w:rPr>
          <w:color w:val="000000"/>
        </w:rPr>
        <w:t>Department of Business, Ottawa University</w:t>
      </w:r>
    </w:p>
    <w:p w14:paraId="4B738979" w14:textId="77777777" w:rsidR="00945724" w:rsidRDefault="00000000" w:rsidP="005B0BE7">
      <w:pPr>
        <w:spacing w:line="480" w:lineRule="auto"/>
        <w:jc w:val="center"/>
      </w:pPr>
      <w:r>
        <w:rPr>
          <w:color w:val="000000"/>
        </w:rPr>
        <w:t>BUS-8500: Business Policies and Strategy</w:t>
      </w:r>
    </w:p>
    <w:p w14:paraId="6E1C132C" w14:textId="77777777" w:rsidR="00945724" w:rsidRDefault="00000000" w:rsidP="005B0BE7">
      <w:pPr>
        <w:spacing w:line="480" w:lineRule="auto"/>
        <w:jc w:val="center"/>
      </w:pPr>
      <w:r>
        <w:rPr>
          <w:color w:val="000000"/>
        </w:rPr>
        <w:t>Dr. Stephen Weiss</w:t>
      </w:r>
    </w:p>
    <w:p w14:paraId="7EB04458" w14:textId="04B19A02" w:rsidR="00945724" w:rsidRDefault="2C3EC35A" w:rsidP="005B0BE7">
      <w:pPr>
        <w:spacing w:line="480" w:lineRule="auto"/>
        <w:jc w:val="center"/>
      </w:pPr>
      <w:r>
        <w:rPr>
          <w:color w:val="000000"/>
          <w:lang w:val="en-GB"/>
        </w:rPr>
        <w:t>March 1, 2026</w:t>
      </w:r>
    </w:p>
    <w:p w14:paraId="41C8F396" w14:textId="77777777" w:rsidR="00945724" w:rsidRDefault="00945724" w:rsidP="005B0BE7">
      <w:pPr>
        <w:spacing w:line="480" w:lineRule="auto"/>
        <w:sectPr w:rsidR="00945724">
          <w:headerReference w:type="default" r:id="rId7"/>
          <w:footerReference w:type="default" r:id="rId8"/>
          <w:pgSz w:w="12240" w:h="15840"/>
          <w:pgMar w:top="1440" w:right="1440" w:bottom="1440" w:left="1440" w:header="708" w:footer="708" w:gutter="0"/>
          <w:cols w:space="720"/>
          <w:docGrid w:linePitch="360"/>
        </w:sectPr>
      </w:pPr>
    </w:p>
    <w:p w14:paraId="72A3D3EC" w14:textId="2F060C8B" w:rsidR="00945724" w:rsidRDefault="5DDA6AB4" w:rsidP="005B0BE7">
      <w:pPr>
        <w:spacing w:line="480" w:lineRule="auto"/>
        <w:jc w:val="center"/>
      </w:pPr>
      <w:r>
        <w:rPr>
          <w:b/>
          <w:bCs/>
          <w:color w:val="000000"/>
        </w:rPr>
        <w:lastRenderedPageBreak/>
        <w:t>Introduction</w:t>
      </w:r>
    </w:p>
    <w:p w14:paraId="0D0B940D" w14:textId="756FF717" w:rsidR="00945724" w:rsidRDefault="5DDA6AB4" w:rsidP="005B0BE7">
      <w:pPr>
        <w:spacing w:line="480" w:lineRule="auto"/>
        <w:ind w:firstLine="720"/>
      </w:pPr>
      <w:r>
        <w:rPr>
          <w:color w:val="000000"/>
        </w:rPr>
        <w:t>Building on the internal assessment from Section I and the external environmental scan from Section II, this section brings both perspectives together to form a complete strategic picture of Airbnb’s current position. To structure the analysis, three diagnostic frameworks are used: the BCG Matrix to gauge where Airbnb sits relative to its industry’s growth trajectory, a SWOT synthesis to connect internal capabilities with external conditions, and a financial ratio review to ground the findings in the firm’s actual numbers. The section closes with a single, evidence-driven strategic recommendation.</w:t>
      </w:r>
    </w:p>
    <w:p w14:paraId="0E27B00A" w14:textId="4B3115D3" w:rsidR="00945724" w:rsidRDefault="5DDA6AB4" w:rsidP="005B0BE7">
      <w:pPr>
        <w:spacing w:line="480" w:lineRule="auto"/>
        <w:jc w:val="center"/>
      </w:pPr>
      <w:r>
        <w:rPr>
          <w:b/>
          <w:bCs/>
          <w:color w:val="000000"/>
        </w:rPr>
        <w:t>Diagnostic Analysis of Current Condition Using Strategic Tools</w:t>
      </w:r>
    </w:p>
    <w:p w14:paraId="60061E4C" w14:textId="388E4D42" w:rsidR="00945724" w:rsidRDefault="5DDA6AB4" w:rsidP="005B0BE7">
      <w:pPr>
        <w:spacing w:line="480" w:lineRule="auto"/>
      </w:pPr>
      <w:r>
        <w:rPr>
          <w:b/>
          <w:bCs/>
          <w:color w:val="000000"/>
        </w:rPr>
        <w:t>BCG Matrix: Industry Growth Rate and Market Share Position</w:t>
      </w:r>
    </w:p>
    <w:p w14:paraId="44EAFD9C" w14:textId="2E28593E" w:rsidR="00945724" w:rsidRDefault="5DDA6AB4" w:rsidP="005B0BE7">
      <w:pPr>
        <w:spacing w:line="480" w:lineRule="auto"/>
        <w:ind w:firstLine="720"/>
      </w:pPr>
      <w:r>
        <w:rPr>
          <w:color w:val="000000"/>
        </w:rPr>
        <w:t>The BCG Matrix plots a business along two axes—relative market share and industry growth rate—to identify where it stands strategically (Grant, 2022). When a business holds strong market share in a fast-growing industry, it falls into what the framework calls a “Star,” a position that calls for sustained reinvestment to hold the lead and ride the growth wave (Grant, 2022).</w:t>
      </w:r>
    </w:p>
    <w:p w14:paraId="4B94D5A5" w14:textId="0B386F90" w:rsidR="00945724" w:rsidRDefault="5DDA6AB4" w:rsidP="005B0BE7">
      <w:pPr>
        <w:spacing w:line="480" w:lineRule="auto"/>
      </w:pPr>
      <w:r>
        <w:rPr>
          <w:b/>
          <w:bCs/>
          <w:i/>
          <w:iCs/>
          <w:color w:val="000000"/>
        </w:rPr>
        <w:t>Industry Growth Rate</w:t>
      </w:r>
    </w:p>
    <w:p w14:paraId="3DEEC669" w14:textId="5BCDE750" w:rsidR="00945724" w:rsidRDefault="5DDA6AB4" w:rsidP="005B0BE7">
      <w:pPr>
        <w:spacing w:line="480" w:lineRule="auto"/>
        <w:ind w:firstLine="720"/>
      </w:pPr>
      <w:r>
        <w:rPr>
          <w:color w:val="000000"/>
        </w:rPr>
        <w:t>The global short-term vacation rental market is on track to grow at a compound annual growth rate (CAGR) of 11.4% between 2025 and 2030, reaching roughly $256.31 billion by the decade’s end (Grand View Research, 2024). That growth figure clears the BCG’s 10% threshold for high-growth classification, putting the industry squarely in the upper tier of the matrix (Grant, 2022). Regionally, North America led in 2024 with 35.03% of global short-term rental revenues, while Asia Pacific accounted for approximately 27%—a split that points to both entrenched markets and significant room to grow (Grand View Research, 2024).</w:t>
      </w:r>
    </w:p>
    <w:p w14:paraId="3656B9AB" w14:textId="6BD6BBA3" w:rsidR="00945724" w:rsidRDefault="5DDA6AB4" w:rsidP="005B0BE7">
      <w:pPr>
        <w:spacing w:line="480" w:lineRule="auto"/>
      </w:pPr>
      <w:r>
        <w:rPr>
          <w:b/>
          <w:bCs/>
          <w:i/>
          <w:iCs/>
          <w:color w:val="000000"/>
        </w:rPr>
        <w:lastRenderedPageBreak/>
        <w:t>Relative Market Share</w:t>
      </w:r>
    </w:p>
    <w:p w14:paraId="45FB0818" w14:textId="1CA8FE78" w:rsidR="00945724" w:rsidRDefault="5DDA6AB4" w:rsidP="005B0BE7">
      <w:pPr>
        <w:spacing w:line="480" w:lineRule="auto"/>
        <w:ind w:firstLine="720"/>
      </w:pPr>
      <w:r>
        <w:rPr>
          <w:color w:val="000000"/>
        </w:rPr>
        <w:t>By 2024, Airbnb controlled roughly 44% of the global short-term rental market by revenue—a notable climb from 28% in 2019—while its closest competitor, Booking.com, sat at around 18% (Schaal, 2025). That translates to a relative market share ratio of about 2.4x, comfortably above the 1.0 benchmark that defines market leadership in the BCG framework. Zooming out, the top three online travel agencies—Airbnb, Booking.com, and Expedia/Vrbo—collectively held 71% of global short-term rental market share in 2024, up from 53% in 2019, with Airbnb posting the biggest individual gain in that period (Schaal, 2025). On an absolute basis, the company brought in $11.1 billion in total revenue for the year, a 12% increase over 2023, backed by 491 million nights and experiences booked (Business of Apps, 2026).</w:t>
      </w:r>
    </w:p>
    <w:p w14:paraId="049F31CB" w14:textId="6A51A831" w:rsidR="00945724" w:rsidRDefault="00000000" w:rsidP="005B0BE7">
      <w:pPr>
        <w:spacing w:line="480" w:lineRule="auto"/>
      </w:pPr>
      <w:r>
        <w:rPr>
          <w:b/>
          <w:bCs/>
          <w:i/>
          <w:iCs/>
          <w:color w:val="000000"/>
        </w:rPr>
        <w:t>BCG Matrix Conclusion</w:t>
      </w:r>
    </w:p>
    <w:p w14:paraId="2DDE0AE4" w14:textId="22DF5969" w:rsidR="003C1AAB" w:rsidRDefault="5DDA6AB4" w:rsidP="00A87855">
      <w:pPr>
        <w:spacing w:line="480" w:lineRule="auto"/>
        <w:ind w:firstLine="720"/>
        <w:jc w:val="both"/>
      </w:pPr>
      <w:r>
        <w:rPr>
          <w:color w:val="000000"/>
        </w:rPr>
        <w:t>Putting both dimensions together—a high-growth industry expanding at 11.4% CAGR and a dominant 44% market share that is 2.4 times its nearest rival—Airbnb lands in the Star quadrant without ambiguity. That classification carries real implications: Star-positioned firms are expected to keep reinvesting aggressively to defend their lead rather than harvest short-term profits (Grant, 2022). For Airbnb, that means ongoing commitment to platform development, expanding the host base, entering new geographies, and sharpening its service differentiation</w:t>
      </w:r>
      <w:r>
        <w:t>.</w:t>
      </w:r>
    </w:p>
    <w:p w14:paraId="5BC82521" w14:textId="77777777" w:rsidR="00A87855" w:rsidRDefault="00A87855" w:rsidP="00A87855">
      <w:pPr>
        <w:spacing w:line="480" w:lineRule="auto"/>
        <w:ind w:firstLine="720"/>
        <w:jc w:val="both"/>
      </w:pPr>
    </w:p>
    <w:p w14:paraId="03F35A6A" w14:textId="77777777" w:rsidR="00A87855" w:rsidRDefault="00A87855" w:rsidP="00A87855">
      <w:pPr>
        <w:spacing w:line="480" w:lineRule="auto"/>
        <w:ind w:firstLine="720"/>
        <w:jc w:val="both"/>
      </w:pPr>
    </w:p>
    <w:p w14:paraId="1CDD18B8" w14:textId="77777777" w:rsidR="00A87855" w:rsidRDefault="00A87855" w:rsidP="00A87855">
      <w:pPr>
        <w:spacing w:line="480" w:lineRule="auto"/>
        <w:ind w:firstLine="720"/>
        <w:jc w:val="both"/>
      </w:pPr>
    </w:p>
    <w:p w14:paraId="43C9AF48" w14:textId="77777777" w:rsidR="00A87855" w:rsidRDefault="00A87855" w:rsidP="00A87855">
      <w:pPr>
        <w:spacing w:line="480" w:lineRule="auto"/>
        <w:ind w:firstLine="720"/>
        <w:jc w:val="both"/>
      </w:pPr>
    </w:p>
    <w:p w14:paraId="274ED1E0" w14:textId="77777777" w:rsidR="00A87855" w:rsidRDefault="00A87855" w:rsidP="00A87855">
      <w:pPr>
        <w:spacing w:line="480" w:lineRule="auto"/>
        <w:ind w:firstLine="720"/>
        <w:jc w:val="both"/>
      </w:pPr>
    </w:p>
    <w:p w14:paraId="5B1A069E" w14:textId="77777777" w:rsidR="00A87855" w:rsidRPr="00A87855" w:rsidRDefault="00A87855" w:rsidP="00A87855">
      <w:pPr>
        <w:spacing w:line="480" w:lineRule="auto"/>
        <w:ind w:firstLine="720"/>
        <w:jc w:val="both"/>
      </w:pPr>
    </w:p>
    <w:p w14:paraId="528A579E" w14:textId="77777777" w:rsidR="0069437A" w:rsidRDefault="5DDA6AB4" w:rsidP="5DDA6AB4">
      <w:pPr>
        <w:spacing w:line="480" w:lineRule="auto"/>
      </w:pPr>
      <w:r>
        <w:rPr>
          <w:b/>
          <w:bCs/>
        </w:rPr>
        <w:lastRenderedPageBreak/>
        <w:t>Figure 1</w:t>
      </w:r>
      <w:r>
        <w:t xml:space="preserve"> </w:t>
      </w:r>
    </w:p>
    <w:p w14:paraId="62486C05" w14:textId="4A87B07C" w:rsidR="00945724" w:rsidRDefault="5DDA6AB4" w:rsidP="5DDA6AB4">
      <w:pPr>
        <w:spacing w:line="480" w:lineRule="auto"/>
      </w:pPr>
      <w:r>
        <w:rPr>
          <w:i/>
          <w:iCs/>
        </w:rPr>
        <w:t>BCG Matrix: Airbnb, Inc. (FY 2024)</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700"/>
        <w:gridCol w:w="2700"/>
      </w:tblGrid>
      <w:tr w:rsidR="00945724" w14:paraId="4F7A412B"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101652C" w14:textId="77777777" w:rsidR="00945724" w:rsidRDefault="00945724"/>
        </w:tc>
        <w:tc>
          <w:tcPr>
            <w:tcW w:w="27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04DC373" w14:textId="77777777" w:rsidR="00945724" w:rsidRDefault="00000000">
            <w:pPr>
              <w:jc w:val="center"/>
            </w:pPr>
            <w:r>
              <w:rPr>
                <w:b/>
                <w:bCs/>
                <w:color w:val="FFFFFF"/>
                <w:sz w:val="22"/>
                <w:szCs w:val="22"/>
              </w:rPr>
              <w:t>High Market Share</w:t>
            </w:r>
          </w:p>
        </w:tc>
        <w:tc>
          <w:tcPr>
            <w:tcW w:w="27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5D7196A" w14:textId="77777777" w:rsidR="00945724" w:rsidRDefault="00000000">
            <w:pPr>
              <w:jc w:val="center"/>
            </w:pPr>
            <w:r>
              <w:rPr>
                <w:b/>
                <w:bCs/>
                <w:color w:val="FFFFFF"/>
                <w:sz w:val="22"/>
                <w:szCs w:val="22"/>
              </w:rPr>
              <w:t>Low Market Share</w:t>
            </w:r>
          </w:p>
        </w:tc>
      </w:tr>
      <w:tr w:rsidR="00945724" w14:paraId="41724A4D" w14:textId="77777777">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CFA4360" w14:textId="77777777" w:rsidR="00945724" w:rsidRDefault="00000000">
            <w:r>
              <w:rPr>
                <w:b/>
                <w:bCs/>
                <w:color w:val="FFFFFF"/>
                <w:sz w:val="22"/>
                <w:szCs w:val="22"/>
              </w:rPr>
              <w:t>High Growth (&gt;10%)</w:t>
            </w:r>
          </w:p>
        </w:tc>
        <w:tc>
          <w:tcPr>
            <w:tcW w:w="27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7D475568" w14:textId="77777777" w:rsidR="00945724" w:rsidRDefault="00000000">
            <w:pPr>
              <w:jc w:val="center"/>
            </w:pPr>
            <w:r>
              <w:rPr>
                <w:b/>
                <w:bCs/>
                <w:color w:val="000000"/>
                <w:sz w:val="22"/>
                <w:szCs w:val="22"/>
              </w:rPr>
              <w:t>STAR ★ Airbnb: 44% market share 11.4% CAGR through 2030</w:t>
            </w:r>
          </w:p>
        </w:tc>
        <w:tc>
          <w:tcPr>
            <w:tcW w:w="2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vAlign w:val="center"/>
          </w:tcPr>
          <w:p w14:paraId="7C14FD29" w14:textId="77777777" w:rsidR="00945724" w:rsidRDefault="00000000">
            <w:pPr>
              <w:jc w:val="center"/>
            </w:pPr>
            <w:r>
              <w:rPr>
                <w:color w:val="000000"/>
                <w:sz w:val="22"/>
                <w:szCs w:val="22"/>
              </w:rPr>
              <w:t>Question Mark (not applicable)</w:t>
            </w:r>
          </w:p>
        </w:tc>
      </w:tr>
      <w:tr w:rsidR="00945724" w14:paraId="7EEEB985" w14:textId="77777777">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10DA21D" w14:textId="77777777" w:rsidR="00945724" w:rsidRDefault="00000000">
            <w:r>
              <w:rPr>
                <w:b/>
                <w:bCs/>
                <w:color w:val="FFFFFF"/>
                <w:sz w:val="22"/>
                <w:szCs w:val="22"/>
              </w:rPr>
              <w:t>Low Growth (&lt;10%)</w:t>
            </w:r>
          </w:p>
        </w:tc>
        <w:tc>
          <w:tcPr>
            <w:tcW w:w="2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vAlign w:val="center"/>
          </w:tcPr>
          <w:p w14:paraId="7987D53E" w14:textId="77777777" w:rsidR="00945724" w:rsidRDefault="00000000">
            <w:pPr>
              <w:jc w:val="center"/>
            </w:pPr>
            <w:r>
              <w:rPr>
                <w:color w:val="000000"/>
                <w:sz w:val="22"/>
                <w:szCs w:val="22"/>
              </w:rPr>
              <w:t>Cash Cow (not applicable)</w:t>
            </w:r>
          </w:p>
        </w:tc>
        <w:tc>
          <w:tcPr>
            <w:tcW w:w="27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vAlign w:val="center"/>
          </w:tcPr>
          <w:p w14:paraId="465539CC" w14:textId="77777777" w:rsidR="00945724" w:rsidRDefault="00000000">
            <w:pPr>
              <w:jc w:val="center"/>
            </w:pPr>
            <w:r>
              <w:rPr>
                <w:color w:val="000000"/>
                <w:sz w:val="22"/>
                <w:szCs w:val="22"/>
              </w:rPr>
              <w:t>Dog (not applicable)</w:t>
            </w:r>
          </w:p>
        </w:tc>
      </w:tr>
    </w:tbl>
    <w:p w14:paraId="4B99056E" w14:textId="77777777" w:rsidR="00945724" w:rsidRDefault="00945724">
      <w:pPr>
        <w:spacing w:line="480" w:lineRule="auto"/>
      </w:pPr>
    </w:p>
    <w:p w14:paraId="1299C43A" w14:textId="7A07683A" w:rsidR="00945724" w:rsidRDefault="00000000" w:rsidP="005B0BE7">
      <w:pPr>
        <w:spacing w:line="480" w:lineRule="auto"/>
        <w:rPr>
          <w:color w:val="000000"/>
        </w:rPr>
      </w:pPr>
      <w:r>
        <w:rPr>
          <w:i/>
          <w:iCs/>
          <w:color w:val="000000"/>
        </w:rPr>
        <w:t>Note.</w:t>
      </w:r>
      <w:r>
        <w:rPr>
          <w:color w:val="000000"/>
        </w:rPr>
        <w:t xml:space="preserve"> BCG Matrix placement derived from market share data reported by Schaal (2025) and industry growth rate projections from Grand View Research (2024).</w:t>
      </w:r>
    </w:p>
    <w:p w14:paraId="3E3584B6" w14:textId="77777777" w:rsidR="0069437A" w:rsidRDefault="0069437A" w:rsidP="005B0BE7">
      <w:pPr>
        <w:spacing w:line="480" w:lineRule="auto"/>
      </w:pPr>
    </w:p>
    <w:p w14:paraId="4DDBEF00" w14:textId="717CAE25" w:rsidR="00945724" w:rsidRDefault="5DDA6AB4" w:rsidP="005B0BE7">
      <w:pPr>
        <w:spacing w:line="480" w:lineRule="auto"/>
      </w:pPr>
      <w:r>
        <w:rPr>
          <w:b/>
          <w:bCs/>
          <w:color w:val="000000"/>
        </w:rPr>
        <w:t>SWOT Analysis</w:t>
      </w:r>
    </w:p>
    <w:p w14:paraId="76405E08" w14:textId="2146A720" w:rsidR="00C0495E" w:rsidRDefault="5DDA6AB4" w:rsidP="00C95D4F">
      <w:pPr>
        <w:spacing w:line="480" w:lineRule="auto"/>
        <w:ind w:firstLine="720"/>
      </w:pPr>
      <w:r>
        <w:rPr>
          <w:color w:val="000000"/>
        </w:rPr>
        <w:t>The SWOT framework ties together the internal capabilities from Section I with the external conditions surfaced in Section II, giving a unified view of where Airbnb stands. The four-quadrant table below captures the key findings, with a narrative walkthrough of each quadrant that follows.</w:t>
      </w:r>
    </w:p>
    <w:p w14:paraId="6BF01A47" w14:textId="77777777" w:rsidR="00C95D4F" w:rsidRDefault="00C95D4F" w:rsidP="00C95D4F">
      <w:pPr>
        <w:spacing w:line="480" w:lineRule="auto"/>
        <w:ind w:firstLine="720"/>
      </w:pPr>
    </w:p>
    <w:p w14:paraId="47D8281D" w14:textId="77777777" w:rsidR="0069437A" w:rsidRDefault="5DDA6AB4" w:rsidP="5DDA6AB4">
      <w:pPr>
        <w:spacing w:line="480" w:lineRule="auto"/>
      </w:pPr>
      <w:r>
        <w:rPr>
          <w:b/>
          <w:bCs/>
        </w:rPr>
        <w:t>Figure 2</w:t>
      </w:r>
      <w:r>
        <w:t xml:space="preserve"> </w:t>
      </w:r>
    </w:p>
    <w:p w14:paraId="3CF2D8B6" w14:textId="6F91CFA7" w:rsidR="00945724" w:rsidRDefault="5DDA6AB4" w:rsidP="5DDA6AB4">
      <w:pPr>
        <w:spacing w:line="480" w:lineRule="auto"/>
      </w:pPr>
      <w:r>
        <w:rPr>
          <w:i/>
          <w:iCs/>
        </w:rPr>
        <w:t>SWOT Analysis: Airbnb, Inc.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945724" w14:paraId="56D3CF92" w14:textId="77777777" w:rsidTr="5DDA6AB4">
        <w:tc>
          <w:tcPr>
            <w:tcW w:w="468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1A47C0E" w14:textId="77777777" w:rsidR="00945724" w:rsidRDefault="00000000">
            <w:pPr>
              <w:jc w:val="center"/>
            </w:pPr>
            <w:r>
              <w:rPr>
                <w:b/>
                <w:bCs/>
                <w:color w:val="FFFFFF"/>
                <w:sz w:val="22"/>
                <w:szCs w:val="22"/>
              </w:rPr>
              <w:t>Strengths (Internal)</w:t>
            </w:r>
          </w:p>
        </w:tc>
        <w:tc>
          <w:tcPr>
            <w:tcW w:w="4680" w:type="dxa"/>
            <w:tcBorders>
              <w:top w:val="single" w:sz="1" w:space="0" w:color="999999"/>
              <w:left w:val="single" w:sz="1" w:space="0" w:color="999999"/>
              <w:bottom w:val="single" w:sz="1" w:space="0" w:color="999999"/>
              <w:right w:val="single" w:sz="1" w:space="0" w:color="999999"/>
            </w:tcBorders>
            <w:shd w:val="clear" w:color="auto" w:fill="843C0C"/>
            <w:tcMar>
              <w:top w:w="80" w:type="dxa"/>
              <w:left w:w="120" w:type="dxa"/>
              <w:bottom w:w="80" w:type="dxa"/>
              <w:right w:w="120" w:type="dxa"/>
            </w:tcMar>
            <w:vAlign w:val="center"/>
          </w:tcPr>
          <w:p w14:paraId="7BF6DF4B" w14:textId="77777777" w:rsidR="00945724" w:rsidRDefault="00000000">
            <w:pPr>
              <w:jc w:val="center"/>
            </w:pPr>
            <w:r>
              <w:rPr>
                <w:b/>
                <w:bCs/>
                <w:color w:val="FFFFFF"/>
                <w:sz w:val="22"/>
                <w:szCs w:val="22"/>
              </w:rPr>
              <w:t>Weaknesses (Internal)</w:t>
            </w:r>
          </w:p>
        </w:tc>
      </w:tr>
      <w:tr w:rsidR="00945724" w14:paraId="765B038E" w14:textId="77777777" w:rsidTr="5DDA6AB4">
        <w:tc>
          <w:tcPr>
            <w:tcW w:w="468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tcPr>
          <w:p w14:paraId="549C5026" w14:textId="77777777" w:rsidR="00945724" w:rsidRDefault="00000000">
            <w:pPr>
              <w:spacing w:after="40"/>
            </w:pPr>
            <w:r>
              <w:rPr>
                <w:color w:val="000000"/>
                <w:sz w:val="22"/>
                <w:szCs w:val="22"/>
              </w:rPr>
              <w:t>• Market leader: 44% global STR revenue share (Schaal, 2025)</w:t>
            </w:r>
          </w:p>
          <w:p w14:paraId="24A3C34E" w14:textId="77777777" w:rsidR="00945724" w:rsidRDefault="00000000">
            <w:pPr>
              <w:spacing w:after="40"/>
            </w:pPr>
            <w:r>
              <w:rPr>
                <w:color w:val="000000"/>
                <w:sz w:val="22"/>
                <w:szCs w:val="22"/>
              </w:rPr>
              <w:t>• 8M+ active listings in 220+ countries and regions (Airbnb, Inc., 2025)</w:t>
            </w:r>
          </w:p>
          <w:p w14:paraId="33202692" w14:textId="77777777" w:rsidR="00945724" w:rsidRDefault="00000000">
            <w:pPr>
              <w:spacing w:after="40"/>
            </w:pPr>
            <w:r>
              <w:rPr>
                <w:color w:val="000000"/>
                <w:sz w:val="22"/>
                <w:szCs w:val="22"/>
              </w:rPr>
              <w:t>• 5M+ hosts; 2B+ cumulative guest arrivals (Airbnb, Inc., 2025)</w:t>
            </w:r>
          </w:p>
          <w:p w14:paraId="739C3AC3" w14:textId="77777777" w:rsidR="00945724" w:rsidRDefault="00000000">
            <w:pPr>
              <w:spacing w:after="40"/>
            </w:pPr>
            <w:r>
              <w:rPr>
                <w:color w:val="000000"/>
                <w:sz w:val="22"/>
                <w:szCs w:val="22"/>
              </w:rPr>
              <w:t>• Asset-light model; 22% net margin, 30.5% ROE (Airbnb, 2025a; 2025b)</w:t>
            </w:r>
          </w:p>
          <w:p w14:paraId="5CC3A742" w14:textId="77777777" w:rsidR="00945724" w:rsidRDefault="5DDA6AB4">
            <w:pPr>
              <w:spacing w:after="40"/>
            </w:pPr>
            <w:r>
              <w:rPr>
                <w:color w:val="000000"/>
                <w:sz w:val="22"/>
                <w:szCs w:val="22"/>
              </w:rPr>
              <w:t>• Gross booking value of $81.78B in 2024 (Affinco, 2026)</w:t>
            </w:r>
          </w:p>
          <w:p w14:paraId="1C555070" w14:textId="77777777" w:rsidR="00945724" w:rsidRDefault="00000000">
            <w:pPr>
              <w:spacing w:after="40"/>
            </w:pPr>
            <w:r>
              <w:rPr>
                <w:color w:val="000000"/>
                <w:sz w:val="22"/>
                <w:szCs w:val="22"/>
              </w:rPr>
              <w:lastRenderedPageBreak/>
              <w:t>• Proprietary data analytics and algorithmic search capabilities (Airbnb, 2023a)</w:t>
            </w:r>
          </w:p>
          <w:p w14:paraId="52BA5E82" w14:textId="77777777" w:rsidR="00945724" w:rsidRDefault="00000000">
            <w:pPr>
              <w:spacing w:after="40"/>
            </w:pPr>
            <w:r>
              <w:rPr>
                <w:color w:val="000000"/>
                <w:sz w:val="22"/>
                <w:szCs w:val="22"/>
              </w:rPr>
              <w:t>• Strong brand equity and global recognition (Grant, 2022)</w:t>
            </w:r>
          </w:p>
          <w:p w14:paraId="3AFD08F2" w14:textId="77777777" w:rsidR="00945724" w:rsidRDefault="00000000">
            <w:pPr>
              <w:spacing w:after="40"/>
            </w:pPr>
            <w:r>
              <w:rPr>
                <w:color w:val="000000"/>
                <w:sz w:val="22"/>
                <w:szCs w:val="22"/>
              </w:rPr>
              <w:t>• Network effects creating barriers to host/guest switching (Grant, 2022)</w:t>
            </w:r>
          </w:p>
        </w:tc>
        <w:tc>
          <w:tcPr>
            <w:tcW w:w="4680"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tcPr>
          <w:p w14:paraId="43524EFF" w14:textId="77777777" w:rsidR="00945724" w:rsidRDefault="00000000">
            <w:pPr>
              <w:spacing w:after="40"/>
            </w:pPr>
            <w:r>
              <w:rPr>
                <w:color w:val="000000"/>
                <w:sz w:val="22"/>
                <w:szCs w:val="22"/>
              </w:rPr>
              <w:lastRenderedPageBreak/>
              <w:t>• Quality inconsistency across host-managed listings (Guttentag, 2015)</w:t>
            </w:r>
          </w:p>
          <w:p w14:paraId="6660C311" w14:textId="77777777" w:rsidR="00945724" w:rsidRDefault="00000000">
            <w:pPr>
              <w:spacing w:after="40"/>
            </w:pPr>
            <w:r>
              <w:rPr>
                <w:color w:val="000000"/>
                <w:sz w:val="22"/>
                <w:szCs w:val="22"/>
              </w:rPr>
              <w:t>• Dependence on hosts for delivery of guest experience</w:t>
            </w:r>
          </w:p>
          <w:p w14:paraId="21BBFC3B" w14:textId="77777777" w:rsidR="00945724" w:rsidRDefault="00000000">
            <w:pPr>
              <w:spacing w:after="40"/>
            </w:pPr>
            <w:r>
              <w:rPr>
                <w:color w:val="000000"/>
                <w:sz w:val="22"/>
                <w:szCs w:val="22"/>
              </w:rPr>
              <w:t>• Current ratio of ~1.23, a modest liquidity buffer (Airbnb, 2025b)</w:t>
            </w:r>
          </w:p>
          <w:p w14:paraId="7A59944F" w14:textId="77777777" w:rsidR="00945724" w:rsidRDefault="5DDA6AB4">
            <w:pPr>
              <w:spacing w:after="40"/>
            </w:pPr>
            <w:r>
              <w:rPr>
                <w:color w:val="000000"/>
                <w:sz w:val="22"/>
                <w:szCs w:val="22"/>
              </w:rPr>
              <w:t>• Low host switching costs increase retention risk (DCFmodeling, 2025)</w:t>
            </w:r>
          </w:p>
          <w:p w14:paraId="754874FD" w14:textId="77777777" w:rsidR="00945724" w:rsidRDefault="00000000">
            <w:pPr>
              <w:spacing w:after="40"/>
            </w:pPr>
            <w:r>
              <w:rPr>
                <w:color w:val="000000"/>
                <w:sz w:val="22"/>
                <w:szCs w:val="22"/>
              </w:rPr>
              <w:t>• Trust and safety incidents can damage platform reputation</w:t>
            </w:r>
          </w:p>
          <w:p w14:paraId="667BBB93" w14:textId="77777777" w:rsidR="00945724" w:rsidRDefault="5DDA6AB4">
            <w:pPr>
              <w:spacing w:after="40"/>
            </w:pPr>
            <w:r>
              <w:rPr>
                <w:color w:val="000000"/>
                <w:sz w:val="22"/>
                <w:szCs w:val="22"/>
              </w:rPr>
              <w:lastRenderedPageBreak/>
              <w:t>• Underdeveloped corporate travel segment relative to hotel chains (DCFmodeling, 2025)</w:t>
            </w:r>
          </w:p>
        </w:tc>
      </w:tr>
      <w:tr w:rsidR="00945724" w14:paraId="6B5FB751" w14:textId="77777777" w:rsidTr="5DDA6AB4">
        <w:tc>
          <w:tcPr>
            <w:tcW w:w="4680" w:type="dxa"/>
            <w:tcBorders>
              <w:top w:val="single" w:sz="1" w:space="0" w:color="999999"/>
              <w:left w:val="single" w:sz="1" w:space="0" w:color="999999"/>
              <w:bottom w:val="single" w:sz="1" w:space="0" w:color="999999"/>
              <w:right w:val="single" w:sz="1" w:space="0" w:color="999999"/>
            </w:tcBorders>
            <w:shd w:val="clear" w:color="auto" w:fill="375623"/>
            <w:tcMar>
              <w:top w:w="80" w:type="dxa"/>
              <w:left w:w="120" w:type="dxa"/>
              <w:bottom w:w="80" w:type="dxa"/>
              <w:right w:w="120" w:type="dxa"/>
            </w:tcMar>
            <w:vAlign w:val="center"/>
          </w:tcPr>
          <w:p w14:paraId="4F0F6E3B" w14:textId="77777777" w:rsidR="00945724" w:rsidRDefault="00000000">
            <w:pPr>
              <w:jc w:val="center"/>
            </w:pPr>
            <w:r>
              <w:rPr>
                <w:b/>
                <w:bCs/>
                <w:color w:val="FFFFFF"/>
                <w:sz w:val="22"/>
                <w:szCs w:val="22"/>
              </w:rPr>
              <w:t>Opportunities (External)</w:t>
            </w:r>
          </w:p>
        </w:tc>
        <w:tc>
          <w:tcPr>
            <w:tcW w:w="4680" w:type="dxa"/>
            <w:tcBorders>
              <w:top w:val="single" w:sz="1" w:space="0" w:color="999999"/>
              <w:left w:val="single" w:sz="1" w:space="0" w:color="999999"/>
              <w:bottom w:val="single" w:sz="1" w:space="0" w:color="999999"/>
              <w:right w:val="single" w:sz="1" w:space="0" w:color="999999"/>
            </w:tcBorders>
            <w:shd w:val="clear" w:color="auto" w:fill="A1CC84" w:themeFill="accent6" w:themeFillTint="A6"/>
            <w:tcMar>
              <w:top w:w="80" w:type="dxa"/>
              <w:left w:w="120" w:type="dxa"/>
              <w:bottom w:w="80" w:type="dxa"/>
              <w:right w:w="120" w:type="dxa"/>
            </w:tcMar>
            <w:vAlign w:val="center"/>
          </w:tcPr>
          <w:p w14:paraId="3146A9A6" w14:textId="77777777" w:rsidR="00945724" w:rsidRDefault="00000000">
            <w:pPr>
              <w:jc w:val="center"/>
            </w:pPr>
            <w:r>
              <w:rPr>
                <w:b/>
                <w:bCs/>
                <w:color w:val="FFFFFF"/>
                <w:sz w:val="22"/>
                <w:szCs w:val="22"/>
              </w:rPr>
              <w:t>Threats (External)</w:t>
            </w:r>
          </w:p>
        </w:tc>
      </w:tr>
      <w:tr w:rsidR="00945724" w14:paraId="04671D77" w14:textId="77777777" w:rsidTr="5DDA6AB4">
        <w:tc>
          <w:tcPr>
            <w:tcW w:w="4680"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14:paraId="7BF3AC6A" w14:textId="77777777" w:rsidR="00945724" w:rsidRDefault="00000000">
            <w:pPr>
              <w:spacing w:after="40"/>
            </w:pPr>
            <w:r>
              <w:rPr>
                <w:color w:val="000000"/>
                <w:sz w:val="22"/>
                <w:szCs w:val="22"/>
              </w:rPr>
              <w:t>• STR market projected at 11.4% CAGR through 2030 (Grand View Research, 2024)</w:t>
            </w:r>
          </w:p>
          <w:p w14:paraId="2C151D20" w14:textId="77777777" w:rsidR="00945724" w:rsidRDefault="5DDA6AB4">
            <w:pPr>
              <w:spacing w:after="40"/>
            </w:pPr>
            <w:r>
              <w:rPr>
                <w:color w:val="000000"/>
                <w:sz w:val="22"/>
                <w:szCs w:val="22"/>
              </w:rPr>
              <w:t>• Long-term stays (28+ days) = 17% of gross nights in Q1 2024 (Affinco, 2026)</w:t>
            </w:r>
          </w:p>
          <w:p w14:paraId="67B6D83A" w14:textId="77777777" w:rsidR="00945724" w:rsidRDefault="5DDA6AB4">
            <w:pPr>
              <w:spacing w:after="40"/>
            </w:pPr>
            <w:r>
              <w:rPr>
                <w:color w:val="000000"/>
                <w:sz w:val="22"/>
                <w:szCs w:val="22"/>
              </w:rPr>
              <w:t>• Corporate travel rebound driving midweek demand growth (Mashvisor, 2025)</w:t>
            </w:r>
          </w:p>
          <w:p w14:paraId="71611DF3" w14:textId="77777777" w:rsidR="00945724" w:rsidRDefault="00000000">
            <w:pPr>
              <w:spacing w:after="40"/>
            </w:pPr>
            <w:r>
              <w:rPr>
                <w:color w:val="000000"/>
                <w:sz w:val="22"/>
                <w:szCs w:val="22"/>
              </w:rPr>
              <w:t>• Asia Pacific: ~27% of global STR revenues with high growth potential (Grand View Research, 2024)</w:t>
            </w:r>
          </w:p>
          <w:p w14:paraId="73302C82" w14:textId="77777777" w:rsidR="00945724" w:rsidRDefault="00000000">
            <w:pPr>
              <w:spacing w:after="40"/>
            </w:pPr>
            <w:r>
              <w:rPr>
                <w:color w:val="000000"/>
                <w:sz w:val="22"/>
                <w:szCs w:val="22"/>
              </w:rPr>
              <w:t>• Expanded platform services deepening host and guest ecosystem (Airbnb, 2023a)</w:t>
            </w:r>
          </w:p>
          <w:p w14:paraId="088908E8" w14:textId="77777777" w:rsidR="00945724" w:rsidRDefault="00000000">
            <w:pPr>
              <w:spacing w:after="40"/>
            </w:pPr>
            <w:r>
              <w:rPr>
                <w:color w:val="000000"/>
                <w:sz w:val="22"/>
                <w:szCs w:val="22"/>
              </w:rPr>
              <w:t>• Sustainable travel trends align with asset-light operational model (Airbnb, 2023b)</w:t>
            </w:r>
          </w:p>
        </w:tc>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CBDD9FD" w14:textId="77777777" w:rsidR="00945724" w:rsidRDefault="00000000">
            <w:pPr>
              <w:spacing w:after="40"/>
            </w:pPr>
            <w:r>
              <w:rPr>
                <w:color w:val="000000"/>
                <w:sz w:val="22"/>
                <w:szCs w:val="22"/>
              </w:rPr>
              <w:t>• Stringent STR regulations in NYC, Barcelona, Amsterdam (Guttentag, 2015; Airbnb, 2023a)</w:t>
            </w:r>
          </w:p>
          <w:p w14:paraId="2E164CEB" w14:textId="77777777" w:rsidR="00945724" w:rsidRDefault="5DDA6AB4">
            <w:pPr>
              <w:spacing w:after="40"/>
            </w:pPr>
            <w:r>
              <w:rPr>
                <w:color w:val="000000"/>
                <w:sz w:val="22"/>
                <w:szCs w:val="22"/>
              </w:rPr>
              <w:t>• Intense rivalry: Booking.com (18%) and Expedia/Vrbo (9%) expanding (Schaal, 2025)</w:t>
            </w:r>
          </w:p>
          <w:p w14:paraId="54FBDCB1" w14:textId="77777777" w:rsidR="00945724" w:rsidRDefault="5DDA6AB4">
            <w:pPr>
              <w:spacing w:after="40"/>
            </w:pPr>
            <w:r>
              <w:rPr>
                <w:color w:val="000000"/>
                <w:sz w:val="22"/>
                <w:szCs w:val="22"/>
              </w:rPr>
              <w:t>• High threat of substitutes: branded hotels, all-inclusive resorts (DCFmodeling, 2025)</w:t>
            </w:r>
          </w:p>
          <w:p w14:paraId="5B4A54B2" w14:textId="77777777" w:rsidR="00945724" w:rsidRDefault="00000000">
            <w:pPr>
              <w:spacing w:after="40"/>
            </w:pPr>
            <w:r>
              <w:rPr>
                <w:color w:val="000000"/>
                <w:sz w:val="22"/>
                <w:szCs w:val="22"/>
              </w:rPr>
              <w:t>• Macroeconomic downturns reduce consumer travel spending (Airbnb, 2021)</w:t>
            </w:r>
          </w:p>
          <w:p w14:paraId="5B9F9630" w14:textId="77777777" w:rsidR="00945724" w:rsidRDefault="00000000">
            <w:pPr>
              <w:spacing w:after="40"/>
            </w:pPr>
            <w:r>
              <w:rPr>
                <w:color w:val="000000"/>
                <w:sz w:val="22"/>
                <w:szCs w:val="22"/>
              </w:rPr>
              <w:t>• Climate-related disruptions reduce destination attractiveness (Scott et al., 2012)</w:t>
            </w:r>
          </w:p>
          <w:p w14:paraId="2BE8EC97" w14:textId="77777777" w:rsidR="00945724" w:rsidRDefault="5DDA6AB4">
            <w:pPr>
              <w:spacing w:after="40"/>
            </w:pPr>
            <w:r>
              <w:rPr>
                <w:color w:val="000000"/>
                <w:sz w:val="22"/>
                <w:szCs w:val="22"/>
              </w:rPr>
              <w:t>• Hotel chains entering STR space (e.g., Marriott Homes &amp; Villas) (DCFmodeling, 2025)</w:t>
            </w:r>
          </w:p>
        </w:tc>
      </w:tr>
    </w:tbl>
    <w:p w14:paraId="0FB78278" w14:textId="77777777" w:rsidR="00945724" w:rsidRDefault="00945724">
      <w:pPr>
        <w:spacing w:line="480" w:lineRule="auto"/>
      </w:pPr>
    </w:p>
    <w:p w14:paraId="1FC39945" w14:textId="4F3F171A" w:rsidR="00945724" w:rsidRDefault="5DDA6AB4" w:rsidP="005B0BE7">
      <w:pPr>
        <w:spacing w:line="480" w:lineRule="auto"/>
      </w:pPr>
      <w:r>
        <w:rPr>
          <w:i/>
          <w:iCs/>
          <w:color w:val="000000"/>
        </w:rPr>
        <w:t>Note.</w:t>
      </w:r>
      <w:r>
        <w:rPr>
          <w:color w:val="000000"/>
        </w:rPr>
        <w:t xml:space="preserve"> Sources for each data point are embedded within the respective cell.</w:t>
      </w:r>
    </w:p>
    <w:p w14:paraId="2E63AF5C" w14:textId="7B3150A5" w:rsidR="5DDA6AB4" w:rsidRDefault="5DDA6AB4" w:rsidP="005B0BE7">
      <w:pPr>
        <w:spacing w:line="480" w:lineRule="auto"/>
        <w:rPr>
          <w:b/>
          <w:bCs/>
          <w:i/>
          <w:iCs/>
          <w:color w:val="000000"/>
        </w:rPr>
      </w:pPr>
    </w:p>
    <w:p w14:paraId="0562CB0E" w14:textId="6C598091" w:rsidR="00945724" w:rsidRDefault="5DDA6AB4" w:rsidP="005B0BE7">
      <w:pPr>
        <w:spacing w:line="480" w:lineRule="auto"/>
      </w:pPr>
      <w:r>
        <w:rPr>
          <w:b/>
          <w:bCs/>
          <w:i/>
          <w:iCs/>
          <w:color w:val="000000"/>
        </w:rPr>
        <w:t>Strengths</w:t>
      </w:r>
    </w:p>
    <w:p w14:paraId="31A57147" w14:textId="51D1E1B1" w:rsidR="005B0BE7" w:rsidRDefault="5DDA6AB4" w:rsidP="003D5DE9">
      <w:pPr>
        <w:spacing w:line="480" w:lineRule="auto"/>
        <w:ind w:firstLine="720"/>
      </w:pPr>
      <w:r>
        <w:rPr>
          <w:color w:val="000000"/>
        </w:rPr>
        <w:t xml:space="preserve">The foundation of Airbnb’s competitive advantage is its scale. By the end of 2024, the platform had more than 8 million active listings spread across 220 countries and regions, with over 5 million hosts and upward of 2 billion total guest arrivals since launch (Airbnb, Inc., 2025). That sheer size creates a self-reinforcing dynamic: more hosts bring greater listing variety, which draws in more guests, which in turn makes the platform more attractive to new hosts—a cycle that is genuinely hard for a competitor to break into from scratch (Grant, 2022). The asset-light model continues to pay off financially, generating a 22% net profit margin and a 30.5% return on equity, both well ahead of hospitality industry norms (Airbnb, 2025a; 2025b). Gross booking value hit $81.78 billion in 2024, up 15.9% from $73.25 billion the prior year (Affinco, 2026). Proprietary </w:t>
        <w:lastRenderedPageBreak/>
        <w:t>tools for dynamic pricing, fraud detection, and search ranking give the platform operational capabilities that go beyond what most rivals can match (Airbnb, 2023a).</w:t>
      </w:r>
    </w:p>
    <w:p w14:paraId="62EBF3C5" w14:textId="52D8131F" w:rsidR="00945724" w:rsidRDefault="5DDA6AB4" w:rsidP="005B0BE7">
      <w:pPr>
        <w:spacing w:line="480" w:lineRule="auto"/>
      </w:pPr>
      <w:r>
        <w:rPr>
          <w:b/>
          <w:bCs/>
          <w:i/>
          <w:iCs/>
          <w:color w:val="000000"/>
        </w:rPr>
        <w:t>Weaknesses</w:t>
      </w:r>
    </w:p>
    <w:p w14:paraId="6D98A12B" w14:textId="77FD04CE" w:rsidR="00945724" w:rsidRDefault="5DDA6AB4" w:rsidP="005B0BE7">
      <w:pPr>
        <w:spacing w:line="480" w:lineRule="auto"/>
        <w:ind w:firstLine="720"/>
      </w:pPr>
      <w:r>
        <w:rPr>
          <w:color w:val="000000"/>
        </w:rPr>
        <w:t>None of this means the company is without real vulnerabilities. The decentralized nature of the host model is perhaps the most persistent one: because Airbnb does not own or manage the properties it lists, it cannot enforce uniform quality standards the way a hotel chain can (Guttentag, 2015). A guest can have a five-star stay one week and a deeply disappointing one the next, with little the platform can do to prevent it. On the financial side, a current ratio of roughly 1.23 is workable but leaves limited room for maneuver if, for instance, stricter regulations in a key market suddenly pull a chunk of listings off the platform (Airbnb, 2025b). There is also the host retention problem—property owners face no meaningful barrier to listing simultaneously on Vrbo, Booking.com, or any number of competitors, which weakens Airbnb’s hold on supply (DCFmodeling, 2025). Perhaps the most strategically significant gap, however, is the company’s limited foothold in corporate travel, a segment where hotel chains have spent decades building loyalty programs, centralized billing, and deep integration with enterprise booking systems.</w:t>
      </w:r>
    </w:p>
    <w:p w14:paraId="2946DB82" w14:textId="76EA6FB1" w:rsidR="00945724" w:rsidRDefault="5DDA6AB4" w:rsidP="005B0BE7">
      <w:pPr>
        <w:spacing w:line="480" w:lineRule="auto"/>
      </w:pPr>
      <w:r>
        <w:rPr>
          <w:b/>
          <w:bCs/>
          <w:i/>
          <w:iCs/>
          <w:color w:val="000000"/>
        </w:rPr>
        <w:t>Opportunities</w:t>
      </w:r>
    </w:p>
    <w:p w14:paraId="7758FEF8" w14:textId="02810858" w:rsidR="005B0BE7" w:rsidRDefault="5DDA6AB4" w:rsidP="003D5DE9">
      <w:pPr>
        <w:spacing w:line="480" w:lineRule="auto"/>
        <w:ind w:firstLine="720"/>
        <w:jc w:val="both"/>
      </w:pPr>
      <w:r>
        <w:rPr>
          <w:color w:val="000000"/>
        </w:rPr>
        <w:t>The external picture looks favorable for Airbnb. The short-term rental industry is projected to reach $256.31 billion by 2030 at an 11.4% CAGR, meaning the overall market is still expanding rapidly regardless of how any individual company performs (Grand View Research, 2024). Remote and hybrid work has reshaped how people travel, with longer stays of 28 days or more now accounting for 17% of all gross nights booked in the first quarter of 2024 alone—a category where Airbnb is better positioned than most hotel competitors (Affinco, 2026). Meanwhile, corporate travel has come back strongly since the pandemic, with midweek occupancy climbing as more business travelers choose residential-style rentals over standard hotel rooms for project-based assignments (Mashvisor, 2025). Asia Pacific is another compelling avenue: at roughly 27% of global short-term rental revenues in 2024, it still trails North America’s 35%, suggesting a region where meaningful share gains remain achievable (Grand View Research, 2024).</w:t>
      </w:r>
    </w:p>
    <w:p w14:paraId="110FFD37" w14:textId="1C9D15C9" w:rsidR="00945724" w:rsidRDefault="5DDA6AB4" w:rsidP="005B0BE7">
      <w:pPr>
        <w:spacing w:line="480" w:lineRule="auto"/>
      </w:pPr>
      <w:r>
        <w:rPr>
          <w:b/>
          <w:bCs/>
          <w:i/>
          <w:iCs/>
          <w:color w:val="000000"/>
        </w:rPr>
        <w:lastRenderedPageBreak/>
        <w:t>Threats</w:t>
      </w:r>
    </w:p>
    <w:p w14:paraId="6B699379" w14:textId="01DF7673" w:rsidR="00945724" w:rsidRDefault="5DDA6AB4" w:rsidP="005B0BE7">
      <w:pPr>
        <w:spacing w:line="480" w:lineRule="auto"/>
        <w:ind w:firstLine="720"/>
      </w:pPr>
      <w:r>
        <w:rPr>
          <w:color w:val="000000"/>
        </w:rPr>
        <w:t>The most immediate external pressure on Airbnb comes from regulation. Cities like New York, Barcelona, and Amsterdam have moved aggressively to restrict short-term rentals—imposing registration requirements, hard caps on rental days, and licensing hurdles that shrink the available listing pool in some of the platform’s most valuable urban markets (Guttentag, 2015; Airbnb, 2023a). The competitive environment is equally demanding: Booking.com at 18% market share and Expedia/Vrbo at 9% are both actively growing their vacation rental inventories and cannot be dismissed as distant rivals (Schaal, 2025). Branded hotels continue to exert pricing pressure through the consistency and loyalty benefits they offer, particularly with corporate customers who value predictability above novelty (DCFmodeling, 2025). Broader economic downturns remain a structural vulnerability for any platform dependent on discretionary travel spending—the pandemic illustrated this starkly, with booking volumes falling as much as 85% at the worst point (Airbnb, 2021). Finally, climate-driven disruptions to destination attractiveness represent a slower-moving but genuinely long-term risk across Airbnb’s geographically dispersed inventory (Scott et al., 2012).</w:t>
      </w:r>
    </w:p>
    <w:p w14:paraId="3FE9F23F" w14:textId="16F9C476" w:rsidR="00945724" w:rsidRDefault="5DDA6AB4" w:rsidP="005B0BE7">
      <w:pPr>
        <w:spacing w:line="480" w:lineRule="auto"/>
      </w:pPr>
      <w:r>
        <w:rPr>
          <w:b/>
          <w:bCs/>
          <w:color w:val="000000"/>
        </w:rPr>
        <w:t>Financial Ratio Analysis</w:t>
      </w:r>
    </w:p>
    <w:p w14:paraId="005E62F6" w14:textId="77777777" w:rsidR="00945724" w:rsidRDefault="5DDA6AB4" w:rsidP="005B0BE7">
      <w:pPr>
        <w:spacing w:line="480" w:lineRule="auto"/>
        <w:ind w:firstLine="720"/>
        <w:rPr>
          <w:color w:val="000000"/>
        </w:rPr>
      </w:pPr>
      <w:r>
        <w:rPr>
          <w:color w:val="000000"/>
        </w:rPr>
        <w:t>The ratios below are drawn from Airbnb’s most recent public financial disclosures. Unless otherwise noted, all figures reflect full-year 2024 results.</w:t>
      </w:r>
    </w:p>
    <w:p w14:paraId="3B5AA6C5" w14:textId="77777777" w:rsidR="009E2DCA" w:rsidRDefault="009E2DCA" w:rsidP="005B0BE7">
      <w:pPr>
        <w:spacing w:line="480" w:lineRule="auto"/>
        <w:ind w:firstLine="720"/>
        <w:rPr>
          <w:color w:val="000000"/>
        </w:rPr>
      </w:pPr>
    </w:p>
    <w:p w14:paraId="25B6D08C" w14:textId="77777777" w:rsidR="009E2DCA" w:rsidRDefault="009E2DCA" w:rsidP="005B0BE7">
      <w:pPr>
        <w:spacing w:line="480" w:lineRule="auto"/>
        <w:ind w:firstLine="720"/>
        <w:rPr>
          <w:color w:val="000000"/>
        </w:rPr>
      </w:pPr>
    </w:p>
    <w:p w14:paraId="3EB86792" w14:textId="77777777" w:rsidR="009E2DCA" w:rsidRDefault="009E2DCA" w:rsidP="005B0BE7">
      <w:pPr>
        <w:spacing w:line="480" w:lineRule="auto"/>
        <w:ind w:firstLine="720"/>
        <w:rPr>
          <w:color w:val="000000"/>
        </w:rPr>
      </w:pPr>
    </w:p>
    <w:p w14:paraId="5C35E3A6" w14:textId="77777777" w:rsidR="009E2DCA" w:rsidRDefault="009E2DCA" w:rsidP="005B0BE7">
      <w:pPr>
        <w:spacing w:line="480" w:lineRule="auto"/>
        <w:ind w:firstLine="720"/>
        <w:rPr>
          <w:color w:val="000000"/>
        </w:rPr>
      </w:pPr>
    </w:p>
    <w:p w14:paraId="1DC1E4AF" w14:textId="77777777" w:rsidR="009E2DCA" w:rsidRDefault="009E2DCA" w:rsidP="005B0BE7">
      <w:pPr>
        <w:spacing w:line="480" w:lineRule="auto"/>
        <w:ind w:firstLine="720"/>
      </w:pPr>
    </w:p>
    <w:p w14:paraId="1F72F646" w14:textId="77777777" w:rsidR="00945724" w:rsidRDefault="00945724">
      <w:pPr>
        <w:spacing w:line="480" w:lineRule="auto"/>
      </w:pPr>
    </w:p>
    <w:p w14:paraId="662D3687" w14:textId="77777777" w:rsidR="0069437A" w:rsidRDefault="00000000">
      <w:pPr>
        <w:spacing w:line="480" w:lineRule="auto"/>
      </w:pPr>
      <w:r>
        <w:rPr>
          <w:b/>
          <w:bCs/>
        </w:rPr>
        <w:lastRenderedPageBreak/>
        <w:t>Figure 3</w:t>
      </w:r>
      <w:r>
        <w:t xml:space="preserve"> </w:t>
      </w:r>
    </w:p>
    <w:p w14:paraId="08CE6F91" w14:textId="4741DC35" w:rsidR="00945724" w:rsidRDefault="00000000">
      <w:pPr>
        <w:spacing w:line="480" w:lineRule="auto"/>
      </w:pPr>
      <w:r>
        <w:rPr>
          <w:i/>
          <w:iCs/>
        </w:rPr>
        <w:t>Financial Ratio Analysis: Airbnb, Inc. (FY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860"/>
        <w:gridCol w:w="5000"/>
      </w:tblGrid>
      <w:tr w:rsidR="00945724" w14:paraId="454D2EDB" w14:textId="77777777" w:rsidTr="5DDA6AB4">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667647F" w14:textId="77777777" w:rsidR="00945724" w:rsidRDefault="00000000">
            <w:pPr>
              <w:jc w:val="center"/>
            </w:pPr>
            <w:r>
              <w:rPr>
                <w:b/>
                <w:bCs/>
                <w:color w:val="FFFFFF"/>
                <w:sz w:val="22"/>
                <w:szCs w:val="22"/>
              </w:rPr>
              <w:t>Ratio</w:t>
            </w:r>
          </w:p>
        </w:tc>
        <w:tc>
          <w:tcPr>
            <w:tcW w:w="18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4490CE2" w14:textId="77777777" w:rsidR="00945724" w:rsidRDefault="00000000">
            <w:pPr>
              <w:jc w:val="center"/>
            </w:pPr>
            <w:r>
              <w:rPr>
                <w:b/>
                <w:bCs/>
                <w:color w:val="FFFFFF"/>
                <w:sz w:val="22"/>
                <w:szCs w:val="22"/>
              </w:rPr>
              <w:t>Value (FY 2024)</w:t>
            </w:r>
          </w:p>
        </w:tc>
        <w:tc>
          <w:tcPr>
            <w:tcW w:w="5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B3CF38A" w14:textId="77777777" w:rsidR="00945724" w:rsidRDefault="00000000">
            <w:pPr>
              <w:jc w:val="center"/>
            </w:pPr>
            <w:r>
              <w:rPr>
                <w:b/>
                <w:bCs/>
                <w:color w:val="FFFFFF"/>
                <w:sz w:val="22"/>
                <w:szCs w:val="22"/>
              </w:rPr>
              <w:t>Interpretation and Citation</w:t>
            </w:r>
          </w:p>
        </w:tc>
      </w:tr>
      <w:tr w:rsidR="00945724" w14:paraId="789B1A93" w14:textId="77777777" w:rsidTr="5DDA6AB4">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6F480B05" w14:textId="77777777" w:rsidR="00945724" w:rsidRDefault="00000000">
            <w:r>
              <w:rPr>
                <w:color w:val="000000"/>
                <w:sz w:val="22"/>
                <w:szCs w:val="22"/>
              </w:rPr>
              <w:t>Operating Profit Margin</w:t>
            </w:r>
          </w:p>
        </w:tc>
        <w:tc>
          <w:tcPr>
            <w:tcW w:w="1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D8A7FB" w14:textId="77777777" w:rsidR="00945724" w:rsidRDefault="00000000">
            <w:pPr>
              <w:jc w:val="center"/>
            </w:pPr>
            <w:r>
              <w:rPr>
                <w:color w:val="000000"/>
                <w:sz w:val="22"/>
                <w:szCs w:val="22"/>
              </w:rPr>
              <w:t>~23%</w:t>
            </w:r>
          </w:p>
        </w:tc>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00CDBB" w14:textId="77777777" w:rsidR="00945724" w:rsidRDefault="00000000">
            <w:r>
              <w:rPr>
                <w:color w:val="000000"/>
                <w:sz w:val="22"/>
                <w:szCs w:val="22"/>
              </w:rPr>
              <w:t>Reflects strong cost management and platform scalability consistent with the asset-light model (Airbnb, 2025a).</w:t>
            </w:r>
          </w:p>
        </w:tc>
      </w:tr>
      <w:tr w:rsidR="00945724" w14:paraId="2D15F6B3" w14:textId="77777777" w:rsidTr="5DDA6AB4">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007D9AA6" w14:textId="77777777" w:rsidR="00945724" w:rsidRDefault="00000000">
            <w:r>
              <w:rPr>
                <w:color w:val="000000"/>
                <w:sz w:val="22"/>
                <w:szCs w:val="22"/>
              </w:rPr>
              <w:t>Net Profit Margin</w:t>
            </w:r>
          </w:p>
        </w:tc>
        <w:tc>
          <w:tcPr>
            <w:tcW w:w="1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E623979" w14:textId="77777777" w:rsidR="00945724" w:rsidRDefault="00000000">
            <w:pPr>
              <w:jc w:val="center"/>
            </w:pPr>
            <w:r>
              <w:rPr>
                <w:color w:val="000000"/>
                <w:sz w:val="22"/>
                <w:szCs w:val="22"/>
              </w:rPr>
              <w:t>~22%</w:t>
            </w:r>
          </w:p>
        </w:tc>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0267C9" w14:textId="77777777" w:rsidR="00945724" w:rsidRDefault="5DDA6AB4">
            <w:r>
              <w:rPr>
                <w:color w:val="000000"/>
                <w:sz w:val="22"/>
                <w:szCs w:val="22"/>
              </w:rPr>
              <w:t>Equates to approximately $2.6 billion in net income on $11.1 billion in revenue for FY 2024 (Airbnb, 2025a; Business of Apps, 2026).</w:t>
            </w:r>
          </w:p>
        </w:tc>
      </w:tr>
      <w:tr w:rsidR="00945724" w14:paraId="491E29CB" w14:textId="77777777" w:rsidTr="5DDA6AB4">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51AF80DB" w14:textId="77777777" w:rsidR="00945724" w:rsidRDefault="00000000">
            <w:r>
              <w:rPr>
                <w:color w:val="000000"/>
                <w:sz w:val="22"/>
                <w:szCs w:val="22"/>
              </w:rPr>
              <w:t>Return on Assets (ROA)</w:t>
            </w:r>
          </w:p>
        </w:tc>
        <w:tc>
          <w:tcPr>
            <w:tcW w:w="1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18DB69" w14:textId="77777777" w:rsidR="00945724" w:rsidRDefault="00000000">
            <w:pPr>
              <w:jc w:val="center"/>
            </w:pPr>
            <w:r>
              <w:rPr>
                <w:color w:val="000000"/>
                <w:sz w:val="22"/>
                <w:szCs w:val="22"/>
              </w:rPr>
              <w:t>~11.4%</w:t>
            </w:r>
          </w:p>
        </w:tc>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9E62AF" w14:textId="77777777" w:rsidR="00945724" w:rsidRDefault="00000000">
            <w:r>
              <w:rPr>
                <w:color w:val="000000"/>
                <w:sz w:val="22"/>
                <w:szCs w:val="22"/>
              </w:rPr>
              <w:t>Demonstrates efficient conversion of assets into profit without ownership of physical real estate (Airbnb, 2025b).</w:t>
            </w:r>
          </w:p>
        </w:tc>
      </w:tr>
      <w:tr w:rsidR="00945724" w14:paraId="108D71B4" w14:textId="77777777" w:rsidTr="5DDA6AB4">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114F9F75" w14:textId="77777777" w:rsidR="00945724" w:rsidRDefault="00000000">
            <w:r>
              <w:rPr>
                <w:color w:val="000000"/>
                <w:sz w:val="22"/>
                <w:szCs w:val="22"/>
              </w:rPr>
              <w:t>Return on Equity (ROE)</w:t>
            </w:r>
          </w:p>
        </w:tc>
        <w:tc>
          <w:tcPr>
            <w:tcW w:w="1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02BE78" w14:textId="77777777" w:rsidR="00945724" w:rsidRDefault="00000000">
            <w:pPr>
              <w:jc w:val="center"/>
            </w:pPr>
            <w:r>
              <w:rPr>
                <w:color w:val="000000"/>
                <w:sz w:val="22"/>
                <w:szCs w:val="22"/>
              </w:rPr>
              <w:t>~30.5%</w:t>
            </w:r>
          </w:p>
        </w:tc>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7D8F10" w14:textId="77777777" w:rsidR="00945724" w:rsidRDefault="5DDA6AB4">
            <w:r>
              <w:rPr>
                <w:color w:val="000000"/>
                <w:sz w:val="22"/>
                <w:szCs w:val="22"/>
              </w:rPr>
              <w:t>Indicates effective utilization of shareholders’ capital; reflects the leverage advantage of the fee-based platform structure (Airbnb, 2025b).</w:t>
            </w:r>
          </w:p>
        </w:tc>
      </w:tr>
      <w:tr w:rsidR="00945724" w14:paraId="5E58EAC7" w14:textId="77777777" w:rsidTr="5DDA6AB4">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117A7646" w14:textId="77777777" w:rsidR="00945724" w:rsidRDefault="00000000">
            <w:r>
              <w:rPr>
                <w:color w:val="000000"/>
                <w:sz w:val="22"/>
                <w:szCs w:val="22"/>
              </w:rPr>
              <w:t>Current Ratio</w:t>
            </w:r>
          </w:p>
        </w:tc>
        <w:tc>
          <w:tcPr>
            <w:tcW w:w="1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C60125" w14:textId="77777777" w:rsidR="00945724" w:rsidRDefault="00000000">
            <w:pPr>
              <w:jc w:val="center"/>
            </w:pPr>
            <w:r>
              <w:rPr>
                <w:color w:val="000000"/>
                <w:sz w:val="22"/>
                <w:szCs w:val="22"/>
              </w:rPr>
              <w:t>~1.23</w:t>
            </w:r>
          </w:p>
        </w:tc>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0F559E" w14:textId="77777777" w:rsidR="00945724" w:rsidRDefault="5DDA6AB4">
            <w:r>
              <w:rPr>
                <w:color w:val="000000"/>
                <w:sz w:val="22"/>
                <w:szCs w:val="22"/>
              </w:rPr>
              <w:t>Current assets exceed current liabilities; adequate short-term liquidity, though the modest buffer warrants monitoring amid regulatory uncertainty (Airbnb, 2025b).</w:t>
            </w:r>
          </w:p>
        </w:tc>
      </w:tr>
      <w:tr w:rsidR="00945724" w14:paraId="7F41E3AD" w14:textId="77777777" w:rsidTr="5DDA6AB4">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77E3DADF" w14:textId="77777777" w:rsidR="00945724" w:rsidRDefault="00000000">
            <w:r>
              <w:rPr>
                <w:color w:val="000000"/>
                <w:sz w:val="22"/>
                <w:szCs w:val="22"/>
              </w:rPr>
              <w:t>Total Revenue (FY 2024)</w:t>
            </w:r>
          </w:p>
        </w:tc>
        <w:tc>
          <w:tcPr>
            <w:tcW w:w="1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7779B5" w14:textId="77777777" w:rsidR="00945724" w:rsidRDefault="5DDA6AB4" w:rsidP="5DDA6AB4">
            <w:pPr>
              <w:jc w:val="center"/>
              <w:rPr>
                <w:color w:val="000000"/>
                <w:sz w:val="22"/>
                <w:szCs w:val="22"/>
              </w:rPr>
            </w:pPr>
            <w:r>
              <w:rPr>
                <w:color w:val="000000"/>
                <w:sz w:val="22"/>
                <w:szCs w:val="22"/>
              </w:rPr>
              <w:t>$11.1 billion</w:t>
            </w:r>
          </w:p>
        </w:tc>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25A93A" w14:textId="77777777" w:rsidR="00945724" w:rsidRDefault="5DDA6AB4">
            <w:r>
              <w:rPr>
                <w:color w:val="000000"/>
                <w:sz w:val="22"/>
                <w:szCs w:val="22"/>
              </w:rPr>
              <w:t>Represents a ~12% year-over-year increase, supported by 491 million nights and experiences booked in 2024, up from 448 million in 2023 (Business of Apps, 2026).</w:t>
            </w:r>
          </w:p>
        </w:tc>
      </w:tr>
      <w:tr w:rsidR="00945724" w14:paraId="2D9BDFD8" w14:textId="77777777" w:rsidTr="5DDA6AB4">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4274FFD0" w14:textId="77777777" w:rsidR="00945724" w:rsidRDefault="00000000">
            <w:r>
              <w:rPr>
                <w:color w:val="000000"/>
                <w:sz w:val="22"/>
                <w:szCs w:val="22"/>
              </w:rPr>
              <w:t>Gross Booking Value (GBV)</w:t>
            </w:r>
          </w:p>
        </w:tc>
        <w:tc>
          <w:tcPr>
            <w:tcW w:w="1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D7EEF4" w14:textId="77777777" w:rsidR="00945724" w:rsidRDefault="5DDA6AB4" w:rsidP="5DDA6AB4">
            <w:pPr>
              <w:jc w:val="center"/>
              <w:rPr>
                <w:color w:val="000000"/>
                <w:sz w:val="22"/>
                <w:szCs w:val="22"/>
              </w:rPr>
            </w:pPr>
            <w:r>
              <w:rPr>
                <w:color w:val="000000"/>
                <w:sz w:val="22"/>
                <w:szCs w:val="22"/>
              </w:rPr>
              <w:t>$81.78 billion</w:t>
            </w:r>
          </w:p>
        </w:tc>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88FD32" w14:textId="77777777" w:rsidR="00945724" w:rsidRDefault="5DDA6AB4">
            <w:r>
              <w:rPr>
                <w:color w:val="000000"/>
                <w:sz w:val="22"/>
                <w:szCs w:val="22"/>
              </w:rPr>
              <w:t>Represents a 15.9% year-over-year increase from $73.25 billion in 2023; reflects total transaction volume processed through the platform (Affinco, 2026).</w:t>
            </w:r>
          </w:p>
        </w:tc>
      </w:tr>
      <w:tr w:rsidR="00945724" w14:paraId="6EDC79D9" w14:textId="77777777" w:rsidTr="5DDA6AB4">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80" w:type="dxa"/>
              <w:left w:w="120" w:type="dxa"/>
              <w:bottom w:w="80" w:type="dxa"/>
              <w:right w:w="120" w:type="dxa"/>
            </w:tcMar>
            <w:vAlign w:val="center"/>
          </w:tcPr>
          <w:p w14:paraId="413EC950" w14:textId="77777777" w:rsidR="00945724" w:rsidRDefault="00000000">
            <w:r>
              <w:rPr>
                <w:color w:val="000000"/>
                <w:sz w:val="22"/>
                <w:szCs w:val="22"/>
              </w:rPr>
              <w:t>Free Cash Flow (FY 2024)</w:t>
            </w:r>
          </w:p>
        </w:tc>
        <w:tc>
          <w:tcPr>
            <w:tcW w:w="1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47A021" w14:textId="77777777" w:rsidR="00945724" w:rsidRDefault="5DDA6AB4" w:rsidP="5DDA6AB4">
            <w:pPr>
              <w:jc w:val="center"/>
              <w:rPr>
                <w:color w:val="000000"/>
                <w:sz w:val="22"/>
                <w:szCs w:val="22"/>
              </w:rPr>
            </w:pPr>
            <w:r>
              <w:rPr>
                <w:color w:val="000000"/>
                <w:sz w:val="22"/>
                <w:szCs w:val="22"/>
              </w:rPr>
              <w:t>$4.5 billion</w:t>
            </w:r>
          </w:p>
        </w:tc>
        <w:tc>
          <w:tcPr>
            <w:tcW w:w="5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8E80FF" w14:textId="77777777" w:rsidR="00945724" w:rsidRDefault="00000000">
            <w:r>
              <w:rPr>
                <w:color w:val="000000"/>
                <w:sz w:val="22"/>
                <w:szCs w:val="22"/>
              </w:rPr>
              <w:t>Provides significant capacity for strategic reinvestment consistent with Star-stage investment requirements in the BCG framework (Business of Apps, 2026; Grant, 2022).</w:t>
            </w:r>
          </w:p>
        </w:tc>
      </w:tr>
    </w:tbl>
    <w:p w14:paraId="61CDCEAD" w14:textId="77777777" w:rsidR="00945724" w:rsidRDefault="00945724">
      <w:pPr>
        <w:spacing w:line="480" w:lineRule="auto"/>
      </w:pPr>
    </w:p>
    <w:p w14:paraId="6BB9E253" w14:textId="5C86480A" w:rsidR="00945724" w:rsidRDefault="00000000" w:rsidP="005B0BE7">
      <w:pPr>
        <w:spacing w:line="480" w:lineRule="auto"/>
      </w:pPr>
      <w:r>
        <w:rPr>
          <w:i/>
          <w:iCs/>
          <w:color w:val="000000"/>
        </w:rPr>
        <w:t>Note.</w:t>
      </w:r>
      <w:r>
        <w:rPr>
          <w:color w:val="000000"/>
        </w:rPr>
        <w:t xml:space="preserve"> All values are approximations based on publicly available financial disclosures. Sources are cited within each row.</w:t>
      </w:r>
    </w:p>
    <w:p w14:paraId="23DE523C" w14:textId="360EB9AF" w:rsidR="00945724" w:rsidRDefault="5DDA6AB4" w:rsidP="009E2DCA">
      <w:pPr>
        <w:spacing w:line="480" w:lineRule="auto"/>
        <w:ind w:firstLine="720"/>
      </w:pPr>
      <w:r>
        <w:rPr>
          <w:color w:val="000000"/>
        </w:rPr>
        <w:t xml:space="preserve">Taken together, these ratios depict a financially robust firm. The 22–23% profit margins confirm that the platform has achieved sustainable profitability at scale, and the 30.5% ROE reflects highly efficient capital utilization (Airbnb, 2025a; 2025b). The ROA of 11.4% is </w:t>
        <w:lastRenderedPageBreak/>
        <w:t>given that Airbnb owns none of the properties it lists—all of that return comes from transaction fees rather than asset ownership, which is a structurally attractive position (Airbnb, Inc., 2025). Gross booking value crossing $81.78 billion in 2024, up 15.9% from $73.25 billion the year before, reflects genuine momentum in platform usage rather than just price increases (Affinco, 2026). The one number worth watching is the current ratio of 1.23—it’s sufficient for normal operations, but it offers a narrower cushion than one might expect from a company of this size, and tightened regulation in key markets could put additional pressure on near-term liquidity (Airbnb, 2025b).</w:t>
      </w:r>
    </w:p>
    <w:p w14:paraId="52E56223" w14:textId="1C407A9D" w:rsidR="00945724" w:rsidRDefault="5DDA6AB4" w:rsidP="005B0BE7">
      <w:pPr>
        <w:spacing w:line="480" w:lineRule="auto"/>
        <w:jc w:val="center"/>
      </w:pPr>
      <w:r>
        <w:rPr>
          <w:b/>
          <w:bCs/>
          <w:color w:val="000000"/>
        </w:rPr>
        <w:t>Recommended Strategic Action</w:t>
      </w:r>
    </w:p>
    <w:p w14:paraId="07547A01" w14:textId="32A4EBAF" w:rsidR="00945724" w:rsidRDefault="5DDA6AB4" w:rsidP="009E2DCA">
      <w:pPr>
        <w:spacing w:line="480" w:lineRule="auto"/>
        <w:ind w:firstLine="720"/>
      </w:pPr>
      <w:r>
        <w:rPr>
          <w:color w:val="000000"/>
        </w:rPr>
        <w:t>What the BCG Matrix, SWOT analysis, and financial data all point toward—each from a different angle—is the same strategic opening: Airbnb should commit seriously to building out its corporate and business travel segment by investing in and expanding the existing Airbnb for Work platform. This is not a speculative bet. It targets the company’s most visible internal gap—its limited foothold in corporate travel—while moving toward an opportunity that the data suggests is already materializing, given the measurable rebound in business travel bookings through 2024 and into 2025 (Mashvisor, 2025). And it does so without undermining the leisure side of the business.</w:t>
      </w:r>
    </w:p>
    <w:p w14:paraId="5043CB0F" w14:textId="58C03408" w:rsidR="00945724" w:rsidRDefault="5DDA6AB4" w:rsidP="005B0BE7">
      <w:pPr>
        <w:spacing w:line="480" w:lineRule="auto"/>
      </w:pPr>
      <w:r>
        <w:rPr>
          <w:b/>
          <w:bCs/>
          <w:color w:val="000000"/>
        </w:rPr>
        <w:t>Strategic Rationale</w:t>
      </w:r>
    </w:p>
    <w:p w14:paraId="07459315" w14:textId="05155CCD" w:rsidR="00945724" w:rsidRDefault="5DDA6AB4" w:rsidP="005B0BE7">
      <w:pPr>
        <w:spacing w:line="480" w:lineRule="auto"/>
        <w:ind w:firstLine="720"/>
      </w:pPr>
      <w:r>
        <w:rPr>
          <w:color w:val="000000"/>
        </w:rPr>
        <w:t>The BCG framework is clear that Star-positioned firms cannot afford to stand still—they must keep reinvesting to protect their leadership as the market grows (Grant, 2022). Expanding into corporate travel fits that requirement well. It opens a high-value, recurring revenue stream that runs alongside the leisure business rather than competing with it, diversifying Airbnb’s income base without diluting the core product. The demand side is already moving in this direction. Midweek occupancy rates have climbed as business travelers turn to short-term rentals for extended project-</w:t>
        <w:lastRenderedPageBreak/>
        <w:t>assignments, signaling a real and observable shift in preference toward residential-style accommodations (Mashvisor, 2025). The gap is on the supply side: Airbnb’s corporate offering today is underdeveloped relative to what hotel chains provide, with their well-established loyalty programs, centralized billing, and deep integration into enterprise travel management systems (DCFmodeling, 2025).</w:t>
      </w:r>
    </w:p>
    <w:p w14:paraId="6537F28F" w14:textId="39BB27FB" w:rsidR="00945724" w:rsidRDefault="5DDA6AB4" w:rsidP="005B0BE7">
      <w:pPr>
        <w:spacing w:line="480" w:lineRule="auto"/>
        <w:ind w:firstLine="720"/>
      </w:pPr>
      <w:r>
        <w:rPr>
          <w:color w:val="000000"/>
        </w:rPr>
        <w:t>The SWOT analysis reinforces the same conclusion from a different direction. On the internal side, Airbnb already has the building blocks: a global host base exceeding 5 million (Airbnb, Inc., 2025), sophisticated data analytics for pricing and search (Airbnb, 2023a), and a brand that is genuinely recognized worldwide. These are not small advantages. Externally, the corporate travel rebound provides clear demand-side momentum, and Asia Pacific—currently at approximately 27% of global short-term rental revenues compared to North America’s 35%—presents a natural geographic extension as companies in the region expand their operations (Grand View Research, 2024). It is also worth noting that stays of 28 days or more already represent 17% of gross nights booked (Affinco, 2026), a pattern closely aligned with the kind of extended project-based assignments that drive corporate travel demand.</w:t>
      </w:r>
    </w:p>
    <w:p w14:paraId="2181951E" w14:textId="0D069835" w:rsidR="005B0BE7" w:rsidRDefault="5DDA6AB4" w:rsidP="009E2DCA">
      <w:pPr>
        <w:spacing w:line="480" w:lineRule="auto"/>
        <w:ind w:firstLine="720"/>
      </w:pPr>
      <w:r>
        <w:rPr>
          <w:color w:val="000000"/>
        </w:rPr>
        <w:t>From a financial standpoint, this strategy is well within reach. $4.5 billion in free cash flow for FY 2024, combined with a 30.5% ROE, means Airbnb has both the capital and the operational efficiency to pursue this without stretching its balance sheet (Business of Apps, 2026; Airbnb, 2025b). Crucially, because the model is asset-light, the investment requirements here are manageable: platform feature builds, host certification programs, and enterprise sales and marketing are the primary line items. There is no property to acquire, no physical infrastructure to build (Airbnb, 2023a). That is a meaningful structural advantage over hotel chains attempting to compete in the opposite direction.</w:t>
      </w:r>
    </w:p>
    <w:p w14:paraId="70DF9E56" w14:textId="56988E75" w:rsidR="00945724" w:rsidRDefault="5DDA6AB4" w:rsidP="005B0BE7">
      <w:pPr>
        <w:spacing w:line="480" w:lineRule="auto"/>
      </w:pPr>
      <w:r>
        <w:rPr>
          <w:b/>
          <w:bCs/>
          <w:color w:val="000000"/>
        </w:rPr>
        <w:t>Implementation Considerations</w:t>
      </w:r>
    </w:p>
    <w:p w14:paraId="44E871BC" w14:textId="59315D37" w:rsidR="00945724" w:rsidRDefault="5DDA6AB4" w:rsidP="005B0BE7">
      <w:pPr>
        <w:spacing w:line="480" w:lineRule="auto"/>
        <w:ind w:firstLine="720"/>
      </w:pPr>
      <w:r>
        <w:rPr>
          <w:color w:val="000000"/>
        </w:rPr>
        <w:lastRenderedPageBreak/>
        <w:t>Three workstreams, run in parallel, would bring this strategy to life. The first is establishing a “Business Ready” listing standard—a verified subset of properties that meet a defined floor of expectations for business travelers: reliable high-speed internet, a proper workspace, consistent and professional check-in logistics, and location near commercial activity. This addresses one of the most persistent criticisms of Airbnb for business use, which is the unpredictability of the experience (Guttentag, 2015). If corporate travelers and the procurement teams booking on their behalf can filter to a curated set of properties that reliably meet minimum standards, the platform becomes considerably more viable as a business travel tool.</w:t>
      </w:r>
    </w:p>
    <w:p w14:paraId="144A5D23" w14:textId="4781B534" w:rsidR="00945724" w:rsidRDefault="5DDA6AB4" w:rsidP="005B0BE7">
      <w:pPr>
        <w:spacing w:line="480" w:lineRule="auto"/>
        <w:ind w:firstLine="720"/>
      </w:pPr>
      <w:r>
        <w:rPr>
          <w:color w:val="000000"/>
        </w:rPr>
        <w:t>The second workstream focuses on enterprise partnerships. Mid-to-large corporations need centralized invoicing, duty-of-care compliance capabilities, and volume pricing arrangements that plug into their existing travel management systems—none of which Airbnb currently offers in a robust or consistent way. There is historical proof of concept here: the Airbnb for Work program previously gained meaningful traction, with nearly 700,000 companies on the platform and bookings tripling between 2015 and 2017 (Airbnb, 2018). What it lacked then was the depth of enterprise tooling that procurement and finance teams require. Rebuilding those partnerships with more mature infrastructure, at a moment when business travel is actively rebounding, puts Airbnb in a stronger position to compete for corporate accounts than it has been at any prior point (Mashvisor, 2025).</w:t>
      </w:r>
    </w:p>
    <w:p w14:paraId="738610EB" w14:textId="38A03406" w:rsidR="00945724" w:rsidRDefault="5DDA6AB4" w:rsidP="009E2DCA">
      <w:pPr>
        <w:spacing w:line="480" w:lineRule="auto"/>
        <w:ind w:firstLine="720"/>
      </w:pPr>
      <w:r>
        <w:rPr>
          <w:color w:val="000000"/>
        </w:rPr>
        <w:t>The third workstream is a corporate loyalty program. Hotel chains retain business travelers in part through points programs that make switching feel costly—free nights, status upgrades, and other perks that accumulate over time (DCFmodeling, 2025). Airbnb has no equivalent. A loyalty structure that rewards frequent business travelers with platform credits, access to premium Business Ready listings, or other tangible benefits would begin to close that gap. The underlying value proposition is already there: 77% of Airbnb users cite the desire to experience a destination in a more authentic, residential way as a key reason they choose the platform over hotels (iGMS, 2025). For business travelers who spend extended time in a single location, that appeal is arguably even stronger. The missing piece is just a mechanism to build and reward that loyalty over time.</w:t>
      </w:r>
    </w:p>
    <w:p w14:paraId="637805D2" w14:textId="49CC2992" w:rsidR="00945724" w:rsidRDefault="5DDA6AB4" w:rsidP="009E2DCA">
      <w:pPr>
        <w:spacing w:line="480" w:lineRule="auto"/>
        <w:jc w:val="center"/>
      </w:pPr>
      <w:r>
        <w:rPr>
          <w:b/>
          <w:bCs/>
          <w:color w:val="000000"/>
        </w:rPr>
        <w:lastRenderedPageBreak/>
        <w:t>Conclusion</w:t>
      </w:r>
    </w:p>
    <w:p w14:paraId="3598D412" w14:textId="48261A03" w:rsidR="00945724" w:rsidRDefault="5DDA6AB4" w:rsidP="005B0BE7">
      <w:pPr>
        <w:spacing w:line="480" w:lineRule="auto"/>
        <w:ind w:firstLine="720"/>
      </w:pPr>
      <w:r>
        <w:rPr>
          <w:color w:val="000000"/>
        </w:rPr>
        <w:t>What the diagnostic tools converge on is a company that, by most measures, is in a genuinely strong strategic position—and faces a clear decision about what to do with that advantage. Holding 44% of a $183 billion market growing at 11.4% annually puts Airbnb in territory very few companies reach (Schaal, 2025; Grand View Research, 2024). The SWOT analysis shows real threats—regulatory pressure in key cities, and determined competition from Booking.com at 18% and Expedia/Vrbo at 9% market share are not minor concerns (Schaal, 2025)—but Airbnb’s internal capabilities are substantial, and the financial results back that up. A company with $4.5 billion in free cash flow, a 30.5% return on equity, and 22% net profit margins has real capacity to act, not just react (Business of Apps, 2026; Airbnb, 2025a; 2025b). Investing in the corporate travel segment through a rebuilt and scaled Airbnb for Work platform is the right move at this juncture: it addresses a known weakness, pursues demand that is already materializing, and reflects the reinvestment posture that the BCG Star classification demands.</w:t>
      </w:r>
    </w:p>
    <w:p w14:paraId="463F29E8" w14:textId="77777777" w:rsidR="00945724" w:rsidRDefault="00945724">
      <w:pPr>
        <w:spacing w:line="480" w:lineRule="auto"/>
      </w:pPr>
    </w:p>
    <w:p w14:paraId="3B7B4B86" w14:textId="1A7B5BB3" w:rsidR="00945724" w:rsidRDefault="00000000" w:rsidP="00DC6A46">
      <w:pPr>
        <w:pageBreakBefore/>
        <w:spacing w:line="480" w:lineRule="auto"/>
        <w:jc w:val="center"/>
      </w:pPr>
      <w:r>
        <w:rPr>
          <w:b/>
          <w:bCs/>
        </w:rPr>
        <w:lastRenderedPageBreak/>
        <w:t>References</w:t>
      </w:r>
    </w:p>
    <w:p w14:paraId="36C68C7D" w14:textId="77777777" w:rsidR="00945724" w:rsidRDefault="5DDA6AB4">
      <w:pPr>
        <w:spacing w:line="480" w:lineRule="auto"/>
        <w:ind w:left="720" w:hanging="720"/>
      </w:pPr>
      <w:r>
        <w:t>Affinco. (2026). Airbnb statistics 2026: ADR, listings &amp; travel trends. https://affinco.com/airbnb-statistics/</w:t>
      </w:r>
    </w:p>
    <w:p w14:paraId="37404D4E" w14:textId="77777777" w:rsidR="00945724" w:rsidRDefault="5DDA6AB4">
      <w:pPr>
        <w:spacing w:line="480" w:lineRule="auto"/>
        <w:ind w:left="720" w:hanging="720"/>
      </w:pPr>
      <w:r>
        <w:t>Airbnb, Inc. (2018, June 27). Companies booking Airbnb for business travel more than double with nearly 700,000 using Airbnb for Work. Airbnb Newsroom. https://news.airbnb.com/airbnb-for-work-700000/</w:t>
      </w:r>
    </w:p>
    <w:p w14:paraId="7E067CF9" w14:textId="77777777" w:rsidR="00945724" w:rsidRDefault="00000000">
      <w:pPr>
        <w:spacing w:line="480" w:lineRule="auto"/>
        <w:ind w:left="720" w:hanging="720"/>
      </w:pPr>
      <w:r>
        <w:t>Airbnb, Inc. (2021). Form 10-K annual report for the fiscal year ended December 31, 2021. https://investors.airbnb.com/financials/sec-filings/default.aspx</w:t>
      </w:r>
    </w:p>
    <w:p w14:paraId="22346717" w14:textId="77777777" w:rsidR="00945724" w:rsidRDefault="5DDA6AB4">
      <w:pPr>
        <w:spacing w:line="480" w:lineRule="auto"/>
        <w:ind w:left="720" w:hanging="720"/>
      </w:pPr>
      <w:r>
        <w:t>Airbnb, Inc. (2023a). Form 10-K annual report for the fiscal year ended December 31, 2023. https://investors.airbnb.com/financials/sec-filings/default.aspx</w:t>
      </w:r>
    </w:p>
    <w:p w14:paraId="0AACD74C" w14:textId="77777777" w:rsidR="00945724" w:rsidRDefault="00000000">
      <w:pPr>
        <w:spacing w:line="480" w:lineRule="auto"/>
        <w:ind w:left="720" w:hanging="720"/>
      </w:pPr>
      <w:r>
        <w:t>Airbnb, Inc. (2023b, November 20). An update on environmental sustainability at Airbnb. Airbnb Newsroom. https://news.airbnb.com/an-update-on-environmental-sustainability-at-airbnb/</w:t>
      </w:r>
    </w:p>
    <w:p w14:paraId="0ADAED30" w14:textId="77777777" w:rsidR="00945724" w:rsidRDefault="00000000">
      <w:pPr>
        <w:spacing w:line="480" w:lineRule="auto"/>
        <w:ind w:left="720" w:hanging="720"/>
      </w:pPr>
      <w:r>
        <w:t>Airbnb, Inc. (2025, November 10). About us. Airbnb Newsroom. https://news.airbnb.com/about-us/</w:t>
      </w:r>
    </w:p>
    <w:p w14:paraId="0FC1F404" w14:textId="77777777" w:rsidR="00945724" w:rsidRDefault="00000000">
      <w:pPr>
        <w:spacing w:line="480" w:lineRule="auto"/>
        <w:ind w:left="720" w:hanging="720"/>
      </w:pPr>
      <w:r>
        <w:t>Airbnb. (2025a). Income statement: FY 2024. Airbnb Investor Relations. https://investors.airbnb.com/financials/default.aspx</w:t>
      </w:r>
    </w:p>
    <w:p w14:paraId="3EB49A9E" w14:textId="77777777" w:rsidR="00945724" w:rsidRDefault="00000000">
      <w:pPr>
        <w:spacing w:line="480" w:lineRule="auto"/>
        <w:ind w:left="720" w:hanging="720"/>
      </w:pPr>
      <w:r>
        <w:t>Airbnb. (2025b). Balance sheet and key financial ratios: FY 2024. Airbnb Investor Relations. https://investors.airbnb.com/financials/default.aspx</w:t>
      </w:r>
    </w:p>
    <w:p w14:paraId="2355850E" w14:textId="77777777" w:rsidR="00945724" w:rsidRDefault="5DDA6AB4">
      <w:pPr>
        <w:spacing w:line="480" w:lineRule="auto"/>
        <w:ind w:left="720" w:hanging="720"/>
      </w:pPr>
      <w:r>
        <w:t>Business of Apps. (2026). Airbnb revenue and usage statistics (2026). https://www.businessofapps.com/data/airbnb-statistics/</w:t>
      </w:r>
    </w:p>
    <w:p w14:paraId="2321BBEC" w14:textId="77777777" w:rsidR="00945724" w:rsidRDefault="5DDA6AB4">
      <w:pPr>
        <w:spacing w:line="480" w:lineRule="auto"/>
        <w:ind w:left="720" w:hanging="720"/>
      </w:pPr>
      <w:r>
        <w:t>DCFmodeling. (2025, November). Airbnb, Inc. (ABNB): Porter’s five forces analysis [Nov-2025 updated]. https://www.dcfmodeling.com/products/abnb-porters-five-forces-analysis</w:t>
      </w:r>
    </w:p>
    <w:p w14:paraId="3258C094" w14:textId="77777777" w:rsidR="00945724" w:rsidRDefault="00000000">
      <w:pPr>
        <w:spacing w:line="480" w:lineRule="auto"/>
        <w:ind w:left="720" w:hanging="720"/>
      </w:pPr>
      <w:r>
        <w:lastRenderedPageBreak/>
        <w:t>Grand View Research. (2024). Short-term vacation rental market size, share &amp; trends analysis report, 2025–2030. https://www.grandviewresearch.com/industry-analysis/short-term-vacation-rental-market-report</w:t>
      </w:r>
    </w:p>
    <w:p w14:paraId="77A39529" w14:textId="77777777" w:rsidR="00945724" w:rsidRDefault="00000000">
      <w:pPr>
        <w:spacing w:line="480" w:lineRule="auto"/>
        <w:ind w:left="720" w:hanging="720"/>
      </w:pPr>
      <w:r>
        <w:t>Grant, R. M. (2022). Contemporary strategy analysis. Wiley.</w:t>
      </w:r>
    </w:p>
    <w:p w14:paraId="5DE776A8" w14:textId="77777777" w:rsidR="00945724" w:rsidRDefault="00000000">
      <w:pPr>
        <w:spacing w:line="480" w:lineRule="auto"/>
        <w:ind w:left="720" w:hanging="720"/>
      </w:pPr>
      <w:r>
        <w:t>Guttentag, D. (2015). Airbnb: Disruptive innovation and the rise of an informal tourism accommodation sector. Current Issues in Tourism, 18(12), 1192–1217. https://doi.org/10.1080/13683500.2013.827159</w:t>
      </w:r>
    </w:p>
    <w:p w14:paraId="44DFACFA" w14:textId="77777777" w:rsidR="00945724" w:rsidRDefault="5DDA6AB4">
      <w:pPr>
        <w:spacing w:line="480" w:lineRule="auto"/>
        <w:ind w:left="720" w:hanging="720"/>
      </w:pPr>
      <w:r>
        <w:t>iGMS. (2025). Airbnb statistics: Revenue, rates &amp; growth trends. https://www.igms.com/airbnb-statistics/</w:t>
      </w:r>
    </w:p>
    <w:p w14:paraId="05807E27" w14:textId="77777777" w:rsidR="00945724" w:rsidRDefault="5DDA6AB4">
      <w:pPr>
        <w:spacing w:line="480" w:lineRule="auto"/>
        <w:ind w:left="720" w:hanging="720"/>
      </w:pPr>
      <w:r>
        <w:t>Mashvisor. (2025). Airbnb growth trends 2025: What investors need to know. https://www.mashvisor.com/blog/airbnb-growth-trends/</w:t>
      </w:r>
    </w:p>
    <w:p w14:paraId="1F2A1E33" w14:textId="77777777" w:rsidR="00945724" w:rsidRDefault="00000000">
      <w:pPr>
        <w:spacing w:line="480" w:lineRule="auto"/>
        <w:ind w:left="720" w:hanging="720"/>
      </w:pPr>
      <w:r>
        <w:t>Schaal, D. (2025, March 14). Short-term rentals: Airbnb’s dominance and Booking’s gains in 1 chart. Skift. https://skift.com/2025/03/14/short-term-rentals-airbnbs-dominance-and-bookings-gains-in-1-chart/</w:t>
      </w:r>
    </w:p>
    <w:p w14:paraId="283B2326" w14:textId="77777777" w:rsidR="00945724" w:rsidRDefault="5DDA6AB4">
      <w:pPr>
        <w:spacing w:line="480" w:lineRule="auto"/>
        <w:ind w:left="720" w:hanging="720"/>
      </w:pPr>
      <w:r>
        <w:t>Scott, D., Gössling, S., &amp; Hall, C. M. (2012). International tourism and climate change. Wiley Interdisciplinary Reviews: Climate Change, 3(3), 213–232. https://doi.org/10.1002/wcc.165</w:t>
      </w:r>
    </w:p>
    <w:sectPr w:rsidR="0094572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71B61" w14:textId="77777777" w:rsidR="00322548" w:rsidRDefault="00322548">
      <w:r>
        <w:separator/>
      </w:r>
    </w:p>
  </w:endnote>
  <w:endnote w:type="continuationSeparator" w:id="0">
    <w:p w14:paraId="530447AB" w14:textId="77777777" w:rsidR="00322548" w:rsidRDefault="00322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DDA6AB4" w14:paraId="764C56B4" w14:textId="77777777" w:rsidTr="5DDA6AB4">
      <w:trPr>
        <w:trHeight w:val="300"/>
      </w:trPr>
      <w:tc>
        <w:tcPr>
          <w:tcW w:w="3120" w:type="dxa"/>
        </w:tcPr>
        <w:p w14:paraId="0159035E" w14:textId="7237332E" w:rsidR="5DDA6AB4" w:rsidRDefault="5DDA6AB4" w:rsidP="5DDA6AB4">
          <w:pPr>
            <w:pStyle w:val="Header"/>
            <w:ind w:left="-115"/>
          </w:pPr>
        </w:p>
      </w:tc>
      <w:tc>
        <w:tcPr>
          <w:tcW w:w="3120" w:type="dxa"/>
        </w:tcPr>
        <w:p w14:paraId="3926C127" w14:textId="4533EEBC" w:rsidR="5DDA6AB4" w:rsidRDefault="5DDA6AB4" w:rsidP="5DDA6AB4">
          <w:pPr>
            <w:pStyle w:val="Header"/>
            <w:jc w:val="center"/>
          </w:pPr>
        </w:p>
      </w:tc>
      <w:tc>
        <w:tcPr>
          <w:tcW w:w="3120" w:type="dxa"/>
        </w:tcPr>
        <w:p w14:paraId="39FC749F" w14:textId="52FF1C50" w:rsidR="5DDA6AB4" w:rsidRDefault="5DDA6AB4" w:rsidP="5DDA6AB4">
          <w:pPr>
            <w:pStyle w:val="Header"/>
            <w:ind w:right="-115"/>
            <w:jc w:val="right"/>
          </w:pPr>
        </w:p>
      </w:tc>
    </w:tr>
  </w:tbl>
  <w:p w14:paraId="2957CD00" w14:textId="1054D797" w:rsidR="5DDA6AB4" w:rsidRDefault="5DDA6AB4" w:rsidP="5DDA6A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DDA6AB4" w14:paraId="36E8FF2E" w14:textId="77777777" w:rsidTr="5DDA6AB4">
      <w:trPr>
        <w:trHeight w:val="300"/>
      </w:trPr>
      <w:tc>
        <w:tcPr>
          <w:tcW w:w="3120" w:type="dxa"/>
        </w:tcPr>
        <w:p w14:paraId="3FD184CE" w14:textId="6EDFCC33" w:rsidR="5DDA6AB4" w:rsidRDefault="5DDA6AB4" w:rsidP="5DDA6AB4">
          <w:pPr>
            <w:pStyle w:val="Header"/>
            <w:ind w:left="-115"/>
          </w:pPr>
        </w:p>
      </w:tc>
      <w:tc>
        <w:tcPr>
          <w:tcW w:w="3120" w:type="dxa"/>
        </w:tcPr>
        <w:p w14:paraId="25854B70" w14:textId="5EFB15BE" w:rsidR="5DDA6AB4" w:rsidRDefault="5DDA6AB4" w:rsidP="5DDA6AB4">
          <w:pPr>
            <w:pStyle w:val="Header"/>
            <w:jc w:val="center"/>
          </w:pPr>
        </w:p>
      </w:tc>
      <w:tc>
        <w:tcPr>
          <w:tcW w:w="3120" w:type="dxa"/>
        </w:tcPr>
        <w:p w14:paraId="7EB77D7B" w14:textId="5BC34600" w:rsidR="5DDA6AB4" w:rsidRDefault="5DDA6AB4" w:rsidP="5DDA6AB4">
          <w:pPr>
            <w:pStyle w:val="Header"/>
            <w:ind w:right="-115"/>
            <w:jc w:val="right"/>
          </w:pPr>
        </w:p>
      </w:tc>
    </w:tr>
  </w:tbl>
  <w:p w14:paraId="3C5B8D13" w14:textId="7B432B40" w:rsidR="5DDA6AB4" w:rsidRDefault="5DDA6AB4" w:rsidP="5DDA6A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F6544" w14:textId="77777777" w:rsidR="00322548" w:rsidRDefault="00322548">
      <w:r>
        <w:separator/>
      </w:r>
    </w:p>
  </w:footnote>
  <w:footnote w:type="continuationSeparator" w:id="0">
    <w:p w14:paraId="5CB64360" w14:textId="77777777" w:rsidR="00322548" w:rsidRDefault="00322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644CB99E" w:rsidR="00945724" w:rsidRDefault="00000000">
    <w:pPr>
      <w:jc w:val="right"/>
    </w:pPr>
    <w:r>
      <w:fldChar w:fldCharType="begin"/>
    </w:r>
    <w:r>
      <w:instrText>PAGE</w:instrText>
    </w:r>
    <w:r>
      <w:fldChar w:fldCharType="separate"/>
    </w:r>
    <w:r w:rsidR="000F577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6E79D590" w:rsidR="00945724" w:rsidRDefault="00000000">
    <w:pPr>
      <w:jc w:val="right"/>
    </w:pPr>
    <w:r>
      <w:fldChar w:fldCharType="begin"/>
    </w:r>
    <w:r>
      <w:instrText>PAGE</w:instrText>
    </w:r>
    <w:r>
      <w:fldChar w:fldCharType="separate"/>
    </w:r>
    <w:r w:rsidR="000F5771">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32363"/>
    <w:multiLevelType w:val="hybridMultilevel"/>
    <w:tmpl w:val="892AAD94"/>
    <w:lvl w:ilvl="0" w:tplc="815AD0C8">
      <w:start w:val="1"/>
      <w:numFmt w:val="bullet"/>
      <w:lvlText w:val="●"/>
      <w:lvlJc w:val="left"/>
      <w:pPr>
        <w:ind w:left="720" w:hanging="360"/>
      </w:pPr>
    </w:lvl>
    <w:lvl w:ilvl="1" w:tplc="FE1E7FFA">
      <w:start w:val="1"/>
      <w:numFmt w:val="bullet"/>
      <w:lvlText w:val="○"/>
      <w:lvlJc w:val="left"/>
      <w:pPr>
        <w:ind w:left="1440" w:hanging="360"/>
      </w:pPr>
    </w:lvl>
    <w:lvl w:ilvl="2" w:tplc="339C3710">
      <w:start w:val="1"/>
      <w:numFmt w:val="bullet"/>
      <w:lvlText w:val="■"/>
      <w:lvlJc w:val="left"/>
      <w:pPr>
        <w:ind w:left="2160" w:hanging="360"/>
      </w:pPr>
    </w:lvl>
    <w:lvl w:ilvl="3" w:tplc="B1467B1E">
      <w:start w:val="1"/>
      <w:numFmt w:val="bullet"/>
      <w:lvlText w:val="●"/>
      <w:lvlJc w:val="left"/>
      <w:pPr>
        <w:ind w:left="2880" w:hanging="360"/>
      </w:pPr>
    </w:lvl>
    <w:lvl w:ilvl="4" w:tplc="B8263328">
      <w:start w:val="1"/>
      <w:numFmt w:val="bullet"/>
      <w:lvlText w:val="○"/>
      <w:lvlJc w:val="left"/>
      <w:pPr>
        <w:ind w:left="3600" w:hanging="360"/>
      </w:pPr>
    </w:lvl>
    <w:lvl w:ilvl="5" w:tplc="FAE4A0C6">
      <w:start w:val="1"/>
      <w:numFmt w:val="bullet"/>
      <w:lvlText w:val="■"/>
      <w:lvlJc w:val="left"/>
      <w:pPr>
        <w:ind w:left="4320" w:hanging="360"/>
      </w:pPr>
    </w:lvl>
    <w:lvl w:ilvl="6" w:tplc="4F562C98">
      <w:start w:val="1"/>
      <w:numFmt w:val="bullet"/>
      <w:lvlText w:val="●"/>
      <w:lvlJc w:val="left"/>
      <w:pPr>
        <w:ind w:left="5040" w:hanging="360"/>
      </w:pPr>
    </w:lvl>
    <w:lvl w:ilvl="7" w:tplc="30DCD5BA">
      <w:start w:val="1"/>
      <w:numFmt w:val="bullet"/>
      <w:lvlText w:val="●"/>
      <w:lvlJc w:val="left"/>
      <w:pPr>
        <w:ind w:left="5760" w:hanging="360"/>
      </w:pPr>
    </w:lvl>
    <w:lvl w:ilvl="8" w:tplc="C414AE66">
      <w:start w:val="1"/>
      <w:numFmt w:val="bullet"/>
      <w:lvlText w:val="●"/>
      <w:lvlJc w:val="left"/>
      <w:pPr>
        <w:ind w:left="6480" w:hanging="360"/>
      </w:pPr>
    </w:lvl>
  </w:abstractNum>
  <w:num w:numId="1" w16cid:durableId="549658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719A7C"/>
    <w:rsid w:val="000F5771"/>
    <w:rsid w:val="00151AEA"/>
    <w:rsid w:val="001839F2"/>
    <w:rsid w:val="00195BEA"/>
    <w:rsid w:val="00322548"/>
    <w:rsid w:val="003C1AAB"/>
    <w:rsid w:val="003D5DE9"/>
    <w:rsid w:val="00552F9B"/>
    <w:rsid w:val="005B0BE7"/>
    <w:rsid w:val="005B66BA"/>
    <w:rsid w:val="006459CC"/>
    <w:rsid w:val="0069437A"/>
    <w:rsid w:val="006F61DA"/>
    <w:rsid w:val="0077499D"/>
    <w:rsid w:val="007974DF"/>
    <w:rsid w:val="0085255E"/>
    <w:rsid w:val="008B3295"/>
    <w:rsid w:val="008C1578"/>
    <w:rsid w:val="008C51A8"/>
    <w:rsid w:val="00945724"/>
    <w:rsid w:val="009E2DCA"/>
    <w:rsid w:val="00A751F3"/>
    <w:rsid w:val="00A82CAA"/>
    <w:rsid w:val="00A87855"/>
    <w:rsid w:val="00B8528D"/>
    <w:rsid w:val="00C0495E"/>
    <w:rsid w:val="00C95D4F"/>
    <w:rsid w:val="00D167A0"/>
    <w:rsid w:val="00DB4E72"/>
    <w:rsid w:val="00DC6A46"/>
    <w:rsid w:val="00E07B62"/>
    <w:rsid w:val="00E42A40"/>
    <w:rsid w:val="00F723A3"/>
    <w:rsid w:val="00FD2FDA"/>
    <w:rsid w:val="07719A7C"/>
    <w:rsid w:val="0F4380AD"/>
    <w:rsid w:val="10CF5FCF"/>
    <w:rsid w:val="13D484F4"/>
    <w:rsid w:val="18F81775"/>
    <w:rsid w:val="2C3EC35A"/>
    <w:rsid w:val="2ED6CB34"/>
    <w:rsid w:val="31645A3E"/>
    <w:rsid w:val="4CF12710"/>
    <w:rsid w:val="5690E2BC"/>
    <w:rsid w:val="5DDA6AB4"/>
    <w:rsid w:val="5E4E268F"/>
    <w:rsid w:val="6A186149"/>
    <w:rsid w:val="6AD1D7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B0F2"/>
  <w15:docId w15:val="{09718811-FFCC-49F8-8EC8-7348BE9FE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uiPriority w:val="99"/>
    <w:unhideWhenUsed/>
    <w:rsid w:val="5DDA6AB4"/>
    <w:pPr>
      <w:tabs>
        <w:tab w:val="center" w:pos="4680"/>
        <w:tab w:val="right" w:pos="9360"/>
      </w:tabs>
    </w:pPr>
  </w:style>
  <w:style w:type="paragraph" w:styleId="Footer">
    <w:name w:val="footer"/>
    <w:basedOn w:val="Normal"/>
    <w:uiPriority w:val="99"/>
    <w:unhideWhenUsed/>
    <w:rsid w:val="5DDA6AB4"/>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14</Pages>
  <Words>2877</Words>
  <Characters>18878</Characters>
  <Application>Microsoft Office Word</Application>
  <DocSecurity>0</DocSecurity>
  <Lines>393</Lines>
  <Paragraphs>152</Paragraphs>
  <ScaleCrop>false</ScaleCrop>
  <Company/>
  <LinksUpToDate>false</LinksUpToDate>
  <CharactersWithSpaces>21603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KOTADIA, Janhavi_Vrajlal</cp:lastModifiedBy>
  <cp:revision>17</cp:revision>
  <dcterms:created xsi:type="dcterms:W3CDTF">2026-02-27T05:17:00Z</dcterms:created>
  <dcterms:modified xsi:type="dcterms:W3CDTF">2026-02-27T22:39:00Z</dcterms:modified>
</cp:coreProperties>
</file>