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4163" w14:textId="3E8F0D3E" w:rsidR="00736134" w:rsidRDefault="00121F73" w:rsidP="00121F73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1. Marketing Funnel Dashboard</w:t>
      </w:r>
    </w:p>
    <w:p w14:paraId="11927A43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The sheet provides an overview of marketing campaign performance, tracking total spend, lead generation, conversion rates, cost efficiency, campaign trends over time, and channel effectiveness.</w:t>
      </w:r>
    </w:p>
    <w:p w14:paraId="48E112FA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Total campaign spend is 12,359,497.34, generating 2,240 leads at an average CPL of 5,517.63.</w:t>
      </w:r>
    </w:p>
    <w:p w14:paraId="4531985C" w14:textId="4C49BB9A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 xml:space="preserve">The overall conversion rate stands at 27.19%, meaning roughly </w:t>
      </w:r>
      <w:r>
        <w:rPr>
          <w:rFonts w:ascii="Times New Roman" w:hAnsi="Times New Roman" w:cs="Times New Roman"/>
          <w:lang w:val="en-US"/>
        </w:rPr>
        <w:t>1 in 4 prospects convert</w:t>
      </w:r>
      <w:r w:rsidRPr="00121F73">
        <w:rPr>
          <w:rFonts w:ascii="Times New Roman" w:hAnsi="Times New Roman" w:cs="Times New Roman"/>
          <w:lang w:val="en-US"/>
        </w:rPr>
        <w:t>.</w:t>
      </w:r>
    </w:p>
    <w:p w14:paraId="417A66E0" w14:textId="00F81CC5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 xml:space="preserve">In Jan 2025, </w:t>
      </w:r>
      <w:proofErr w:type="spellStart"/>
      <w:r w:rsidRPr="00121F73">
        <w:rPr>
          <w:rFonts w:ascii="Times New Roman" w:hAnsi="Times New Roman" w:cs="Times New Roman"/>
          <w:lang w:val="en-US"/>
        </w:rPr>
        <w:t>NovaEdge</w:t>
      </w:r>
      <w:proofErr w:type="spellEnd"/>
      <w:r w:rsidRPr="00121F73">
        <w:rPr>
          <w:rFonts w:ascii="Times New Roman" w:hAnsi="Times New Roman" w:cs="Times New Roman"/>
          <w:lang w:val="en-US"/>
        </w:rPr>
        <w:t xml:space="preserve"> Awareness surged 44.44% (from 9 to 13 leads), while Year-End Accelerator dropped 66.67% (</w:t>
      </w:r>
      <w:r>
        <w:rPr>
          <w:rFonts w:ascii="Times New Roman" w:hAnsi="Times New Roman" w:cs="Times New Roman"/>
          <w:lang w:val="en-US"/>
        </w:rPr>
        <w:t xml:space="preserve">from </w:t>
      </w:r>
      <w:r w:rsidRPr="00121F73">
        <w:rPr>
          <w:rFonts w:ascii="Times New Roman" w:hAnsi="Times New Roman" w:cs="Times New Roman"/>
          <w:lang w:val="en-US"/>
        </w:rPr>
        <w:t>14 leads).</w:t>
      </w:r>
    </w:p>
    <w:p w14:paraId="5DB2041A" w14:textId="4B7FC696" w:rsid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Direct Mail is the most effective channel</w:t>
      </w:r>
      <w:r>
        <w:rPr>
          <w:rFonts w:ascii="Times New Roman" w:hAnsi="Times New Roman" w:cs="Times New Roman"/>
          <w:lang w:val="en-US"/>
        </w:rPr>
        <w:t>,</w:t>
      </w:r>
      <w:r w:rsidRPr="00121F73">
        <w:rPr>
          <w:rFonts w:ascii="Times New Roman" w:hAnsi="Times New Roman" w:cs="Times New Roman"/>
          <w:lang w:val="en-US"/>
        </w:rPr>
        <w:t xml:space="preserve"> with the highest average </w:t>
      </w:r>
      <w:proofErr w:type="spellStart"/>
      <w:r w:rsidRPr="00121F73">
        <w:rPr>
          <w:rFonts w:ascii="Times New Roman" w:hAnsi="Times New Roman" w:cs="Times New Roman"/>
          <w:lang w:val="en-US"/>
        </w:rPr>
        <w:t>campaign_response</w:t>
      </w:r>
      <w:proofErr w:type="spellEnd"/>
      <w:r w:rsidRPr="00121F73">
        <w:rPr>
          <w:rFonts w:ascii="Times New Roman" w:hAnsi="Times New Roman" w:cs="Times New Roman"/>
          <w:lang w:val="en-US"/>
        </w:rPr>
        <w:t xml:space="preserve"> of 0.53, outperforming Paid Social </w:t>
      </w:r>
      <w:r>
        <w:rPr>
          <w:rFonts w:ascii="Times New Roman" w:hAnsi="Times New Roman" w:cs="Times New Roman"/>
          <w:lang w:val="en-US"/>
        </w:rPr>
        <w:t>(0.4) and Partner Referral (0.34)</w:t>
      </w:r>
      <w:r w:rsidRPr="00121F73">
        <w:rPr>
          <w:rFonts w:ascii="Times New Roman" w:hAnsi="Times New Roman" w:cs="Times New Roman"/>
          <w:lang w:val="en-US"/>
        </w:rPr>
        <w:t>.</w:t>
      </w:r>
    </w:p>
    <w:p w14:paraId="17A20D91" w14:textId="77777777" w:rsid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</w:p>
    <w:p w14:paraId="76D7DF2F" w14:textId="4E3200DC" w:rsidR="00121F73" w:rsidRDefault="00121F73" w:rsidP="00121F73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2. Sales Pipeline Dashboard</w:t>
      </w:r>
    </w:p>
    <w:p w14:paraId="3C7963EB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The sheet provides an overview of sales pipeline performance, covering total pipeline value, win rate, average closing time, and revenue distribution across customer segments.</w:t>
      </w:r>
    </w:p>
    <w:p w14:paraId="14DE4CA3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The total pipeline value stands at 707,201, with a strong win rate of 63.13%, indicating effective deal conversion.</w:t>
      </w:r>
    </w:p>
    <w:p w14:paraId="2FBBDBF5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Deals take an average of 66.76 days to close, highlighting the typical sales cycle length.</w:t>
      </w:r>
    </w:p>
    <w:p w14:paraId="63DF9FA0" w14:textId="5A53F131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 xml:space="preserve">Enterprise leads </w:t>
      </w:r>
      <w:r>
        <w:rPr>
          <w:rFonts w:ascii="Times New Roman" w:hAnsi="Times New Roman" w:cs="Times New Roman"/>
          <w:lang w:val="en-US"/>
        </w:rPr>
        <w:t xml:space="preserve">generate the most </w:t>
      </w:r>
      <w:r w:rsidRPr="00121F73">
        <w:rPr>
          <w:rFonts w:ascii="Times New Roman" w:hAnsi="Times New Roman" w:cs="Times New Roman"/>
          <w:lang w:val="en-US"/>
        </w:rPr>
        <w:t>revenue with 319,423, followed by Large at 271,613, while Medium contributes just 58,192.</w:t>
      </w:r>
    </w:p>
    <w:p w14:paraId="26432EAC" w14:textId="1844D512" w:rsid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Enterprise and Large segments together dominate the pipeline, significantly outpacing the Medium segment.</w:t>
      </w:r>
    </w:p>
    <w:p w14:paraId="1C9E6DA5" w14:textId="77777777" w:rsid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</w:p>
    <w:p w14:paraId="4A272CDE" w14:textId="0B665A49" w:rsidR="00121F73" w:rsidRDefault="00121F73" w:rsidP="00121F73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3. Customer Health Dashboard</w:t>
      </w:r>
    </w:p>
    <w:p w14:paraId="2A791677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The sheet provides a comprehensive overview of customer support operations, tracking open tickets, resolution times, product area issues, at-risk accounts, and customer sentiment across the organization.</w:t>
      </w:r>
    </w:p>
    <w:p w14:paraId="2A5FEA25" w14:textId="0554A169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 xml:space="preserve">There are 59 open tickets and 68 accounts flagged "at risk," </w:t>
      </w:r>
      <w:r w:rsidR="00813D32">
        <w:rPr>
          <w:rFonts w:ascii="Times New Roman" w:hAnsi="Times New Roman" w:cs="Times New Roman"/>
          <w:lang w:val="en-US"/>
        </w:rPr>
        <w:t>signaling</w:t>
      </w:r>
      <w:r w:rsidRPr="00121F73">
        <w:rPr>
          <w:rFonts w:ascii="Times New Roman" w:hAnsi="Times New Roman" w:cs="Times New Roman"/>
          <w:lang w:val="en-US"/>
        </w:rPr>
        <w:t xml:space="preserve"> a need for proactive customer intervention.</w:t>
      </w:r>
    </w:p>
    <w:p w14:paraId="55486FAD" w14:textId="77777777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Average resolution time is 58.2 hours, with minimal variation across priority levels—low (61.02 hours), high (60.48 hours), and medium (57.07 hours)—suggesting priority classification has little impact on resolution speed.</w:t>
      </w:r>
    </w:p>
    <w:p w14:paraId="7DC34074" w14:textId="388B315D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 xml:space="preserve">Notifications </w:t>
      </w:r>
      <w:r w:rsidRPr="00121F73">
        <w:rPr>
          <w:rFonts w:ascii="Times New Roman" w:hAnsi="Times New Roman" w:cs="Times New Roman"/>
          <w:lang w:val="en-US"/>
        </w:rPr>
        <w:t>lead</w:t>
      </w:r>
      <w:r w:rsidRPr="00121F73">
        <w:rPr>
          <w:rFonts w:ascii="Times New Roman" w:hAnsi="Times New Roman" w:cs="Times New Roman"/>
          <w:lang w:val="en-US"/>
        </w:rPr>
        <w:t xml:space="preserve"> product area issues with 567 tickets, while Data Pipeline has the fewest at 289.</w:t>
      </w:r>
    </w:p>
    <w:p w14:paraId="1FF4DBDC" w14:textId="1DF4A7DB" w:rsidR="00121F73" w:rsidRPr="00121F73" w:rsidRDefault="00121F73" w:rsidP="00121F73">
      <w:pPr>
        <w:jc w:val="both"/>
        <w:rPr>
          <w:rFonts w:ascii="Times New Roman" w:hAnsi="Times New Roman" w:cs="Times New Roman"/>
          <w:lang w:val="en-US"/>
        </w:rPr>
      </w:pPr>
      <w:r w:rsidRPr="00121F73">
        <w:rPr>
          <w:rFonts w:ascii="Times New Roman" w:hAnsi="Times New Roman" w:cs="Times New Roman"/>
          <w:lang w:val="en-US"/>
        </w:rPr>
        <w:t>Customer sentiment skews concerning, with negative tickets (630) far outnumbering positive ones (288), while neutral dominates at 1,821.</w:t>
      </w:r>
    </w:p>
    <w:sectPr w:rsidR="00121F73" w:rsidRPr="00121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911"/>
    <w:rsid w:val="00121F73"/>
    <w:rsid w:val="00667FF6"/>
    <w:rsid w:val="00736134"/>
    <w:rsid w:val="00813D32"/>
    <w:rsid w:val="009A2911"/>
    <w:rsid w:val="00A06B35"/>
    <w:rsid w:val="00B6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6178"/>
  <w15:chartTrackingRefBased/>
  <w15:docId w15:val="{A01CA83E-B2A8-4F67-B73B-2200BC94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Duppala</dc:creator>
  <cp:keywords/>
  <dc:description/>
  <cp:lastModifiedBy>Rohan Duppala</cp:lastModifiedBy>
  <cp:revision>3</cp:revision>
  <dcterms:created xsi:type="dcterms:W3CDTF">2026-09-11T19:24:00Z</dcterms:created>
  <dcterms:modified xsi:type="dcterms:W3CDTF">2026-09-11T19:28:00Z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7b965678-62d0-484e-9f21-4a68f839ff10</vt:lpwstr>
  </property>
</Properties>
</file>