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>Nom</w:t>
      </w:r>
    </w:p>
    <w:p>
      <w:pPr>
        <w:pStyle w:val="En-tête, pied de page"/>
        <w:bidi w:val="0"/>
      </w:pPr>
    </w:p>
    <w:p>
      <w:pPr>
        <w:pStyle w:val="En-tête, pied de page"/>
        <w:bidi w:val="0"/>
      </w:pPr>
      <w:r>
        <w:rPr>
          <w:rtl w:val="0"/>
          <w:lang w:val="fr-FR"/>
        </w:rPr>
        <w:t xml:space="preserve">No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tudiant</w:t>
      </w:r>
    </w:p>
    <w:p>
      <w:pPr>
        <w:pStyle w:val="En-tête, pied de page"/>
        <w:bidi w:val="0"/>
      </w:pPr>
    </w:p>
    <w:p>
      <w:pPr>
        <w:pStyle w:val="Titre 2"/>
        <w:bidi w:val="0"/>
      </w:pPr>
      <w:r>
        <w:rPr>
          <w:rtl w:val="0"/>
        </w:rPr>
        <w:t>Erreurs et repr</w:t>
      </w:r>
      <w:r>
        <w:rPr>
          <w:rtl w:val="0"/>
        </w:rPr>
        <w:t>é</w:t>
      </w:r>
      <w:r>
        <w:rPr>
          <w:rtl w:val="0"/>
        </w:rPr>
        <w:t>sentations machine des nombres r</w:t>
      </w:r>
      <w:r>
        <w:rPr>
          <w:rtl w:val="0"/>
        </w:rPr>
        <w:t>é</w:t>
      </w:r>
      <w:r>
        <w:rPr>
          <w:rtl w:val="0"/>
        </w:rPr>
        <w:t>els</w:t>
      </w:r>
    </w:p>
    <w:p>
      <w:pPr>
        <w:pStyle w:val="Corps"/>
        <w:bidi w:val="0"/>
      </w:pPr>
      <w:r>
        <w:rPr>
          <w:rtl w:val="0"/>
        </w:rPr>
        <w:t>On consid</w:t>
      </w:r>
      <w:r>
        <w:rPr>
          <w:rtl w:val="0"/>
          <w:lang w:val="it-IT"/>
        </w:rPr>
        <w:t>è</w:t>
      </w:r>
      <w:r>
        <w:rPr>
          <w:rtl w:val="0"/>
        </w:rPr>
        <w:t>re la repr</w:t>
      </w:r>
      <w:r>
        <w:rPr>
          <w:rtl w:val="0"/>
        </w:rPr>
        <w:t>é</w:t>
      </w:r>
      <w:r>
        <w:rPr>
          <w:rtl w:val="0"/>
        </w:rPr>
        <w:t xml:space="preserve">sentation de nombres  en base 10 (comme si les bits pouvaient distinguer et stocker les valeurs 0, 1, 2, </w:t>
      </w:r>
      <w:r>
        <w:rPr>
          <w:rtl w:val="0"/>
        </w:rPr>
        <w:t xml:space="preserve">… </w:t>
      </w:r>
      <w:r>
        <w:rPr>
          <w:rtl w:val="0"/>
        </w:rPr>
        <w:t xml:space="preserve">ou 9), sur une architecture </w:t>
      </w:r>
      <w:r>
        <w:rPr>
          <w:rtl w:val="0"/>
        </w:rPr>
        <w:t>10 bits organis</w:t>
      </w:r>
      <w:r>
        <w:rPr>
          <w:rtl w:val="0"/>
        </w:rPr>
        <w:t>é</w:t>
      </w:r>
      <w:r>
        <w:rPr>
          <w:rtl w:val="0"/>
        </w:rPr>
        <w:t>e comme suit:</w:t>
      </w:r>
    </w:p>
    <w:tbl>
      <w:tblPr>
        <w:tblW w:w="773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4"/>
        <w:gridCol w:w="1934"/>
        <w:gridCol w:w="1934"/>
        <w:gridCol w:w="1934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« </w:t>
            </w:r>
            <w:r>
              <w:rPr>
                <w:rFonts w:ascii="Helvetica Neue" w:cs="Arial Unicode MS" w:hAnsi="Helvetica Neue" w:eastAsia="Arial Unicode MS"/>
                <w:rtl w:val="0"/>
              </w:rPr>
              <w:t>bits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 »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Signe s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Exposant e</w:t>
            </w:r>
          </w:p>
        </w:tc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Mantisse 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93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tl w:val="0"/>
        </w:rPr>
        <w:t xml:space="preserve">qui donne lieu </w:t>
      </w:r>
      <w:r>
        <w:rPr>
          <w:rtl w:val="0"/>
        </w:rPr>
        <w:t xml:space="preserve">à </w:t>
      </w:r>
      <w:r>
        <w:rPr>
          <w:rtl w:val="0"/>
        </w:rPr>
        <w:t>des nombres exprim</w:t>
      </w:r>
      <w:r>
        <w:rPr>
          <w:rtl w:val="0"/>
        </w:rPr>
        <w:t>é</w:t>
      </w:r>
      <w:r>
        <w:rPr>
          <w:rtl w:val="0"/>
        </w:rPr>
        <w:t>s sous la forme:</w:t>
      </w:r>
    </w:p>
    <w:p>
      <w:pPr>
        <w:pStyle w:val="Corps"/>
        <w:bidi w:val="0"/>
        <w:rPr>
          <w:color w:val="000000"/>
          <w:sz w:val="2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1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s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e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×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…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5</m:t>
            </m:r>
          </m:sub>
        </m:sSub>
      </m:oMath>
      <w:r>
        <w:rPr>
          <w:rtl w:val="0"/>
        </w:rPr>
        <w:t xml:space="preserve"> o</w:t>
      </w:r>
      <w:r>
        <w:rPr>
          <w:rtl w:val="0"/>
        </w:rPr>
        <w:t xml:space="preserve">ù </w:t>
      </w:r>
      <w:r>
        <w:rPr>
          <w:rtl w:val="0"/>
        </w:rPr>
        <w:t xml:space="preserve">les chiffres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d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0,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…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5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)</m:t>
        </m:r>
      </m:oMath>
      <w:r>
        <w:rPr>
          <w:rtl w:val="0"/>
        </w:rPr>
        <w:t xml:space="preserve"> forme la mantisse. Le signe est stock</w:t>
      </w:r>
      <w:r>
        <w:rPr>
          <w:rtl w:val="0"/>
        </w:rPr>
        <w:t>é</w:t>
      </w:r>
      <w:r>
        <w:rPr>
          <w:rtl w:val="0"/>
        </w:rPr>
        <w:t>e, comme pour la repr</w:t>
      </w:r>
      <w:r>
        <w:rPr>
          <w:rtl w:val="0"/>
        </w:rPr>
        <w:t>é</w:t>
      </w:r>
      <w:r>
        <w:rPr>
          <w:rtl w:val="0"/>
        </w:rPr>
        <w:t>sentation binaire, par le nombre 0 (positif) ou 1 (n</w:t>
      </w:r>
      <w:r>
        <w:rPr>
          <w:rtl w:val="0"/>
        </w:rPr>
        <w:t>é</w:t>
      </w:r>
      <w:r>
        <w:rPr>
          <w:rtl w:val="0"/>
        </w:rPr>
        <w:t>gatif). Ainsi, la repr</w:t>
      </w:r>
      <w:r>
        <w:rPr>
          <w:rtl w:val="0"/>
        </w:rPr>
        <w:t>é</w:t>
      </w:r>
      <w:r>
        <w:rPr>
          <w:rtl w:val="0"/>
        </w:rPr>
        <w:t xml:space="preserve">sentation du nombre </w:t>
      </w:r>
      <w:r>
        <w:rPr>
          <w:rtl w:val="0"/>
        </w:rPr>
        <w:t>–</w:t>
      </w:r>
      <w:r>
        <w:rPr>
          <w:rtl w:val="0"/>
        </w:rPr>
        <w:t>0,00987654 =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9,87654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×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tl w:val="0"/>
        </w:rPr>
        <w:t xml:space="preserve"> est:</w:t>
      </w:r>
    </w:p>
    <w:tbl>
      <w:tblPr>
        <w:tblW w:w="57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4"/>
        <w:gridCol w:w="1915"/>
        <w:gridCol w:w="1914"/>
      </w:tblGrid>
      <w:tr>
        <w:tblPrEx>
          <w:shd w:val="clear" w:color="auto" w:fill="bdc0bf"/>
        </w:tblPrEx>
        <w:trPr>
          <w:trHeight w:val="285" w:hRule="atLeast"/>
          <w:tblHeader/>
        </w:trPr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Signe s</w:t>
            </w:r>
          </w:p>
        </w:tc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Exposant e</w:t>
            </w:r>
          </w:p>
        </w:tc>
        <w:tc>
          <w:tcPr>
            <w:tcW w:type="dxa" w:w="1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Mantisse m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1 0 3</w:t>
            </w:r>
          </w:p>
        </w:tc>
        <w:tc>
          <w:tcPr>
            <w:tcW w:type="dxa" w:w="191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9 8 7 6 5 4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tl w:val="0"/>
        </w:rPr>
        <w:t>qu</w:t>
      </w:r>
      <w:r>
        <w:rPr>
          <w:rtl w:val="0"/>
        </w:rPr>
        <w:t>’</w:t>
      </w:r>
      <w:r>
        <w:rPr>
          <w:rtl w:val="0"/>
        </w:rPr>
        <w:t xml:space="preserve">on </w:t>
      </w:r>
      <w:r>
        <w:rPr>
          <w:rtl w:val="0"/>
        </w:rPr>
        <w:t>é</w:t>
      </w:r>
      <w:r>
        <w:rPr>
          <w:rtl w:val="0"/>
        </w:rPr>
        <w:t>crit plus implement: 1 | 002 | 123450</w:t>
        <w:tab/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Q1</w:t>
      </w:r>
      <w:r>
        <w:rPr>
          <w:rtl w:val="0"/>
        </w:rPr>
        <w:t>. La repr</w:t>
      </w:r>
      <w:r>
        <w:rPr>
          <w:rtl w:val="0"/>
        </w:rPr>
        <w:t>é</w:t>
      </w:r>
      <w:r>
        <w:rPr>
          <w:rtl w:val="0"/>
        </w:rPr>
        <w:t xml:space="preserve">sentation du nombre </w:t>
      </w:r>
      <w:r>
        <w:rPr>
          <w:rtl w:val="0"/>
        </w:rPr>
        <w:t>–</w:t>
      </w:r>
      <w:r>
        <w:rPr>
          <w:rtl w:val="0"/>
        </w:rPr>
        <w:t>9876,54 est: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1149466</wp:posOffset>
                </wp:positionV>
                <wp:extent cx="5753100" cy="487723"/>
                <wp:effectExtent l="0" t="0" r="0" b="0"/>
                <wp:wrapTopAndBottom distT="152400" distB="152400"/>
                <wp:docPr id="1073741827" name="officeArt object" descr="0 | 099 | 99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487723"/>
                          <a:chOff x="0" y="0"/>
                          <a:chExt cx="5753100" cy="487722"/>
                        </a:xfrm>
                      </wpg:grpSpPr>
                      <wps:wsp>
                        <wps:cNvPr id="1073741826" name="0 | 099 | 999999"/>
                        <wps:cNvSpPr/>
                        <wps:spPr>
                          <a:xfrm>
                            <a:off x="12700" y="12700"/>
                            <a:ext cx="5727700" cy="462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0 | 099 | 999999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5" name="0 | 099 | 999999 0 | 099 | 999999" descr="0 | 099 | 999999 0 | 099 | 999999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877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0pt;margin-top:90.5pt;width:453.0pt;height:38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487723">
                <w10:wrap type="topAndBottom" side="bothSides" anchorx="margin"/>
                <v:rect id="_x0000_s1027" style="position:absolute;left:12700;top:12700;width:5727700;height:462323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0 | 099 | 999999</w:t>
                        </w:r>
                      </w:p>
                    </w:txbxContent>
                  </v:textbox>
                </v:rect>
                <v:shape id="_x0000_s1028" type="#_x0000_t75" style="position:absolute;left:0;top:0;width:5753100;height:487723;">
                  <v:imagedata r:id="rId4" o:title=""/>
                </v:shape>
              </v:group>
            </w:pict>
          </mc:Fallback>
        </mc:AlternateContent>
      </w: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6"/>
        <w:gridCol w:w="45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a)</w:t>
              <w:tab/>
              <w:t>0 | 103 | 987654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b)</w:t>
              <w:tab/>
              <w:t>1 | 103 | 987654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</w:rPr>
              <w:t>c)</w:t>
              <w:tab/>
            </w:r>
            <w:r>
              <w:rPr>
                <w:rStyle w:val="Aucun"/>
                <w:rFonts w:cs="Arial Unicode MS" w:eastAsia="Arial Unicode MS"/>
                <w:b w:val="1"/>
                <w:bCs w:val="1"/>
                <w:outline w:val="0"/>
                <w:color w:val="b41700"/>
                <w:rtl w:val="0"/>
                <w14:textFill>
                  <w14:solidFill>
                    <w14:srgbClr w14:val="B51700"/>
                  </w14:solidFill>
                </w14:textFill>
              </w:rPr>
              <w:t>1 | 003 | 987654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d)</w:t>
              <w:tab/>
              <w:t>0 | 003 | 987654</w:t>
            </w:r>
          </w:p>
        </w:tc>
      </w:tr>
    </w:tbl>
    <w:p>
      <w:pPr>
        <w:pStyle w:val="Corps"/>
        <w:spacing w:after="6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Q2</w:t>
      </w:r>
      <w:r>
        <w:rPr>
          <w:rtl w:val="0"/>
        </w:rPr>
        <w:t>. Donnez la repr</w:t>
      </w:r>
      <w:r>
        <w:rPr>
          <w:rtl w:val="0"/>
        </w:rPr>
        <w:t>é</w:t>
      </w:r>
      <w:r>
        <w:rPr>
          <w:rtl w:val="0"/>
        </w:rPr>
        <w:t>sentation du plus grand nombre repr</w:t>
      </w:r>
      <w:r>
        <w:rPr>
          <w:rtl w:val="0"/>
        </w:rPr>
        <w:t>é</w:t>
      </w:r>
      <w:r>
        <w:rPr>
          <w:rtl w:val="0"/>
        </w:rPr>
        <w:t>sentable en machine.</w:t>
      </w:r>
    </w:p>
    <w:p>
      <w:pPr>
        <w:pStyle w:val="Corps"/>
        <w:bidi w:val="0"/>
      </w:pPr>
      <w:r>
        <w:rPr>
          <w:rtl w:val="0"/>
        </w:rPr>
        <w:t>Lorsqu</w:t>
      </w:r>
      <w:r>
        <w:rPr>
          <w:rtl w:val="0"/>
        </w:rPr>
        <w:t>’</w:t>
      </w:r>
      <w:r>
        <w:rPr>
          <w:rtl w:val="0"/>
        </w:rPr>
        <w:t>un utilisateur entre au clavier un nombre, on stocke en machine un nombre qui permet de prendre en compte le plus grand nombre possible de d</w:t>
      </w:r>
      <w:r>
        <w:rPr>
          <w:rtl w:val="0"/>
        </w:rPr>
        <w:t>é</w:t>
      </w:r>
      <w:r>
        <w:rPr>
          <w:rtl w:val="0"/>
        </w:rPr>
        <w:t xml:space="preserve">cimales. Ainsi, si on entre au clavier l nombre 987654000, il peut </w:t>
      </w:r>
      <w:r>
        <w:rPr>
          <w:rtl w:val="0"/>
        </w:rPr>
        <w:t>ê</w:t>
      </w:r>
      <w:r>
        <w:rPr>
          <w:rtl w:val="0"/>
        </w:rPr>
        <w:t>tre stock</w:t>
      </w:r>
      <w:r>
        <w:rPr>
          <w:rtl w:val="0"/>
        </w:rPr>
        <w:t xml:space="preserve">é </w:t>
      </w:r>
      <w:r>
        <w:rPr>
          <w:rtl w:val="0"/>
        </w:rPr>
        <w:t>sans probl</w:t>
      </w:r>
      <w:r>
        <w:rPr>
          <w:rtl w:val="0"/>
        </w:rPr>
        <w:t>è</w:t>
      </w:r>
      <w:r>
        <w:rPr>
          <w:rtl w:val="0"/>
        </w:rPr>
        <w:t>me et sans erreur.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Q3</w:t>
      </w:r>
      <w:r>
        <w:rPr>
          <w:rtl w:val="0"/>
        </w:rPr>
        <w:t xml:space="preserve">. </w:t>
      </w:r>
      <w:r>
        <w:rPr>
          <w:rtl w:val="0"/>
        </w:rPr>
        <w:t xml:space="preserve">En revanche, le nombre </w:t>
      </w:r>
      <w:r>
        <w:rPr>
          <w:rtl w:val="0"/>
        </w:rPr>
        <w:t>987654</w:t>
      </w:r>
      <w:r>
        <w:rPr>
          <w:rtl w:val="0"/>
        </w:rPr>
        <w:t>,</w:t>
      </w:r>
      <w:r>
        <w:rPr>
          <w:rtl w:val="0"/>
        </w:rPr>
        <w:t>3</w:t>
      </w:r>
      <w:r>
        <w:rPr>
          <w:rtl w:val="0"/>
        </w:rPr>
        <w:t xml:space="preserve"> ne pourra </w:t>
      </w:r>
      <w:r>
        <w:rPr>
          <w:rtl w:val="0"/>
        </w:rPr>
        <w:t>ê</w:t>
      </w:r>
      <w:r>
        <w:rPr>
          <w:rtl w:val="0"/>
          <w:lang w:val="it-IT"/>
        </w:rPr>
        <w:t>tre stock</w:t>
      </w:r>
      <w:r>
        <w:rPr>
          <w:rtl w:val="0"/>
        </w:rPr>
        <w:t xml:space="preserve">é </w:t>
      </w:r>
      <w:r>
        <w:rPr>
          <w:rtl w:val="0"/>
        </w:rPr>
        <w:t>et il faudra laisser tomber le chiffre apr</w:t>
      </w:r>
      <w:r>
        <w:rPr>
          <w:rtl w:val="0"/>
          <w:lang w:val="it-IT"/>
        </w:rPr>
        <w:t>è</w:t>
      </w:r>
      <w:r>
        <w:rPr>
          <w:rtl w:val="0"/>
        </w:rPr>
        <w:t xml:space="preserve">s la virgule. </w:t>
      </w:r>
      <w:r>
        <w:rPr>
          <w:rtl w:val="0"/>
        </w:rPr>
        <w:t>Pourquoi est-ce ainsi ?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line">
                  <wp:posOffset>198128</wp:posOffset>
                </wp:positionV>
                <wp:extent cx="5753100" cy="1032077"/>
                <wp:effectExtent l="0" t="0" r="0" b="0"/>
                <wp:wrapTopAndBottom distT="152400" distB="152400"/>
                <wp:docPr id="1073741830" name="officeArt object" descr="La mantisse ne peut stocker que 6 chiffres, il faudra laisser tomber le chiffre 5 (à droite, après la virgule)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032077"/>
                          <a:chOff x="0" y="0"/>
                          <a:chExt cx="5753100" cy="1032076"/>
                        </a:xfrm>
                      </wpg:grpSpPr>
                      <wps:wsp>
                        <wps:cNvPr id="1073741829" name="La mantisse ne peut stocker que 6 chiffres, il faudra laisser tomber le chiffre 5 (à droite, après la virgule)."/>
                        <wps:cNvSpPr/>
                        <wps:spPr>
                          <a:xfrm>
                            <a:off x="12700" y="12700"/>
                            <a:ext cx="5727700" cy="1006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  <w:jc w:val="left"/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La mantisse ne peut stocker que 6 chiffres, il faudra laisser tomber le chiffre 5 (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à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droite, apr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 la virgule).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8" name="La mantisse ne peut stocker que 6 chiffres, il faudra laisser tomber le chiffre 5 (à droite, après la virgule). La mantisse ne peut stocker que 6 chiffres, il faudra laisser tomber le chiffre 5 (à droite, après la virgule)." descr="La mantisse ne peut stocker que 6 chiffres, il faudra laisser tomber le chiffre 5 (à droite, après la virgule). La mantisse ne peut stocker que 6 chiffres, il faudra laisser tomber le chiffre 5 (à droite, après la virgule).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0320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.1pt;margin-top:15.6pt;width:453.0pt;height:81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032076">
                <w10:wrap type="topAndBottom" side="bothSides" anchorx="margin"/>
                <v:rect id="_x0000_s1030" style="position:absolute;left:12700;top:12700;width:5727700;height:1006676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  <w:jc w:val="left"/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La mantisse ne peut stocker que 6 chiffres, il faudra laisser tomber le chiffre 5 (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à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droite, apr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 la virgule).</w:t>
                        </w:r>
                      </w:p>
                    </w:txbxContent>
                  </v:textbox>
                </v:rect>
                <v:shape id="_x0000_s1031" type="#_x0000_t75" style="position:absolute;left:0;top:0;width:5753100;height:1032076;">
                  <v:imagedata r:id="rId5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Q4</w:t>
      </w:r>
      <w:r>
        <w:rPr>
          <w:rtl w:val="0"/>
        </w:rPr>
        <w:t xml:space="preserve">. </w:t>
      </w:r>
      <w:r>
        <w:rPr>
          <w:rtl w:val="0"/>
        </w:rPr>
        <w:t>Pourquoi le r</w:t>
      </w:r>
      <w:r>
        <w:rPr>
          <w:rtl w:val="0"/>
        </w:rPr>
        <w:t>é</w:t>
      </w:r>
      <w:r>
        <w:rPr>
          <w:rtl w:val="0"/>
        </w:rPr>
        <w:t>sultat de l</w:t>
      </w:r>
      <w:r>
        <w:rPr>
          <w:rtl w:val="1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 suivante (saisi au clavier par l</w:t>
      </w:r>
      <w:r>
        <w:rPr>
          <w:rtl w:val="1"/>
        </w:rPr>
        <w:t>’</w:t>
      </w:r>
      <w:r>
        <w:rPr>
          <w:rtl w:val="0"/>
        </w:rPr>
        <w:t xml:space="preserve">utilisateur) ne peut pas </w:t>
      </w:r>
      <w:r>
        <w:rPr>
          <w:rtl w:val="0"/>
        </w:rPr>
        <w:t>ê</w:t>
      </w:r>
      <w:r>
        <w:rPr>
          <w:rtl w:val="0"/>
        </w:rPr>
        <w:t xml:space="preserve">tre juste: 987,654 </w:t>
      </w:r>
      <w:r>
        <w:rPr>
          <w:rtl w:val="0"/>
        </w:rPr>
        <w:t xml:space="preserve">– </w:t>
      </w:r>
      <w:r>
        <w:rPr>
          <w:rtl w:val="0"/>
        </w:rPr>
        <w:t xml:space="preserve">7,6543 ? Donnez </w:t>
      </w:r>
      <w:r>
        <w:rPr>
          <w:rtl w:val="0"/>
        </w:rPr>
        <w:t>é</w:t>
      </w:r>
      <w:r>
        <w:rPr>
          <w:rtl w:val="0"/>
        </w:rPr>
        <w:t>ventuellement la repr</w:t>
      </w:r>
      <w:r>
        <w:rPr>
          <w:rtl w:val="0"/>
        </w:rPr>
        <w:t>é</w:t>
      </w:r>
      <w:r>
        <w:rPr>
          <w:rtl w:val="0"/>
        </w:rPr>
        <w:t>sentation du r</w:t>
      </w:r>
      <w:r>
        <w:rPr>
          <w:rtl w:val="0"/>
        </w:rPr>
        <w:t>é</w:t>
      </w:r>
      <w:r>
        <w:rPr>
          <w:rtl w:val="0"/>
        </w:rPr>
        <w:t>sultat, et justifiez en une phrase votre r</w:t>
      </w:r>
      <w:r>
        <w:rPr>
          <w:rtl w:val="0"/>
        </w:rPr>
        <w:t>é</w:t>
      </w:r>
      <w:r>
        <w:rPr>
          <w:rtl w:val="0"/>
          <w:lang w:val="en-US"/>
        </w:rPr>
        <w:t>ponse.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-35559</wp:posOffset>
                </wp:positionH>
                <wp:positionV relativeFrom="line">
                  <wp:posOffset>497889</wp:posOffset>
                </wp:positionV>
                <wp:extent cx="5753100" cy="1375401"/>
                <wp:effectExtent l="0" t="0" r="0" b="0"/>
                <wp:wrapTopAndBottom distT="152400" distB="152400"/>
                <wp:docPr id="1073741833" name="officeArt object" descr="L’opération nécessite d’aligner les représentations (centrées sur la virgule), ce qui exige de représenter les nombres sur plus de chiffres que les 6 chiffres de la mantisse – 7 chiffres dans le cas présenté ici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2" name="L’opération nécessite d’aligner les représentations (centrées sur la virgule), ce qui exige de représenter les nombres sur plus de chiffres que les 6 chiffres de la mantisse – 7 chiffres dans le cas présenté ici.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  <w:jc w:val="left"/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op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ration n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cessite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aligner les repr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sentations (centr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es sur la virgule), ce qui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exige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de repr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senter les nombres sur plus de chiffres que les 6 chiffres de la mantisse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– 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7 chiffres dans le cas 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sent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é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ici.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1" name="L’opération nécessite d’aligner les représentations (centrées sur la virgule), ce qui exige de représenter les nombres sur plus de chiffres que les 6 chiffres de la mantisse – 7 chiffres dans le cas présenté ici. L’opération nécessite d’aligner les repré" descr="L’opération nécessite d’aligner les représentations (centrées sur la virgule), ce qui exige de représenter les nombres sur plus de chiffres que les 6 chiffres de la mantisse – 7 chiffres dans le cas présenté ici. L’opération nécessite d’aligner les représentations (centrées sur la virgule), ce qui exige de représenter les nombres sur plus de chiffres que les 6 chiffres de la mantisse – 7 chiffres dans le cas présenté ici.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2.8pt;margin-top:39.2pt;width:453.0pt;height:108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3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  <w:jc w:val="left"/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op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ration n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cessite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aligner les repr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sentations (centr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es sur la virgule), ce qui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exige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de repr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senter les nombres sur plus de chiffres que les 6 chiffres de la mantisse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– 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7 chiffres dans le cas 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sent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é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ici.</w:t>
                        </w:r>
                      </w:p>
                    </w:txbxContent>
                  </v:textbox>
                </v:rect>
                <v:shape id="_x0000_s1034" type="#_x0000_t75" style="position:absolute;left:0;top:0;width:5753100;height:1375400;">
                  <v:imagedata r:id="rId6" o:title=""/>
                </v:shape>
              </v:group>
            </w:pict>
          </mc:Fallback>
        </mc:AlternateContent>
      </w:r>
    </w:p>
    <w:p>
      <w:pPr>
        <w:pStyle w:val="Titre 2"/>
        <w:bidi w:val="0"/>
      </w:pPr>
      <w:r>
        <w:rPr>
          <w:rtl w:val="0"/>
        </w:rPr>
        <w:t>R</w:t>
      </w:r>
      <w:r>
        <w:rPr>
          <w:rtl w:val="0"/>
        </w:rPr>
        <w:t>aisonnement d</w:t>
      </w:r>
      <w:r>
        <w:rPr>
          <w:rtl w:val="0"/>
        </w:rPr>
        <w:t>é</w:t>
      </w:r>
      <w:r>
        <w:rPr>
          <w:rtl w:val="0"/>
        </w:rPr>
        <w:t>ductif, inductif ou abductif</w:t>
      </w:r>
    </w:p>
    <w:p>
      <w:pPr>
        <w:pStyle w:val="Corps"/>
        <w:bidi w:val="0"/>
      </w:pPr>
      <w:r>
        <w:rPr>
          <w:rtl w:val="0"/>
        </w:rPr>
        <w:t>A chaque fois, indiquez s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 raisonnement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ductif, inductif </w:t>
      </w:r>
      <w:r>
        <w:rPr>
          <w:rtl w:val="0"/>
        </w:rPr>
        <w:t>ou</w:t>
      </w:r>
      <w:r>
        <w:rPr>
          <w:rtl w:val="0"/>
        </w:rPr>
        <w:t xml:space="preserve"> abductif</w:t>
      </w:r>
      <w:r>
        <w:rPr>
          <w:rtl w:val="0"/>
        </w:rPr>
        <w:t>. Justifiez en une phrase votre affirmation.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R1</w:t>
      </w:r>
      <w:r>
        <w:rPr>
          <w:rtl w:val="0"/>
        </w:rPr>
        <w:t>. Comme il</w:t>
      </w:r>
      <w:r>
        <w:rPr>
          <w:rtl w:val="0"/>
          <w:lang w:val="en-US"/>
        </w:rPr>
        <w:t xml:space="preserve"> a neig</w:t>
      </w:r>
      <w:r>
        <w:rPr>
          <w:rtl w:val="0"/>
        </w:rPr>
        <w:t xml:space="preserve">é </w:t>
      </w:r>
      <w:r>
        <w:rPr>
          <w:rtl w:val="0"/>
        </w:rPr>
        <w:t>chaque jour de l'an ces quatre derni</w:t>
      </w:r>
      <w:r>
        <w:rPr>
          <w:rtl w:val="0"/>
          <w:lang w:val="it-IT"/>
        </w:rPr>
        <w:t>è</w:t>
      </w:r>
      <w:r>
        <w:rPr>
          <w:rtl w:val="0"/>
        </w:rPr>
        <w:t>res ann</w:t>
      </w:r>
      <w:r>
        <w:rPr>
          <w:rtl w:val="0"/>
        </w:rPr>
        <w:t>é</w:t>
      </w:r>
      <w:r>
        <w:rPr>
          <w:rtl w:val="0"/>
        </w:rPr>
        <w:t>es, il neigera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-35559</wp:posOffset>
                </wp:positionH>
                <wp:positionV relativeFrom="line">
                  <wp:posOffset>403614</wp:posOffset>
                </wp:positionV>
                <wp:extent cx="5753100" cy="1375401"/>
                <wp:effectExtent l="0" t="0" r="0" b="0"/>
                <wp:wrapTopAndBottom distT="152400" distB="152400"/>
                <wp:docPr id="1073741836" name="officeArt object" descr="Ce raisonnement est inductif, il suit d’observations répétées d’un phénomène associé à une même période de l’année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5" name="Ce raisonnement est inductif, il suit d’observations répétées d’un phénomène associé à une même période de l’année.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inductif, il suit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observations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es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un ph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nom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ne associ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é à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une m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ê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me p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riode de l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ann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e.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4" name="Ce raisonnement est inductif, il suit d’observations répétées d’un phénomène associé à une même période de l’année. Ce raisonnement est inductif, il suit d’observations répétées d’un phénomène associé à une même période de l’année." descr="Ce raisonnement est inductif, il suit d’observations répétées d’un phénomène associé à une même période de l’année. Ce raisonnement est inductif, il suit d’observations répétées d’un phénomène associé à une même période de l’année.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2.8pt;margin-top:31.8pt;width:453.0pt;height:108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6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inductif, il suit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observations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es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un ph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nom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ne associ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é à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une m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ê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me p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riode de l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ann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e.</w:t>
                        </w:r>
                      </w:p>
                    </w:txbxContent>
                  </v:textbox>
                </v:rect>
                <v:shape id="_x0000_s1037" type="#_x0000_t75" style="position:absolute;left:0;top:0;width:5753100;height:1375400;">
                  <v:imagedata r:id="rId6" o:title=""/>
                </v:shape>
              </v:group>
            </w:pict>
          </mc:Fallback>
        </mc:AlternateContent>
      </w:r>
      <w:r>
        <w:rPr>
          <w:rtl w:val="0"/>
        </w:rPr>
        <w:t xml:space="preserve"> </w:t>
      </w:r>
      <w:r>
        <w:rPr>
          <w:rtl w:val="0"/>
        </w:rPr>
        <w:t xml:space="preserve">vraisemblablement </w:t>
      </w:r>
      <w:r>
        <w:rPr>
          <w:rtl w:val="0"/>
        </w:rPr>
        <w:t>le jour de l'an cette ann</w:t>
      </w:r>
      <w:r>
        <w:rPr>
          <w:rtl w:val="0"/>
        </w:rPr>
        <w:t>é</w:t>
      </w:r>
      <w:r>
        <w:rPr>
          <w:rtl w:val="0"/>
          <w:lang w:val="it-IT"/>
        </w:rPr>
        <w:t>e.</w: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R2</w:t>
      </w:r>
      <w:r>
        <w:rPr>
          <w:rtl w:val="0"/>
        </w:rPr>
        <w:t xml:space="preserve">. </w:t>
      </w:r>
      <w:r>
        <w:rPr>
          <w:rtl w:val="0"/>
        </w:rPr>
        <w:t>Soit le colonel Moutarde, soit le r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  <w:lang w:val="en-US"/>
        </w:rPr>
        <w:t>rend Green a tu</w:t>
      </w:r>
      <w:r>
        <w:rPr>
          <w:rtl w:val="0"/>
        </w:rPr>
        <w:t xml:space="preserve">é </w:t>
      </w:r>
      <w:r>
        <w:rPr>
          <w:rtl w:val="0"/>
        </w:rPr>
        <w:t>le professeur Plum. Mais celui qui s'est enfui avec Mme Blanche n'a pas tu</w:t>
      </w:r>
      <w:r>
        <w:rPr>
          <w:rtl w:val="0"/>
        </w:rPr>
        <w:t xml:space="preserve">é </w:t>
      </w:r>
      <w:r>
        <w:rPr>
          <w:rtl w:val="0"/>
        </w:rPr>
        <w:t>le professeur. Puisque le r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rend Green s'est enfui avec Mme Blanche, le colonel Moutarde a tu</w:t>
      </w:r>
      <w:r>
        <w:rPr>
          <w:rtl w:val="0"/>
        </w:rPr>
        <w:t xml:space="preserve">é </w:t>
      </w:r>
      <w:r>
        <w:rPr>
          <w:rtl w:val="0"/>
        </w:rPr>
        <w:t>le professeur Prune.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-12699</wp:posOffset>
                </wp:positionH>
                <wp:positionV relativeFrom="line">
                  <wp:posOffset>192073</wp:posOffset>
                </wp:positionV>
                <wp:extent cx="5753100" cy="1375401"/>
                <wp:effectExtent l="0" t="0" r="0" b="0"/>
                <wp:wrapTopAndBottom distT="152400" distB="152400"/>
                <wp:docPr id="1073741839" name="officeArt object" descr="Ce raisonnement est déductif. Il suit de l’application de syllogismes et de prémisses conduisant à la conclusion de manière certaine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38" name="Ce raisonnement est déductif. Il suit de l’application de syllogismes et de prémisses conduisant à la conclusion de manière certaine.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d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ductif. Il suit de l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application de syllogismes et de pr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misses conduisant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 xml:space="preserve">à 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la conclusion de mani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re certaine.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7" name="Ce raisonnement est déductif. Il suit de l’application de syllogismes et de prémisses conduisant à la conclusion de manière certaine. Ce raisonnement est déductif. Il suit de l’application de syllogismes et de prémisses conduisant à la conclusion de mani" descr="Ce raisonnement est déductif. Il suit de l’application de syllogismes et de prémisses conduisant à la conclusion de manière certaine. Ce raisonnement est déductif. Il suit de l’application de syllogismes et de prémisses conduisant à la conclusion de manière certaine.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1.0pt;margin-top:15.1pt;width:453.0pt;height:108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39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d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ductif. Il suit de l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application de syllogismes et de pr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misses conduisant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 xml:space="preserve">à 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la conclusion de mani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re certaine.</w:t>
                        </w:r>
                      </w:p>
                    </w:txbxContent>
                  </v:textbox>
                </v:rect>
                <v:shape id="_x0000_s1040" type="#_x0000_t75" style="position:absolute;left:0;top:0;width:5753100;height:1375400;">
                  <v:imagedata r:id="rId6" o:title=""/>
                </v:shape>
              </v:group>
            </w:pict>
          </mc:Fallback>
        </mc:AlternateContent>
      </w: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R3</w:t>
      </w:r>
      <w:r>
        <w:rPr>
          <w:rtl w:val="0"/>
        </w:rPr>
        <w:t xml:space="preserve">. </w:t>
      </w:r>
      <w:r>
        <w:rPr>
          <w:rtl w:val="0"/>
        </w:rPr>
        <w:t>Pourquoi Sarah est-elle si m</w:t>
      </w:r>
      <w:r>
        <w:rPr>
          <w:rtl w:val="0"/>
        </w:rPr>
        <w:t>é</w:t>
      </w:r>
      <w:r>
        <w:rPr>
          <w:rtl w:val="0"/>
        </w:rPr>
        <w:t xml:space="preserve">chante avec Janice ? La seule chose </w:t>
      </w:r>
      <w:r>
        <w:rPr>
          <w:rtl w:val="0"/>
        </w:rPr>
        <w:t xml:space="preserve">à </w:t>
      </w:r>
      <w:r>
        <w:rPr>
          <w:rtl w:val="0"/>
        </w:rPr>
        <w:t>laquelle je pense, c'est qu'elle est jalouse. C'est la jalousie qui la rend m</w:t>
      </w:r>
      <w:r>
        <w:rPr>
          <w:rtl w:val="0"/>
        </w:rPr>
        <w:t>é</w:t>
      </w:r>
      <w:r>
        <w:rPr>
          <w:rtl w:val="0"/>
        </w:rPr>
        <w:t>chante.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-35560</wp:posOffset>
                </wp:positionH>
                <wp:positionV relativeFrom="line">
                  <wp:posOffset>197781</wp:posOffset>
                </wp:positionV>
                <wp:extent cx="5753100" cy="1375401"/>
                <wp:effectExtent l="0" t="0" r="0" b="0"/>
                <wp:wrapTopAndBottom distT="152400" distB="152400"/>
                <wp:docPr id="1073741842" name="officeArt object" descr="Ce raisonnement est addictif, il formule une hypothèse de causalité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75401"/>
                          <a:chOff x="0" y="0"/>
                          <a:chExt cx="5753100" cy="1375400"/>
                        </a:xfrm>
                      </wpg:grpSpPr>
                      <wps:wsp>
                        <wps:cNvPr id="1073741841" name="Ce raisonnement est addictif, il formule une hypothèse de causalité."/>
                        <wps:cNvSpPr/>
                        <wps:spPr>
                          <a:xfrm>
                            <a:off x="12700" y="12700"/>
                            <a:ext cx="5727700" cy="1350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Étiquette"/>
                                <w:tabs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</w:tabs>
                              </w:pP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Ce raisonnement est addictif, il formule une hypoth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è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se de causalit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é</w:t>
                              </w:r>
                              <w:r>
                                <w:rPr>
                                  <w:outline w:val="0"/>
                                  <w:color w:val="b41700"/>
                                  <w:rtl w:val="0"/>
                                  <w:lang w:val="fr-FR"/>
                                  <w14:textFill>
                                    <w14:solidFill>
                                      <w14:srgbClr w14:val="B51700"/>
                                    </w14:solidFill>
                                  </w14:textFill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0" name="Ce raisonnement est addictif, il formule une hypothèse de causalité. Ce raisonnement est addictif, il formule une hypothèse de causalité." descr="Ce raisonnement est addictif, il formule une hypothèse de causalité. Ce raisonnement est addictif, il formule une hypothèse de causalité.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37540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2.8pt;margin-top:15.6pt;width:453.0pt;height:108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53100,1375400">
                <w10:wrap type="topAndBottom" side="bothSides" anchorx="margin"/>
                <v:rect id="_x0000_s1042" style="position:absolute;left:12700;top:12700;width:5727700;height:1350000;">
                  <v:fill color="#FFFFFF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Étiquette"/>
                          <w:tabs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</w:tabs>
                        </w:pP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Ce raisonnement est addictif, il formule une hypoth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è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se de causalit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é</w:t>
                        </w:r>
                        <w:r>
                          <w:rPr>
                            <w:outline w:val="0"/>
                            <w:color w:val="b41700"/>
                            <w:rtl w:val="0"/>
                            <w:lang w:val="fr-FR"/>
                            <w14:textFill>
                              <w14:solidFill>
                                <w14:srgbClr w14:val="B51700"/>
                              </w14:solidFill>
                            </w14:textFill>
                          </w:rPr>
                          <w:t>.</w:t>
                        </w:r>
                      </w:p>
                    </w:txbxContent>
                  </v:textbox>
                </v:rect>
                <v:shape id="_x0000_s1043" type="#_x0000_t75" style="position:absolute;left:0;top:0;width:5753100;height:1375400;">
                  <v:imagedata r:id="rId6" o:title=""/>
                </v:shape>
              </v:group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  <w:lang w:val="de-DE"/>
      </w:rPr>
      <w:t>4TPU202U</w:t>
      <w:tab/>
      <w:tab/>
      <w:t>UE TRANSVERSE M</w:t>
    </w:r>
    <w:r>
      <w:rPr>
        <w:rtl w:val="0"/>
        <w:lang w:val="fr-FR"/>
      </w:rPr>
      <w:t>é</w:t>
    </w:r>
    <w:r>
      <w:rPr>
        <w:rtl w:val="0"/>
        <w:lang w:val="fr-FR"/>
      </w:rPr>
      <w:t>thodo S2 scientifique</w:t>
    </w:r>
  </w:p>
  <w:p>
    <w:pPr>
      <w:pStyle w:val="En-tête, pied de page"/>
      <w:tabs>
        <w:tab w:val="center" w:pos="4510"/>
        <w:tab w:val="right" w:pos="9020"/>
      </w:tabs>
      <w:jc w:val="left"/>
    </w:pPr>
  </w:p>
  <w:p>
    <w:pPr>
      <w:pStyle w:val="En-tête, pied de page"/>
      <w:tabs>
        <w:tab w:val="center" w:pos="4510"/>
        <w:tab w:val="right" w:pos="9020"/>
      </w:tabs>
      <w:jc w:val="left"/>
    </w:pPr>
    <w:r>
      <w:rPr>
        <w:rtl w:val="0"/>
      </w:rPr>
      <w:tab/>
      <w:tab/>
      <w:t>Contr</w:t>
    </w:r>
    <w:r>
      <w:rPr>
        <w:rtl w:val="0"/>
      </w:rPr>
      <w:t>ô</w:t>
    </w:r>
    <w:r>
      <w:rPr>
        <w:rtl w:val="0"/>
        <w:lang w:val="fr-FR"/>
      </w:rPr>
      <w:t>le du 28/02/2022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80" w:line="264" w:lineRule="auto"/>
      <w:ind w:left="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29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