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</w:pPr>
      <w:r>
        <w:rPr>
          <w:b/>
          <w:color w:val="197C80"/>
          <w:sz w:val="18"/>
        </w:rPr>
        <w:t>RESEARCH REPORT</w:t>
      </w:r>
    </w:p>
    <w:p>
      <w:pPr>
        <w:pStyle w:val="Title"/>
        <w:spacing w:after="240"/>
      </w:pPr>
      <w:r>
        <w:t>Benchmarking Protein Language Model Scores for Classifying ClinVar Missense Variants Under Gene-Disjoint Evaluation</w:t>
      </w:r>
    </w:p>
    <w:p>
      <w:pPr>
        <w:spacing w:after="60"/>
      </w:pPr>
      <w:r>
        <w:rPr>
          <w:b/>
          <w:color w:val="17324D"/>
          <w:sz w:val="24"/>
        </w:rPr>
        <w:t>Rohan Ghosh Dastidar</w:t>
      </w:r>
    </w:p>
    <w:p>
      <w:pPr>
        <w:spacing w:after="60"/>
      </w:pPr>
      <w:r>
        <w:rPr>
          <w:i/>
          <w:color w:val="5C6770"/>
          <w:sz w:val="19"/>
        </w:rPr>
        <w:t>Department of Biotechnology, Indian Institute of Technology Kharagpur, India</w:t>
      </w:r>
    </w:p>
    <w:p>
      <w:pPr>
        <w:spacing w:after="360"/>
      </w:pPr>
      <w:r>
        <w:rPr>
          <w:color w:val="197C80"/>
          <w:sz w:val="18"/>
        </w:rPr>
        <w:t>23 October 2026</w:t>
      </w:r>
    </w:p>
    <w:p>
      <w:pPr>
        <w:spacing w:after="280"/>
        <w:pBdr>
          <w:bottom w:val="single" w:sz="18" w:space="1" w:color="197C80"/>
        </w:pBdr>
      </w:pPr>
    </w:p>
    <w:p>
      <w:pPr>
        <w:pStyle w:val="Heading1"/>
      </w:pPr>
      <w:r>
        <w:t>Abstract</w:t>
      </w:r>
    </w:p>
    <w:p>
      <w:r>
        <w:t>Predicting missense variant pathogenicity is central to clinical genomics. Standard cross-validation often leaks homology and gene identity across splits, yielding over-optimistic performance estimates. We benchmarked the 650M-parameter protein language model ESM-2 against a BLOSUM62 baseline across 66,332 curated human germline missense variants from ClinVar (38.0% pathogenic/likely pathogenic) using 5-fold gene-disjoint cross-validation. Each variant was matched against its annotated transcript; transcript-isoform recovery salvaged 4,431 variants that mismatched canonical UniProt sequences, and proteins exceeding the 1,022-residue context window were evaluated via centered sliding windows. An alignment-free ESM-2 zero-shot masked-marginal log-likelihood ratio achieved a mean test AUROC of 0.901 (95% bootstrap CI: 0.892–0.909) and PR-AUC of 0.875, substantially outperforming BLOSUM62 (AUROC 0.663). A regularized linear probe trained on 1,280-dimensional ESM-2 embedding differences (h_mut − h_wt), with inverse regularization strength C chosen via nested grouped cross-validation, matched zero-shot AUROC (0.901) but showed a marginal decrease in PR-AUC (0.866; paired difference: 0.009, 95% CI: 0.003–0.015). Performance was invariant to strict 30% and 50% sequence-identity cluster splits (MMseqs2) and did not degrade on windowed long proteins. Unsupervised zero-shot scoring matches supervised embedding probes while avoiding training, label noise, and cross-gene overfitting.</w:t>
      </w:r>
    </w:p>
    <w:p>
      <w:pPr>
        <w:pStyle w:val="Heading1"/>
      </w:pPr>
      <w:r>
        <w:t>1. Introduction &amp; Motivation</w:t>
      </w:r>
    </w:p>
    <w:p>
      <w:r>
        <w:t>Computational prediction of missense variant pathogenicity (ACMG/AMP criteria) guides clinical variant interpretation, particularly for variants of uncertain significance (VUS). Classical methods rely heavily on multiple sequence alignments (MSAs; e.g., SIFT) or hand-engineered integrative features (PolyPhen-2, CADD). In contrast, self-supervised protein language models (pLMs) such as ESM-2 model evolutionary sequence space directly from unaligned databases (UniRef). Their masked language modeling objectives capture epistatic constraints, solvent accessibility, and structural tolerance without requiring custom homologous alignments at inference.</w:t>
      </w:r>
    </w:p>
    <w:p>
      <w:r>
        <w:t>Variant effect benchmarks often suffer from two methodological flaws:</w:t>
      </w:r>
    </w:p>
    <w:p>
      <w:r>
        <w:t xml:space="preserve">1. </w:t>
      </w:r>
      <w:r>
        <w:rPr>
          <w:b/>
        </w:rPr>
        <w:t>Homology and Gene Leakage:</w:t>
      </w:r>
      <w:r>
        <w:t xml:space="preserve"> Random train/test splits place variants from the same gene into both training and evaluation folds. Models learn gene-specific annotations rather than transferrable biophysical constraints, producing artificially inflated metrics that fail out-of-domain.</w:t>
      </w:r>
    </w:p>
    <w:p>
      <w:r>
        <w:t xml:space="preserve">2. </w:t>
      </w:r>
      <w:r>
        <w:rPr>
          <w:b/>
        </w:rPr>
        <w:t>Selection &amp; Isoform Bias:</w:t>
      </w:r>
      <w:r>
        <w:t xml:space="preserve"> Truncating or dropping proteins exceeding context limits (e.g., 1,024 tokens) and discarding variants with transcript-to-canonical coordinate mismatches biases benchmark datasets toward short, well-behaved proteins, skewing baseline pathogenicity rates.</w:t>
      </w:r>
    </w:p>
    <w:p>
      <w:r>
        <w:t>This study evaluates how well ESM-2 zero-shot log-likelihood ratios and a supervised regularized linear probe separate pathogenic from benign ClinVar variants under strict gene-disjoint and homology-clustered evaluations, benchmarking them against a BLOSUM62 substitution baseline.</w:t>
      </w:r>
    </w:p>
    <w:p>
      <w:pPr>
        <w:pStyle w:val="Heading1"/>
      </w:pPr>
      <w:r>
        <w:t>2. Methods</w:t>
      </w:r>
    </w:p>
    <w:p>
      <w:pPr>
        <w:pStyle w:val="Heading2"/>
      </w:pPr>
      <w:r>
        <w:t>2.1 Dataset Ingestion and Transcript-Level Recovery</w:t>
      </w:r>
    </w:p>
    <w:p>
      <w:r>
        <w:t xml:space="preserve">Data was extracted from the ClinVar </w:t>
      </w:r>
      <w:r>
        <w:rPr>
          <w:rFonts w:ascii="Consolas" w:hAnsi="Consolas"/>
          <w:sz w:val="17"/>
        </w:rPr>
        <w:t>variant_summary.txt.gz</w:t>
      </w:r>
      <w:r>
        <w:t xml:space="preserve"> release (GRCh38). High-confidence germline single-nucleotide missense variants were retained by filtering for </w:t>
      </w:r>
      <w:r>
        <w:rPr>
          <w:rFonts w:ascii="Consolas" w:hAnsi="Consolas"/>
          <w:sz w:val="17"/>
        </w:rPr>
        <w:t>ReviewStatus</w:t>
      </w:r>
      <w:r>
        <w:t xml:space="preserve"> ≥ 2 stars (“multiple submitters”, “expert panel”, or “practice guideline”, excluding conflicting interpretations) and unambiguous binary labels (</w:t>
      </w:r>
      <w:r>
        <w:rPr>
          <w:rFonts w:ascii="Consolas" w:hAnsi="Consolas"/>
          <w:sz w:val="17"/>
        </w:rPr>
        <w:t>Pathogenic</w:t>
      </w:r>
      <w:r>
        <w:t>/</w:t>
      </w:r>
      <w:r>
        <w:rPr>
          <w:rFonts w:ascii="Consolas" w:hAnsi="Consolas"/>
          <w:sz w:val="17"/>
        </w:rPr>
        <w:t>Likely pathogenic</w:t>
      </w:r>
      <w:r>
        <w:t xml:space="preserve"> = 1; </w:t>
      </w:r>
      <w:r>
        <w:rPr>
          <w:rFonts w:ascii="Consolas" w:hAnsi="Consolas"/>
          <w:sz w:val="17"/>
        </w:rPr>
        <w:t>Benign</w:t>
      </w:r>
      <w:r>
        <w:t>/</w:t>
      </w:r>
      <w:r>
        <w:rPr>
          <w:rFonts w:ascii="Consolas" w:hAnsi="Consolas"/>
          <w:sz w:val="17"/>
        </w:rPr>
        <w:t>Likely benign</w:t>
      </w:r>
      <w:r>
        <w:t xml:space="preserve"> = 0).</w:t>
      </w:r>
    </w:p>
    <w:p>
      <w:r>
        <w:t>To prevent coordinate truncation:</w:t>
      </w:r>
    </w:p>
    <w:p>
      <w:r>
        <w:t xml:space="preserve">• </w:t>
      </w:r>
      <w:r>
        <w:rPr>
          <w:b/>
        </w:rPr>
        <w:t>UniProt Mapping:</w:t>
      </w:r>
      <w:r>
        <w:t xml:space="preserve"> Canonical human sequences were fetched from UniProtKB (organism 9606).</w:t>
      </w:r>
    </w:p>
    <w:p>
      <w:r>
        <w:t xml:space="preserve">• </w:t>
      </w:r>
      <w:r>
        <w:rPr>
          <w:b/>
        </w:rPr>
        <w:t>RefSeq Recovery:</w:t>
      </w:r>
      <w:r>
        <w:t xml:space="preserve"> For variants failing UniProt wild-type residue verification (4,198 residue mismatches and 233 out-of-bounds positions caused by alternative splicing), the cited RefSeq transcript (</w:t>
      </w:r>
      <w:r>
        <w:rPr>
          <w:rFonts w:ascii="Consolas" w:hAnsi="Consolas"/>
          <w:sz w:val="17"/>
        </w:rPr>
        <w:t>NM_</w:t>
      </w:r>
      <w:r>
        <w:t xml:space="preserve"> accession) was pulled via the NCBI Entrez API. All 4,431 failing variants matched their cited transcript CDS translation exactly and were retained.</w:t>
      </w:r>
    </w:p>
    <w:p>
      <w:r>
        <w:t xml:space="preserve">• </w:t>
      </w:r>
      <w:r>
        <w:rPr>
          <w:b/>
        </w:rPr>
        <w:t>Context Windowing:</w:t>
      </w:r>
      <w:r>
        <w:t xml:space="preserve"> For proteins exceeding ESM-2’s maximum context (L &gt; 1,022 amino acids), a 1,022-residue window centered on the mutated position was extracted, shifting boundaries near the protein termini.</w:t>
      </w:r>
    </w:p>
    <w:p>
      <w:r>
        <w:t xml:space="preserve">The final benchmark comprises </w:t>
      </w:r>
      <w:r>
        <w:rPr>
          <w:b/>
        </w:rPr>
        <w:t>66,332 missense variants</w:t>
      </w:r>
      <w:r>
        <w:t xml:space="preserve"> across 7,339 genes, preserving an authentic 38.0% positive rate (Table 1).</w:t>
      </w:r>
    </w:p>
    <w:p>
      <w:pPr>
        <w:pStyle w:val="Heading3"/>
      </w:pPr>
      <w:r>
        <w:t>Dataset processing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E0E5"/>
          <w:left w:val="single" w:sz="4" w:space="0" w:color="D6E0E5"/>
          <w:bottom w:val="single" w:sz="4" w:space="0" w:color="D6E0E5"/>
          <w:right w:val="single" w:sz="4" w:space="0" w:color="D6E0E5"/>
          <w:insideH w:val="single" w:sz="4" w:space="0" w:color="D6E0E5"/>
          <w:insideV w:val="single" w:sz="4" w:space="0" w:color="D6E0E5"/>
        </w:tblBorders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Raw ClinVar SNVs (GRCh38, Germline)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97C80"/>
                <w:sz w:val="16"/>
              </w:rPr>
              <w:t>3,995,266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02A33"/>
                <w:sz w:val="16"/>
              </w:rPr>
              <w:t>Filtered by Review Status (≥2 Stars) &amp; Binary Labels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97C80"/>
                <w:sz w:val="16"/>
              </w:rPr>
              <w:t>405,149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02A33"/>
                <w:sz w:val="16"/>
              </w:rPr>
              <w:t>Missense only, single gene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97C80"/>
                <w:sz w:val="16"/>
              </w:rPr>
              <w:t>66,420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02A33"/>
                <w:sz w:val="16"/>
              </w:rPr>
              <w:t>Excluded stop-loss (−75) &amp; missing sequence (−13)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97C80"/>
                <w:sz w:val="16"/>
              </w:rPr>
              <w:t>−88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02A33"/>
                <w:sz w:val="16"/>
              </w:rPr>
              <w:t>Scored on UniProt canonical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97C80"/>
                <w:sz w:val="16"/>
              </w:rPr>
              <w:t>61,901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02A33"/>
                <w:sz w:val="16"/>
              </w:rPr>
              <w:t>Scored on RefSeq transcript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97C80"/>
                <w:sz w:val="16"/>
              </w:rPr>
              <w:t>4,431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benchmark: 66,332 variants (38.0% pathogenic)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97C80"/>
                <w:sz w:val="16"/>
              </w:rPr>
              <w:t>66,332</w:t>
            </w:r>
          </w:p>
        </w:tc>
      </w:tr>
    </w:tbl>
    <w:p>
      <w:pPr>
        <w:spacing w:after="20"/>
      </w:pPr>
    </w:p>
    <w:p>
      <w:pPr>
        <w:pStyle w:val="Heading2"/>
      </w:pPr>
      <w:r>
        <w:t>2.2 Model Representations and Scoring</w:t>
      </w:r>
    </w:p>
    <w:p>
      <w:r>
        <w:t xml:space="preserve">• </w:t>
      </w:r>
      <w:r>
        <w:rPr>
          <w:b/>
        </w:rPr>
        <w:t>Zero-Shot Masked-Marginal Log-Odds:</w:t>
      </w:r>
      <w:r>
        <w:t xml:space="preserve"> Evaluated on </w:t>
      </w:r>
      <w:r>
        <w:rPr>
          <w:rFonts w:ascii="Consolas" w:hAnsi="Consolas"/>
          <w:sz w:val="17"/>
        </w:rPr>
        <w:t>facebook/esm2_t33_650M_UR50D</w:t>
      </w:r>
      <w:r>
        <w:t xml:space="preserve"> in FP16. Wild-type sequence windows were masked at variant position p. The zero-shot score is:</w:t>
      </w:r>
    </w:p>
    <w:p>
      <w:pPr>
        <w:spacing w:before="60" w:after="140"/>
        <w:jc w:val="center"/>
      </w:pPr>
      <w:r>
        <w:rPr>
          <w:rFonts w:ascii="Cambria Math" w:hAnsi="Cambria Math"/>
          <w:b/>
          <w:color w:val="17324D"/>
          <w:sz w:val="22"/>
        </w:rPr>
        <w:t>Δ log P = log P(xₚ = mut | x\ₚ) − log P(xₚ = wt | x\ₚ)</w:t>
      </w:r>
    </w:p>
    <w:p>
      <w:r>
        <w:t>Negated scores (−Δ log P) serve as the predictor so that higher values indicate greater predicted pathogenicity.</w:t>
      </w:r>
    </w:p>
    <w:p>
      <w:r>
        <w:t xml:space="preserve">• </w:t>
      </w:r>
      <w:r>
        <w:rPr>
          <w:b/>
        </w:rPr>
        <w:t>Supervised Difference Embeddings:</w:t>
      </w:r>
      <w:r>
        <w:t xml:space="preserve"> Wild-type and in silico mutated sequences were passed through ESM-2. Difference vectors Δh = h_mut⁽ᵖ⁾ − h_wt⁽ᵖ⁾ ∈ ℝ¹²⁸⁰ from the final hidden layer were standardized via </w:t>
      </w:r>
      <w:r>
        <w:rPr>
          <w:rFonts w:ascii="Consolas" w:hAnsi="Consolas"/>
          <w:sz w:val="17"/>
        </w:rPr>
        <w:t>StandardScaler</w:t>
      </w:r>
      <w:r>
        <w:t>.</w:t>
      </w:r>
    </w:p>
    <w:p>
      <w:r>
        <w:t xml:space="preserve">• </w:t>
      </w:r>
      <w:r>
        <w:rPr>
          <w:b/>
        </w:rPr>
        <w:t>Baseline:</w:t>
      </w:r>
      <w:r>
        <w:t xml:space="preserve"> Negated scores from the BLOSUM62 matrix.</w:t>
      </w:r>
    </w:p>
    <w:p>
      <w:pPr>
        <w:pStyle w:val="Heading2"/>
      </w:pPr>
      <w:r>
        <w:t>2.3 Gene-Disjoint and Homology-Clustered Evaluation</w:t>
      </w:r>
    </w:p>
    <w:p>
      <w:r>
        <w:t xml:space="preserve">Generalization was assessed using 5-fold cross-validation with </w:t>
      </w:r>
      <w:r>
        <w:rPr>
          <w:rFonts w:ascii="Consolas" w:hAnsi="Consolas"/>
          <w:sz w:val="17"/>
        </w:rPr>
        <w:t>StratifiedGroupKFold</w:t>
      </w:r>
      <w:r>
        <w:t>:</w:t>
      </w:r>
    </w:p>
    <w:p>
      <w:r>
        <w:t xml:space="preserve">• </w:t>
      </w:r>
      <w:r>
        <w:rPr>
          <w:b/>
        </w:rPr>
        <w:t>Gene-Grouped:</w:t>
      </w:r>
      <w:r>
        <w:t xml:space="preserve"> Variants of the same gene were strictly constrained to either train or test folds (Genes_train ∩ Genes_test = ∅).</w:t>
      </w:r>
    </w:p>
    <w:p>
      <w:r>
        <w:t xml:space="preserve">• </w:t>
      </w:r>
      <w:r>
        <w:rPr>
          <w:b/>
        </w:rPr>
        <w:t>Homology-Grouped:</w:t>
      </w:r>
      <w:r>
        <w:t xml:space="preserve"> MMseqs2 (</w:t>
      </w:r>
      <w:r>
        <w:rPr>
          <w:rFonts w:ascii="Consolas" w:hAnsi="Consolas"/>
          <w:sz w:val="17"/>
        </w:rPr>
        <w:t>easy-cluster</w:t>
      </w:r>
      <w:r>
        <w:t>, 80% coverage) clustered proteins at 30% and 50% sequence identity. Clusters served as the grouping unit, preventing paralogous sequence leakage.</w:t>
      </w:r>
    </w:p>
    <w:p>
      <w:r>
        <w:t xml:space="preserve">• </w:t>
      </w:r>
      <w:r>
        <w:rPr>
          <w:b/>
        </w:rPr>
        <w:t>Nested Hyperparameter Tuning:</w:t>
      </w:r>
      <w:r>
        <w:t xml:space="preserve"> Within each outer training split, an inner 3-fold </w:t>
      </w:r>
      <w:r>
        <w:rPr>
          <w:rFonts w:ascii="Consolas" w:hAnsi="Consolas"/>
          <w:sz w:val="17"/>
        </w:rPr>
        <w:t>StratifiedGroupKFold</w:t>
      </w:r>
      <w:r>
        <w:t xml:space="preserve"> tuned inverse regularization strength C ∈ {10⁻⁵, 10⁻⁴, 3×10⁻⁴, 10⁻³, 3×10⁻³, 10⁻², 10⁻¹} for balanced L₂-regularized Logistic Regression. Test genes were isolated from both preprocessing and model selection.</w:t>
      </w:r>
    </w:p>
    <w:p>
      <w:r>
        <w:t xml:space="preserve">• </w:t>
      </w:r>
      <w:r>
        <w:rPr>
          <w:b/>
        </w:rPr>
        <w:t>Statistical Uncertainty:</w:t>
      </w:r>
      <w:r>
        <w:t xml:space="preserve"> Confidence intervals (95%) were estimated via 1,000 cluster/gene-level bootstrap resamples over paired test folds.</w:t>
      </w:r>
    </w:p>
    <w:p>
      <w:pPr>
        <w:pStyle w:val="Heading1"/>
      </w:pPr>
      <w:r>
        <w:t>3. Results</w:t>
      </w:r>
    </w:p>
    <w:p>
      <w:pPr>
        <w:pStyle w:val="Heading2"/>
      </w:pPr>
      <w:r>
        <w:t>3.1 Main Benchmark Comparison</w:t>
      </w:r>
    </w:p>
    <w:p>
      <w:r>
        <w:t>Under 5-fold gene-disjoint evaluation, ESM-2 zero-shot log-likelihood ratios and the tuned supervised linear probe achieved identical discrimination, reaching an AUROC of 0.901 compared to 0.663 for BLOSUM62 (Table 1).</w:t>
      </w:r>
    </w:p>
    <w:p>
      <w:pPr>
        <w:pStyle w:val="FigureCaption"/>
      </w:pPr>
      <w:r>
        <w:t>Table 1. 5-fold gene-disjoint performance across 66,332 ClinVar missense variants (base positive rate = 0.380). Bootstrap CIs (95%) derived from 1,000 gene-level resamples.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E0E5"/>
          <w:left w:val="single" w:sz="4" w:space="0" w:color="D6E0E5"/>
          <w:bottom w:val="single" w:sz="4" w:space="0" w:color="D6E0E5"/>
          <w:right w:val="single" w:sz="4" w:space="0" w:color="D6E0E5"/>
          <w:insideH w:val="single" w:sz="4" w:space="0" w:color="D6E0E5"/>
          <w:insideV w:val="single" w:sz="4" w:space="0" w:color="D6E0E5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Predictor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AUROC (Mean ± SD)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AUROC 95% CI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PR-AUC (Mean ± SD)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PR-AUC 95% CI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5"/>
              </w:rPr>
              <w:t>BLOSUM62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0.663 ± 0.005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0.654–0.672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0.504 ± 0.038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5"/>
              </w:rPr>
              <w:t>ESM-2 Zero-Shot (−Δ log P)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0.901 ± 0.007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0.892–0.909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0.875 ± 0.013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0.857–0.890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5"/>
              </w:rPr>
              <w:t>ESM-2 Embedding + LogReg (C = 0.001)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0.901 ± 0.006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0.893–0.907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0.866 ± 0.014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0.847–0.880</w:t>
            </w:r>
          </w:p>
        </w:tc>
      </w:tr>
    </w:tbl>
    <w:p>
      <w:pPr>
        <w:spacing w:after="20"/>
      </w:pPr>
    </w:p>
    <w:p>
      <w:r>
        <w:t>While AUROC was tied (paired difference: 0.0008, 95% CI: −0.0027 to 0.0042), the zero-shot score demonstrated a small but statistically significant lead in PR-AUC (+0.009, 95% CI: 0.003–0.015), outperforming the supervised probe in all 1,000 bootstrap iterations. Nested cross-validation converged on C = 0.001 across all five outer folds, demonstrating that heavy regularization was required to prevent the 1,280 features from overfitting gene-specific training noise.</w:t>
      </w:r>
    </w:p>
    <w:p>
      <w:pPr>
        <w:pStyle w:val="Heading2"/>
      </w:pPr>
      <w:r>
        <w:t>3.2 Invariance to Sequence Length and Windowing</w:t>
      </w:r>
    </w:p>
    <w:p>
      <w:r>
        <w:t>Evaluating variants partitioned by sequence length confirmed that sliding context windows did not compromise performance (Table 2). Proteins longer than 1,022 residues achieved an AUROC of 0.910. The lower PR-AUC in this windowed cohort (0.851 vs. 0.888) is driven by class balance: long structural proteins (e.g., TTN) contribute disproportionately more benign entries, lowering the base positive rate to 0.270. Relative to random baseline, zero-shot PR-AUC showed a 3.15-fold enrichment on windowed proteins versus 1.88-fold on full-length sequences.</w:t>
      </w:r>
    </w:p>
    <w:p>
      <w:pPr>
        <w:pStyle w:val="FigureCaption"/>
      </w:pPr>
      <w:r>
        <w:t>Table 2. Performance breakdown by sequence length under zero-shot scoring.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E0E5"/>
          <w:left w:val="single" w:sz="4" w:space="0" w:color="D6E0E5"/>
          <w:bottom w:val="single" w:sz="4" w:space="0" w:color="D6E0E5"/>
          <w:right w:val="single" w:sz="4" w:space="0" w:color="D6E0E5"/>
          <w:insideH w:val="single" w:sz="4" w:space="0" w:color="D6E0E5"/>
          <w:insideV w:val="single" w:sz="4" w:space="0" w:color="D6E0E5"/>
        </w:tblBorders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Protein Subset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Fraction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Positive Rate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BLOSUM62 AUROC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Zero-Shot AUROC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Zero-Shot PR-AUC (Baseline)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5"/>
              </w:rPr>
              <w:t>Full-length (≤1,022 aa)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54.0%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0.471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0.654 ± 0.007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0.890 ± 0.011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0.888 (0.471)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5"/>
              </w:rPr>
              <w:t>Windowed (&gt;1,022 aa)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46.0%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0.270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0.682 ± 0.020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0.910 ± 0.008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0.851 (0.270)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5"/>
              </w:rPr>
              <w:t>Combined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100.0%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0.380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0.663 ± 0.005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0.901 ± 0.007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0.875 (0.380)</w:t>
            </w:r>
          </w:p>
        </w:tc>
      </w:tr>
    </w:tbl>
    <w:p>
      <w:pPr>
        <w:spacing w:after="20"/>
      </w:pPr>
    </w:p>
    <w:p>
      <w:pPr>
        <w:pStyle w:val="Heading2"/>
      </w:pPr>
      <w:r>
        <w:t>3.3 Homology Leakage and Gene-Level Sensitivity</w:t>
      </w:r>
    </w:p>
    <w:p>
      <w:r>
        <w:t xml:space="preserve">• </w:t>
      </w:r>
      <w:r>
        <w:rPr>
          <w:b/>
        </w:rPr>
        <w:t>Homology-Disjoint Clustering:</w:t>
      </w:r>
      <w:r>
        <w:t xml:space="preserve"> Clustering genes at 30% sequence identity (5,045 clusters) and 50% sequence identity (6,261 clusters) yielded nearly identical results to gene-level grouping (Table 3), verifying that paralogous sequence identity did not inflate performance.</w:t>
      </w:r>
    </w:p>
    <w:p>
      <w:r>
        <w:t xml:space="preserve">• </w:t>
      </w:r>
      <w:r>
        <w:rPr>
          <w:b/>
        </w:rPr>
        <w:t>Sensitivity to Outlier Genes:</w:t>
      </w:r>
      <w:r>
        <w:t xml:space="preserve"> Sequentially excluding each of the 15 largest genes altered pooled zero-shot AUROC by ≤0.002 (FBN1 producing the largest shift).</w:t>
      </w:r>
    </w:p>
    <w:p>
      <w:r>
        <w:t xml:space="preserve">• </w:t>
      </w:r>
      <w:r>
        <w:rPr>
          <w:b/>
        </w:rPr>
        <w:t>Within-Gene Discrimination:</w:t>
      </w:r>
      <w:r>
        <w:t xml:space="preserve"> Across all 54 genes containing ≥20 pathogenic and ≥20 benign variants, the median within-gene AUROC was 0.910 (IQR: 0.877–0.965; variant-weighted mean: 0.915). Poorly ranked outliers included RUNX1 (0.66), FANCA (0.70), and CACNA1C (0.74), pointing to limitations in capturing dominant-negative or non-coding regulatory disruptions.</w:t>
      </w:r>
    </w:p>
    <w:p>
      <w:pPr>
        <w:pStyle w:val="FigureCaption"/>
      </w:pPr>
      <w:r>
        <w:t>Table 3. Robustness across cross-validation grouping strategies.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E0E5"/>
          <w:left w:val="single" w:sz="4" w:space="0" w:color="D6E0E5"/>
          <w:bottom w:val="single" w:sz="4" w:space="0" w:color="D6E0E5"/>
          <w:right w:val="single" w:sz="4" w:space="0" w:color="D6E0E5"/>
          <w:insideH w:val="single" w:sz="4" w:space="0" w:color="D6E0E5"/>
          <w:insideV w:val="single" w:sz="4" w:space="0" w:color="D6E0E5"/>
        </w:tblBorders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Grouping Unit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Clusters / Groups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Zero-Shot AUROC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Classifier AUROC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Zero-Shot PR-AUC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Classifier PR-AUC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5"/>
              </w:rPr>
              <w:t>Gene Symbol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7,339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0.901 ± 0.007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0.901 ± 0.006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0.875 ± 0.013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0.866 ± 0.014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5"/>
              </w:rPr>
              <w:t>Cluster (50% Identity)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6,261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0.901 ± 0.005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0.900 ± 0.005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0.875 ± 0.012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0.865 ± 0.008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5"/>
              </w:rPr>
              <w:t>Cluster (30% Identity)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5,045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0.901 ± 0.011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0.899 ± 0.010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0.871 ± 0.026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0.861 ± 0.026</w:t>
            </w:r>
          </w:p>
        </w:tc>
      </w:tr>
    </w:tbl>
    <w:p>
      <w:pPr>
        <w:spacing w:after="20"/>
      </w:pPr>
    </w:p>
    <w:p>
      <w:pPr>
        <w:pStyle w:val="Heading1"/>
      </w:pPr>
      <w:r>
        <w:t>4. Discussion &amp; Limitations</w:t>
      </w:r>
    </w:p>
    <w:p>
      <w:r>
        <w:t xml:space="preserve">1. </w:t>
      </w:r>
      <w:r>
        <w:rPr>
          <w:b/>
        </w:rPr>
        <w:t>Unsupervised Zero-Shot Matches Supervised Learning:</w:t>
      </w:r>
      <w:r>
        <w:t xml:space="preserve"> Fitting a linear probe on top of 1,280-dimensional hidden states provided no discriminatory advantage over raw masked-marginal log-odds (AUROC ≈ 0.90) and slightly degraded top-of-the-ranking precision (PR-AUC 0.866 vs. 0.875). This indicates that unsupervised masked pretraining already aligns its probability density with functional constraint; supervised projection onto a linear classification boundary risks fitting gene-level ascertainment noise.</w:t>
      </w:r>
    </w:p>
    <w:p>
      <w:r>
        <w:t xml:space="preserve">2. </w:t>
      </w:r>
      <w:r>
        <w:rPr>
          <w:b/>
        </w:rPr>
        <w:t>Inter-Gene Score Offsets and Calibration:</w:t>
      </w:r>
      <w:r>
        <w:t xml:space="preserve"> The variant-weighted within-gene AUROC (0.915) exceeded the pooled global AUROC (0.901). While ESM-2 ranks variants within a protein with high fidelity, its baseline log-likelihood distribution varies across proteins. A benign variant in a constrained protein may exhibit a more negative log-odds score than a pathogenic variant in a tolerant protein, preventing the use of a single global decision threshold without gene-specific calibration.</w:t>
      </w:r>
    </w:p>
    <w:p>
      <w:r>
        <w:t xml:space="preserve">3. </w:t>
      </w:r>
      <w:r>
        <w:rPr>
          <w:b/>
        </w:rPr>
        <w:t>Data Hygiene Rescues Unbiased Benchmarks:</w:t>
      </w:r>
      <w:r>
        <w:t xml:space="preserve"> Restricting benchmarks only to canonical UniProt entries of standard lengths introduces strong selection bias. Reconciling RefSeq transcript CDS translations salvaged 4,431 variants and preserved the natural 38% pathogenic balance.</w:t>
      </w:r>
    </w:p>
    <w:p>
      <w:r>
        <w:t xml:space="preserve">4. </w:t>
      </w:r>
      <w:r>
        <w:rPr>
          <w:b/>
        </w:rPr>
        <w:t>Limitations:</w:t>
      </w:r>
      <w:r>
        <w:t xml:space="preserve"> This benchmark lacks head-to-head comparisons against MSA-based integrative predictors (e.g., AlphaMissense, CADD). ClinVar entries also suffer from ascertainment bias toward heavily studied disease genes (e.g., TTN vs. PAH). Finally, zero-shot scores output uncalibrated scalar differences rather than posterior probabilities of pathogenicity.</w:t>
      </w:r>
    </w:p>
    <w:p>
      <w:pPr>
        <w:pStyle w:val="Heading1"/>
      </w:pPr>
      <w:r>
        <w:t>5. Conclusion</w:t>
      </w:r>
    </w:p>
    <w:p>
      <w:r>
        <w:t>Under leakage-free, gene-disjoint cross-validation on 66,332 ClinVar missense variants, ESM-2 zero-shot log-likelihood ratios provide high discriminatory accuracy (AUROC 0.901, PR-AUC 0.875), well above baseline substitution matrices. Supervised linear probing on ESM-2 embeddings offers no performance gain. Unsupervised pLM scoring represents an effective, alignment-free baseline for computational variant triage.</w:t>
      </w:r>
    </w:p>
    <w:p>
      <w:pPr>
        <w:pStyle w:val="Heading1"/>
      </w:pPr>
      <w:r>
        <w:t>References</w:t>
      </w:r>
    </w:p>
    <w:p>
      <w:pPr>
        <w:spacing w:after="80"/>
        <w:ind w:left="317" w:hanging="317"/>
      </w:pPr>
      <w:r>
        <w:t>Adzhubei, I. A., et al. (2010). A method and server for predicting damaging missense mutations. Nat. Methods, 7(4), 248–249.</w:t>
      </w:r>
    </w:p>
    <w:p>
      <w:pPr>
        <w:spacing w:after="80"/>
        <w:ind w:left="317" w:hanging="317"/>
      </w:pPr>
      <w:r>
        <w:t>Cheng, J., et al. (2023). Accurate proteome-wide missense variant effect prediction with AlphaMissense. Science, 381(6664).</w:t>
      </w:r>
    </w:p>
    <w:p>
      <w:pPr>
        <w:spacing w:after="80"/>
        <w:ind w:left="317" w:hanging="317"/>
      </w:pPr>
      <w:r>
        <w:t>Henikoff, S., &amp; Henikoff, J. G. (1992). Amino acid substitution matrices from protein blocks. PNAS, 89(22), 10915–10919.</w:t>
      </w:r>
    </w:p>
    <w:p>
      <w:pPr>
        <w:spacing w:after="80"/>
        <w:ind w:left="317" w:hanging="317"/>
      </w:pPr>
      <w:r>
        <w:t>Landrum, M. J., et al. (2018). ClinVar: improving access to variant interpretations and supporting evidence. Nucleic Acids Res., 46(D1), D1062–D1067.</w:t>
      </w:r>
    </w:p>
    <w:p>
      <w:pPr>
        <w:spacing w:after="80"/>
        <w:ind w:left="317" w:hanging="317"/>
      </w:pPr>
      <w:r>
        <w:t>Lin, Z., et al. (2023). Evolutionary-scale prediction of atomic-level protein structure with a language model. Science, 379(6637), 1123–1130.</w:t>
      </w:r>
    </w:p>
    <w:p>
      <w:pPr>
        <w:spacing w:after="80"/>
        <w:ind w:left="317" w:hanging="317"/>
      </w:pPr>
      <w:r>
        <w:t>Ng, P. C., &amp; Henikoff, S. (2003). SIFT: predicting amino acid changes that affect protein function. Nucleic Acids Res., 31(13), 3812–3814.</w:t>
      </w:r>
    </w:p>
    <w:p>
      <w:pPr>
        <w:spacing w:after="80"/>
        <w:ind w:left="317" w:hanging="317"/>
      </w:pPr>
      <w:r>
        <w:t>Notin, P., et al. (2023). ProteinGym: large-scale benchmarks for protein fitness prediction and design. NeurIPS Datasets &amp; Benchmarks.</w:t>
      </w:r>
    </w:p>
    <w:p>
      <w:pPr>
        <w:spacing w:after="80"/>
        <w:ind w:left="317" w:hanging="317"/>
      </w:pPr>
      <w:r>
        <w:t>Rentzsch, P., et al. (2019). CADD: predicting the deleteriousness of variants throughout the human genome. Nucleic Acids Res., 47(D1), D886–D894.</w:t>
      </w:r>
    </w:p>
    <w:p>
      <w:pPr>
        <w:spacing w:after="80"/>
        <w:ind w:left="317" w:hanging="317"/>
      </w:pPr>
      <w:r>
        <w:t>Richards, S., et al. (2015). Standards and guidelines for the interpretation of sequence variants. Genet. Med., 17(5), 405–424.</w:t>
      </w:r>
    </w:p>
    <w:p>
      <w:pPr>
        <w:spacing w:after="80"/>
        <w:ind w:left="317" w:hanging="317"/>
      </w:pPr>
      <w:r>
        <w:t>Steinegger, M., &amp; Söding, J. (2017). MMseqs2 enables sensitive protein sequence searching for the analysis of massive data sets. Nat. Biotechnol., 35, 1026–1028.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770"/>
        <w:sz w:val="16"/>
      </w:rPr>
      <w:t>Scientific report  •  23 October 2026</w:t>
      <w:t xml:space="preserve">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97C80"/>
        <w:sz w:val="15"/>
      </w:rPr>
      <w:t>PROTEIN LANGUAGE MODELS  /  CLINVAR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A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97C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40"/>
    </w:pPr>
    <w:rPr>
      <w:rFonts w:ascii="Aptos" w:hAnsi="Aptos"/>
      <w:i/>
      <w:color w:val="5C67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Benchmarking Protein Language Model Scores for Classifying ClinVar Missense Variants Under Gene-Disjoint Evaluation</dc:title>
  <dc:subject>Scientific report on ESM-2 and ClinVar missense variant pathogenicity prediction</dc:subject>
  <dc:creator>Rohan Ghosh Dastidar</dc:creator>
  <cp:keywords>ESM-2, ClinVar, missense variants, pathogenicity, gene-disjoint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