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jc w:val="center"/>
      </w:pPr>
      <w:r>
        <w:rPr>
          <w:rFonts w:ascii="Calibri" w:hAnsi="Calibri"/>
          <w:b/>
          <w:color w:val="004080"/>
          <w:sz w:val="48"/>
        </w:rPr>
        <w:t>PROJECT REPORT</w:t>
      </w:r>
    </w:p>
    <w:p>
      <w:pPr>
        <w:keepNext/>
        <w:spacing w:before="280" w:after="80"/>
      </w:pPr>
      <w:r>
        <w:rPr>
          <w:rFonts w:ascii="Calibri" w:hAnsi="Calibri"/>
          <w:b/>
          <w:color w:val="005599"/>
          <w:sz w:val="32"/>
        </w:rPr>
        <w:t>Synthetic Disease Risk Prediction System</w:t>
      </w:r>
    </w:p>
    <w:p>
      <w:pPr>
        <w:spacing w:before="160" w:after="160"/>
        <w:pBdr>
          <w:bottom w:val="single" w:sz="6" w:space="1" w:color="0066CC"/>
        </w:pBdr>
      </w:pPr>
    </w:p>
    <w:p>
      <w:pPr>
        <w:keepNext/>
        <w:spacing w:before="280" w:after="80"/>
      </w:pPr>
      <w:r>
        <w:rPr>
          <w:rFonts w:ascii="Calibri" w:hAnsi="Calibri"/>
          <w:b/>
          <w:color w:val="005599"/>
          <w:sz w:val="32"/>
        </w:rPr>
        <w:t>Chapter 1 — Introduction</w:t>
      </w:r>
    </w:p>
    <w:p>
      <w:pPr>
        <w:keepNext/>
        <w:spacing w:before="200" w:after="60"/>
      </w:pPr>
      <w:r>
        <w:rPr>
          <w:rFonts w:ascii="Calibri" w:hAnsi="Calibri"/>
          <w:b/>
          <w:color w:val="1F4E79"/>
          <w:sz w:val="26"/>
        </w:rPr>
        <w:t>1.1 Background</w:t>
      </w:r>
    </w:p>
    <w:p>
      <w:pPr>
        <w:spacing w:before="40" w:after="120" w:line="288" w:lineRule="auto"/>
      </w:pPr>
      <w:r>
        <w:rPr>
          <w:color w:val="333333"/>
        </w:rPr>
        <w:t>Chronic and lifestyle-related diseases are influenced by a combination of demographic factors (age, gender), lifestyle choices (smoking, alcohol use, physical activity), clinical measurements (blood pressure, cholesterol, glucose), and hereditary factors (family history, genetic predisposition). Machine Learning offers a way to model the complex, non-linear relationships between such factors and disease outcomes, potentially supporting early awareness and preventive action.</w:t>
      </w:r>
    </w:p>
    <w:p>
      <w:pPr>
        <w:keepNext/>
        <w:spacing w:before="200" w:after="60"/>
      </w:pPr>
      <w:r>
        <w:rPr>
          <w:rFonts w:ascii="Calibri" w:hAnsi="Calibri"/>
          <w:b/>
          <w:color w:val="1F4E79"/>
          <w:sz w:val="26"/>
        </w:rPr>
        <w:t>1.2 Problem Statement</w:t>
      </w:r>
    </w:p>
    <w:p>
      <w:pPr>
        <w:spacing w:before="40" w:after="120" w:line="288" w:lineRule="auto"/>
      </w:pPr>
      <w:r>
        <w:rPr>
          <w:color w:val="333333"/>
        </w:rPr>
        <w:t>Given a set of patient health attributes, the goal is to build a classification model that predicts whether a patient is at risk of disease (</w:t>
      </w:r>
      <w:r>
        <w:rPr>
          <w:rFonts w:ascii="Consolas" w:hAnsi="Consolas"/>
          <w:color w:val="005599"/>
          <w:sz w:val="19"/>
        </w:rPr>
        <w:t>Disease_Risk</w:t>
      </w:r>
      <w:r>
        <w:rPr>
          <w:color w:val="333333"/>
        </w:rPr>
        <w:t xml:space="preserve"> = Yes/No), and to present this capability through an accessible, interactive web application.</w:t>
      </w:r>
    </w:p>
    <w:p>
      <w:pPr>
        <w:keepNext/>
        <w:spacing w:before="200" w:after="60"/>
      </w:pPr>
      <w:r>
        <w:rPr>
          <w:rFonts w:ascii="Calibri" w:hAnsi="Calibri"/>
          <w:b/>
          <w:color w:val="1F4E79"/>
          <w:sz w:val="26"/>
        </w:rPr>
        <w:t>1.3 Motivation</w:t>
      </w:r>
    </w:p>
    <w:p>
      <w:pPr>
        <w:spacing w:before="40" w:after="120" w:line="288" w:lineRule="auto"/>
      </w:pPr>
      <w:r>
        <w:rPr>
          <w:color w:val="333333"/>
        </w:rPr>
        <w:t>Health-risk prediction is one of the most common and instructive real-world applications of machine learning, combining data cleaning, exploratory analysis, classification modeling, and interactive deployment into a single project — making it well suited to demonstrate a full end-to-end ML workflow.</w:t>
      </w:r>
    </w:p>
    <w:p>
      <w:pPr>
        <w:keepNext/>
        <w:spacing w:before="200" w:after="60"/>
      </w:pPr>
      <w:r>
        <w:rPr>
          <w:rFonts w:ascii="Calibri" w:hAnsi="Calibri"/>
          <w:b/>
          <w:color w:val="1F4E79"/>
          <w:sz w:val="26"/>
        </w:rPr>
        <w:t>1.4 Objectives</w:t>
      </w:r>
    </w:p>
    <w:p>
      <w:pPr>
        <w:pStyle w:val="ListBullet"/>
        <w:spacing w:before="20" w:after="40" w:line="276" w:lineRule="auto"/>
      </w:pPr>
      <w:r>
        <w:rPr>
          <w:color w:val="333333"/>
        </w:rPr>
        <w:t>Load, clean, and explore a synthetic disease-risk dataset.</w:t>
      </w:r>
    </w:p>
    <w:p>
      <w:pPr>
        <w:pStyle w:val="ListBullet"/>
        <w:spacing w:before="20" w:after="40" w:line="276" w:lineRule="auto"/>
      </w:pPr>
      <w:r>
        <w:rPr>
          <w:color w:val="333333"/>
        </w:rPr>
        <w:t>Design a leakage-free preprocessing pipeline.</w:t>
      </w:r>
    </w:p>
    <w:p>
      <w:pPr>
        <w:pStyle w:val="ListBullet"/>
        <w:spacing w:before="20" w:after="40" w:line="276" w:lineRule="auto"/>
      </w:pPr>
      <w:r>
        <w:rPr>
          <w:color w:val="333333"/>
        </w:rPr>
        <w:t>Train and objectively compare multiple classification algorithms.</w:t>
      </w:r>
    </w:p>
    <w:p>
      <w:pPr>
        <w:pStyle w:val="ListBullet"/>
        <w:spacing w:before="20" w:after="40" w:line="276" w:lineRule="auto"/>
      </w:pPr>
      <w:r>
        <w:rPr>
          <w:color w:val="333333"/>
        </w:rPr>
        <w:t>Select the best-performing model using proper evaluation metrics.</w:t>
      </w:r>
    </w:p>
    <w:p>
      <w:pPr>
        <w:pStyle w:val="ListBullet"/>
        <w:spacing w:before="20" w:after="40" w:line="276" w:lineRule="auto"/>
      </w:pPr>
      <w:r>
        <w:rPr>
          <w:color w:val="333333"/>
        </w:rPr>
        <w:t>Persist the trained model for reuse without retraining.</w:t>
      </w:r>
    </w:p>
    <w:p>
      <w:pPr>
        <w:pStyle w:val="ListBullet"/>
        <w:spacing w:before="20" w:after="40" w:line="276" w:lineRule="auto"/>
      </w:pPr>
      <w:r>
        <w:rPr>
          <w:color w:val="333333"/>
        </w:rPr>
        <w:t>Build an interactive, multi-page Streamlit web application for predictions and data exploration.</w:t>
      </w:r>
    </w:p>
    <w:p>
      <w:pPr>
        <w:keepNext/>
        <w:spacing w:before="200" w:after="60"/>
      </w:pPr>
      <w:r>
        <w:rPr>
          <w:rFonts w:ascii="Calibri" w:hAnsi="Calibri"/>
          <w:b/>
          <w:color w:val="1F4E79"/>
          <w:sz w:val="26"/>
        </w:rPr>
        <w:t>1.5 Scope</w:t>
      </w:r>
    </w:p>
    <w:p>
      <w:pPr>
        <w:spacing w:before="40" w:after="120" w:line="288" w:lineRule="auto"/>
      </w:pPr>
      <w:r>
        <w:rPr>
          <w:color w:val="333333"/>
        </w:rPr>
        <w:t xml:space="preserve">The scope of this project is strictly educational. It is trained on a </w:t>
      </w:r>
      <w:r>
        <w:rPr>
          <w:b/>
          <w:color w:val="1F2937"/>
        </w:rPr>
        <w:t>synthetic</w:t>
      </w:r>
      <w:r>
        <w:rPr>
          <w:color w:val="333333"/>
        </w:rPr>
        <w:t xml:space="preserve"> dataset of ~4,000 records and is </w:t>
      </w:r>
      <w:r>
        <w:rPr>
          <w:b/>
          <w:color w:val="1F2937"/>
        </w:rPr>
        <w:t>not</w:t>
      </w:r>
      <w:r>
        <w:rPr>
          <w:color w:val="333333"/>
        </w:rPr>
        <w:t xml:space="preserve"> validated for, or intended for, real clinical or diagnostic use.</w:t>
      </w:r>
    </w:p>
    <w:p>
      <w:pPr>
        <w:spacing w:before="160" w:after="160"/>
        <w:pBdr>
          <w:bottom w:val="single" w:sz="6" w:space="1" w:color="0066CC"/>
        </w:pBdr>
      </w:pPr>
    </w:p>
    <w:p>
      <w:pPr>
        <w:keepNext/>
        <w:spacing w:before="280" w:after="80"/>
      </w:pPr>
      <w:r>
        <w:rPr>
          <w:rFonts w:ascii="Calibri" w:hAnsi="Calibri"/>
          <w:b/>
          <w:color w:val="005599"/>
          <w:sz w:val="32"/>
        </w:rPr>
        <w:t>Chapter 2 — Dataset</w:t>
      </w:r>
    </w:p>
    <w:p>
      <w:pPr>
        <w:keepNext/>
        <w:spacing w:before="200" w:after="60"/>
      </w:pPr>
      <w:r>
        <w:rPr>
          <w:rFonts w:ascii="Calibri" w:hAnsi="Calibri"/>
          <w:b/>
          <w:color w:val="1F4E79"/>
          <w:sz w:val="26"/>
        </w:rPr>
        <w:t>2.1 Dataset Description</w:t>
      </w:r>
    </w:p>
    <w:p>
      <w:pPr>
        <w:spacing w:before="40" w:after="120" w:line="288" w:lineRule="auto"/>
      </w:pPr>
      <w:r>
        <w:rPr>
          <w:color w:val="333333"/>
        </w:rPr>
        <w:t>The dataset (</w:t>
      </w:r>
      <w:r>
        <w:rPr>
          <w:rFonts w:ascii="Consolas" w:hAnsi="Consolas"/>
          <w:color w:val="005599"/>
          <w:sz w:val="19"/>
        </w:rPr>
        <w:t>data/Synthetic_disease_risk_dataset.csv</w:t>
      </w:r>
      <w:r>
        <w:rPr>
          <w:color w:val="333333"/>
        </w:rPr>
        <w:t>) contains synthetic patient records with demographic, lifestyle, clinical, and hereditary attributes, along with a binary disease-risk label.</w:t>
      </w:r>
    </w:p>
    <w:p>
      <w:pPr>
        <w:keepNext/>
        <w:spacing w:before="200" w:after="60"/>
      </w:pPr>
      <w:r>
        <w:rPr>
          <w:rFonts w:ascii="Calibri" w:hAnsi="Calibri"/>
          <w:b/>
          <w:color w:val="1F4E79"/>
          <w:sz w:val="26"/>
        </w:rPr>
        <w:t>2.2 Number of Records</w:t>
      </w:r>
    </w:p>
    <w:p>
      <w:pPr>
        <w:spacing w:before="40" w:after="120" w:line="288" w:lineRule="auto"/>
      </w:pPr>
      <w:r>
        <w:rPr>
          <w:color w:val="333333"/>
        </w:rPr>
        <w:t>4,000 rows (patients).</w:t>
      </w:r>
    </w:p>
    <w:p>
      <w:pPr>
        <w:keepNext/>
        <w:spacing w:before="200" w:after="60"/>
      </w:pPr>
      <w:r>
        <w:rPr>
          <w:rFonts w:ascii="Calibri" w:hAnsi="Calibri"/>
          <w:b/>
          <w:color w:val="1F4E79"/>
          <w:sz w:val="26"/>
        </w:rPr>
        <w:t>2.3 Number of Features</w:t>
      </w:r>
    </w:p>
    <w:p>
      <w:pPr>
        <w:spacing w:before="40" w:after="120" w:line="288" w:lineRule="auto"/>
      </w:pPr>
      <w:r>
        <w:rPr>
          <w:color w:val="333333"/>
        </w:rPr>
        <w:t>15 columns total: 1 identifier (</w:t>
      </w:r>
      <w:r>
        <w:rPr>
          <w:rFonts w:ascii="Consolas" w:hAnsi="Consolas"/>
          <w:color w:val="005599"/>
          <w:sz w:val="19"/>
        </w:rPr>
        <w:t>Patient_ID</w:t>
      </w:r>
      <w:r>
        <w:rPr>
          <w:color w:val="333333"/>
        </w:rPr>
        <w:t>), 13 predictive features, and 1 target column (</w:t>
      </w:r>
      <w:r>
        <w:rPr>
          <w:rFonts w:ascii="Consolas" w:hAnsi="Consolas"/>
          <w:color w:val="005599"/>
          <w:sz w:val="19"/>
        </w:rPr>
        <w:t>Disease_Risk</w:t>
      </w:r>
      <w:r>
        <w:rPr>
          <w:color w:val="333333"/>
        </w:rPr>
        <w:t>).</w:t>
      </w:r>
    </w:p>
    <w:p>
      <w:pPr>
        <w:keepNext/>
        <w:spacing w:before="200" w:after="60"/>
      </w:pPr>
      <w:r>
        <w:rPr>
          <w:rFonts w:ascii="Calibri" w:hAnsi="Calibri"/>
          <w:b/>
          <w:color w:val="1F4E79"/>
          <w:sz w:val="26"/>
        </w:rPr>
        <w:t>2.4 Feature Descriptions</w:t>
      </w:r>
    </w:p>
    <w:tbl>
      <w:tblPr>
        <w:tblW w:type="auto" w:w="0"/>
        <w:jc w:val="center"/>
        <w:tblLook w:firstColumn="1" w:firstRow="1" w:lastColumn="0" w:lastRow="0" w:noHBand="0" w:noVBand="1" w:val="04A0"/>
        <w:tblBorders>
          <w:top w:val="single" w:sz="6" w:space="0" w:color="D0D7DE"/>
          <w:bottom w:val="single" w:sz="6" w:space="0" w:color="D0D7DE"/>
          <w:insideH w:val="single" w:sz="6" w:space="0" w:color="D0D7DE"/>
          <w:insideV w:val="none"/>
          <w:left w:val="none"/>
          <w:right w:val="none"/>
        </w:tblBorders>
      </w:tblPr>
      <w:tblGrid>
        <w:gridCol w:w="3120"/>
        <w:gridCol w:w="3120"/>
        <w:gridCol w:w="3120"/>
      </w:tblGrid>
      <w:tr>
        <w:trPr>
          <w:cantSplit/>
          <w:tblHeader/>
        </w:trPr>
        <w:tc>
          <w:tcPr>
            <w:tcW w:type="dxa" w:w="3120"/>
            <w:tcMar>
              <w:top w:w="120" w:type="dxa"/>
              <w:bottom w:w="120" w:type="dxa"/>
              <w:left w:w="160" w:type="dxa"/>
              <w:right w:w="160" w:type="dxa"/>
            </w:tcMar>
            <w:shd w:fill="004080"/>
          </w:tcPr>
          <w:p>
            <w:pPr>
              <w:spacing w:before="40" w:after="40" w:line="276" w:lineRule="auto"/>
            </w:pPr>
            <w:r>
              <w:rPr>
                <w:rFonts w:ascii="Calibri" w:hAnsi="Calibri"/>
                <w:b/>
                <w:color w:val="FFFFFF"/>
                <w:sz w:val="20"/>
              </w:rPr>
              <w:t>Feature</w:t>
            </w:r>
          </w:p>
        </w:tc>
        <w:tc>
          <w:tcPr>
            <w:tcW w:type="dxa" w:w="3120"/>
            <w:tcMar>
              <w:top w:w="120" w:type="dxa"/>
              <w:bottom w:w="120" w:type="dxa"/>
              <w:left w:w="160" w:type="dxa"/>
              <w:right w:w="160" w:type="dxa"/>
            </w:tcMar>
            <w:shd w:fill="004080"/>
          </w:tcPr>
          <w:p>
            <w:pPr>
              <w:spacing w:before="40" w:after="40" w:line="276" w:lineRule="auto"/>
            </w:pPr>
            <w:r>
              <w:rPr>
                <w:rFonts w:ascii="Calibri" w:hAnsi="Calibri"/>
                <w:b/>
                <w:color w:val="FFFFFF"/>
                <w:sz w:val="20"/>
              </w:rPr>
              <w:t>Type</w:t>
            </w:r>
          </w:p>
        </w:tc>
        <w:tc>
          <w:tcPr>
            <w:tcW w:type="dxa" w:w="3120"/>
            <w:tcMar>
              <w:top w:w="120" w:type="dxa"/>
              <w:bottom w:w="120" w:type="dxa"/>
              <w:left w:w="160" w:type="dxa"/>
              <w:right w:w="160" w:type="dxa"/>
            </w:tcMar>
            <w:shd w:fill="004080"/>
          </w:tcPr>
          <w:p>
            <w:pPr>
              <w:spacing w:before="40" w:after="40" w:line="276" w:lineRule="auto"/>
            </w:pPr>
            <w:r>
              <w:rPr>
                <w:rFonts w:ascii="Calibri" w:hAnsi="Calibri"/>
                <w:b/>
                <w:color w:val="FFFFFF"/>
                <w:sz w:val="20"/>
              </w:rPr>
              <w:t>Description</w:t>
            </w:r>
          </w:p>
        </w:tc>
      </w:tr>
      <w:tr>
        <w:trPr>
          <w:cantSplit/>
        </w:trPr>
        <w:tc>
          <w:tcPr>
            <w:tcW w:type="dxa" w:w="3120"/>
            <w:tcMar>
              <w:top w:w="120" w:type="dxa"/>
              <w:bottom w:w="120" w:type="dxa"/>
              <w:left w:w="160" w:type="dxa"/>
              <w:right w:w="160" w:type="dxa"/>
            </w:tcMar>
            <w:shd w:fill="F8FAFC"/>
          </w:tcPr>
          <w:p>
            <w:pPr>
              <w:spacing w:before="40" w:after="40" w:line="276" w:lineRule="auto"/>
            </w:pPr>
            <w:r>
              <w:rPr>
                <w:rFonts w:ascii="Calibri" w:hAnsi="Calibri"/>
                <w:color w:val="333333"/>
                <w:sz w:val="20"/>
              </w:rPr>
              <w:t>Patient_ID</w:t>
            </w:r>
          </w:p>
        </w:tc>
        <w:tc>
          <w:tcPr>
            <w:tcW w:type="dxa" w:w="3120"/>
            <w:tcMar>
              <w:top w:w="120" w:type="dxa"/>
              <w:bottom w:w="120" w:type="dxa"/>
              <w:left w:w="160" w:type="dxa"/>
              <w:right w:w="160" w:type="dxa"/>
            </w:tcMar>
            <w:shd w:fill="F8FAFC"/>
          </w:tcPr>
          <w:p>
            <w:pPr>
              <w:spacing w:before="40" w:after="40" w:line="276" w:lineRule="auto"/>
            </w:pPr>
            <w:r>
              <w:rPr>
                <w:rFonts w:ascii="Calibri" w:hAnsi="Calibri"/>
                <w:color w:val="333333"/>
                <w:sz w:val="20"/>
              </w:rPr>
              <w:t>Identifier</w:t>
            </w:r>
          </w:p>
        </w:tc>
        <w:tc>
          <w:tcPr>
            <w:tcW w:type="dxa" w:w="3120"/>
            <w:tcMar>
              <w:top w:w="120" w:type="dxa"/>
              <w:bottom w:w="120" w:type="dxa"/>
              <w:left w:w="160" w:type="dxa"/>
              <w:right w:w="160" w:type="dxa"/>
            </w:tcMar>
            <w:shd w:fill="F8FAFC"/>
          </w:tcPr>
          <w:p>
            <w:pPr>
              <w:spacing w:before="40" w:after="40" w:line="276" w:lineRule="auto"/>
            </w:pPr>
            <w:r>
              <w:rPr>
                <w:rFonts w:ascii="Calibri" w:hAnsi="Calibri"/>
                <w:color w:val="333333"/>
                <w:sz w:val="20"/>
              </w:rPr>
              <w:t>Unique patient ID (excluded from modeling)</w:t>
            </w:r>
          </w:p>
        </w:tc>
      </w:tr>
      <w:tr>
        <w:trPr>
          <w:cantSplit/>
        </w:trPr>
        <w:tc>
          <w:tcPr>
            <w:tcW w:type="dxa" w:w="3120"/>
            <w:tcMar>
              <w:top w:w="120" w:type="dxa"/>
              <w:bottom w:w="120" w:type="dxa"/>
              <w:left w:w="160" w:type="dxa"/>
              <w:right w:w="160" w:type="dxa"/>
            </w:tcMar>
            <w:shd w:fill="FFFFFF"/>
          </w:tcPr>
          <w:p>
            <w:pPr>
              <w:spacing w:before="40" w:after="40" w:line="276" w:lineRule="auto"/>
            </w:pPr>
            <w:r>
              <w:rPr>
                <w:rFonts w:ascii="Calibri" w:hAnsi="Calibri"/>
                <w:color w:val="333333"/>
                <w:sz w:val="20"/>
              </w:rPr>
              <w:t>Age</w:t>
            </w:r>
          </w:p>
        </w:tc>
        <w:tc>
          <w:tcPr>
            <w:tcW w:type="dxa" w:w="3120"/>
            <w:tcMar>
              <w:top w:w="120" w:type="dxa"/>
              <w:bottom w:w="120" w:type="dxa"/>
              <w:left w:w="160" w:type="dxa"/>
              <w:right w:w="160" w:type="dxa"/>
            </w:tcMar>
            <w:shd w:fill="FFFFFF"/>
          </w:tcPr>
          <w:p>
            <w:pPr>
              <w:spacing w:before="40" w:after="40" w:line="276" w:lineRule="auto"/>
            </w:pPr>
            <w:r>
              <w:rPr>
                <w:rFonts w:ascii="Calibri" w:hAnsi="Calibri"/>
                <w:color w:val="333333"/>
                <w:sz w:val="20"/>
              </w:rPr>
              <w:t>Numeric</w:t>
            </w:r>
          </w:p>
        </w:tc>
        <w:tc>
          <w:tcPr>
            <w:tcW w:type="dxa" w:w="3120"/>
            <w:tcMar>
              <w:top w:w="120" w:type="dxa"/>
              <w:bottom w:w="120" w:type="dxa"/>
              <w:left w:w="160" w:type="dxa"/>
              <w:right w:w="160" w:type="dxa"/>
            </w:tcMar>
            <w:shd w:fill="FFFFFF"/>
          </w:tcPr>
          <w:p>
            <w:pPr>
              <w:spacing w:before="40" w:after="40" w:line="276" w:lineRule="auto"/>
            </w:pPr>
            <w:r>
              <w:rPr>
                <w:rFonts w:ascii="Calibri" w:hAnsi="Calibri"/>
                <w:color w:val="333333"/>
                <w:sz w:val="20"/>
              </w:rPr>
              <w:t>Age in years (18–89 in this dataset)</w:t>
            </w:r>
          </w:p>
        </w:tc>
      </w:tr>
      <w:tr>
        <w:trPr>
          <w:cantSplit/>
        </w:trPr>
        <w:tc>
          <w:tcPr>
            <w:tcW w:type="dxa" w:w="3120"/>
            <w:tcMar>
              <w:top w:w="120" w:type="dxa"/>
              <w:bottom w:w="120" w:type="dxa"/>
              <w:left w:w="160" w:type="dxa"/>
              <w:right w:w="160" w:type="dxa"/>
            </w:tcMar>
            <w:shd w:fill="F8FAFC"/>
          </w:tcPr>
          <w:p>
            <w:pPr>
              <w:spacing w:before="40" w:after="40" w:line="276" w:lineRule="auto"/>
            </w:pPr>
            <w:r>
              <w:rPr>
                <w:rFonts w:ascii="Calibri" w:hAnsi="Calibri"/>
                <w:color w:val="333333"/>
                <w:sz w:val="20"/>
              </w:rPr>
              <w:t>Gender</w:t>
            </w:r>
          </w:p>
        </w:tc>
        <w:tc>
          <w:tcPr>
            <w:tcW w:type="dxa" w:w="3120"/>
            <w:tcMar>
              <w:top w:w="120" w:type="dxa"/>
              <w:bottom w:w="120" w:type="dxa"/>
              <w:left w:w="160" w:type="dxa"/>
              <w:right w:w="160" w:type="dxa"/>
            </w:tcMar>
            <w:shd w:fill="F8FAFC"/>
          </w:tcPr>
          <w:p>
            <w:pPr>
              <w:spacing w:before="40" w:after="40" w:line="276" w:lineRule="auto"/>
            </w:pPr>
            <w:r>
              <w:rPr>
                <w:rFonts w:ascii="Calibri" w:hAnsi="Calibri"/>
                <w:color w:val="333333"/>
                <w:sz w:val="20"/>
              </w:rPr>
              <w:t>Categorical</w:t>
            </w:r>
          </w:p>
        </w:tc>
        <w:tc>
          <w:tcPr>
            <w:tcW w:type="dxa" w:w="3120"/>
            <w:tcMar>
              <w:top w:w="120" w:type="dxa"/>
              <w:bottom w:w="120" w:type="dxa"/>
              <w:left w:w="160" w:type="dxa"/>
              <w:right w:w="160" w:type="dxa"/>
            </w:tcMar>
            <w:shd w:fill="F8FAFC"/>
          </w:tcPr>
          <w:p>
            <w:pPr>
              <w:spacing w:before="40" w:after="40" w:line="276" w:lineRule="auto"/>
            </w:pPr>
            <w:r>
              <w:rPr>
                <w:rFonts w:ascii="Calibri" w:hAnsi="Calibri"/>
                <w:color w:val="333333"/>
                <w:sz w:val="20"/>
              </w:rPr>
              <w:t>Female / Male / Other</w:t>
            </w:r>
          </w:p>
        </w:tc>
      </w:tr>
      <w:tr>
        <w:trPr>
          <w:cantSplit/>
        </w:trPr>
        <w:tc>
          <w:tcPr>
            <w:tcW w:type="dxa" w:w="3120"/>
            <w:tcMar>
              <w:top w:w="120" w:type="dxa"/>
              <w:bottom w:w="120" w:type="dxa"/>
              <w:left w:w="160" w:type="dxa"/>
              <w:right w:w="160" w:type="dxa"/>
            </w:tcMar>
            <w:shd w:fill="FFFFFF"/>
          </w:tcPr>
          <w:p>
            <w:pPr>
              <w:spacing w:before="40" w:after="40" w:line="276" w:lineRule="auto"/>
            </w:pPr>
            <w:r>
              <w:rPr>
                <w:rFonts w:ascii="Calibri" w:hAnsi="Calibri"/>
                <w:color w:val="333333"/>
                <w:sz w:val="20"/>
              </w:rPr>
              <w:t>BMI</w:t>
            </w:r>
          </w:p>
        </w:tc>
        <w:tc>
          <w:tcPr>
            <w:tcW w:type="dxa" w:w="3120"/>
            <w:tcMar>
              <w:top w:w="120" w:type="dxa"/>
              <w:bottom w:w="120" w:type="dxa"/>
              <w:left w:w="160" w:type="dxa"/>
              <w:right w:w="160" w:type="dxa"/>
            </w:tcMar>
            <w:shd w:fill="FFFFFF"/>
          </w:tcPr>
          <w:p>
            <w:pPr>
              <w:spacing w:before="40" w:after="40" w:line="276" w:lineRule="auto"/>
            </w:pPr>
            <w:r>
              <w:rPr>
                <w:rFonts w:ascii="Calibri" w:hAnsi="Calibri"/>
                <w:color w:val="333333"/>
                <w:sz w:val="20"/>
              </w:rPr>
              <w:t>Numeric</w:t>
            </w:r>
          </w:p>
        </w:tc>
        <w:tc>
          <w:tcPr>
            <w:tcW w:type="dxa" w:w="3120"/>
            <w:tcMar>
              <w:top w:w="120" w:type="dxa"/>
              <w:bottom w:w="120" w:type="dxa"/>
              <w:left w:w="160" w:type="dxa"/>
              <w:right w:w="160" w:type="dxa"/>
            </w:tcMar>
            <w:shd w:fill="FFFFFF"/>
          </w:tcPr>
          <w:p>
            <w:pPr>
              <w:spacing w:before="40" w:after="40" w:line="276" w:lineRule="auto"/>
            </w:pPr>
            <w:r>
              <w:rPr>
                <w:rFonts w:ascii="Calibri" w:hAnsi="Calibri"/>
                <w:color w:val="333333"/>
                <w:sz w:val="20"/>
              </w:rPr>
              <w:t>Body Mass Index</w:t>
            </w:r>
          </w:p>
        </w:tc>
      </w:tr>
      <w:tr>
        <w:trPr>
          <w:cantSplit/>
        </w:trPr>
        <w:tc>
          <w:tcPr>
            <w:tcW w:type="dxa" w:w="3120"/>
            <w:tcMar>
              <w:top w:w="120" w:type="dxa"/>
              <w:bottom w:w="120" w:type="dxa"/>
              <w:left w:w="160" w:type="dxa"/>
              <w:right w:w="160" w:type="dxa"/>
            </w:tcMar>
            <w:shd w:fill="F8FAFC"/>
          </w:tcPr>
          <w:p>
            <w:pPr>
              <w:spacing w:before="40" w:after="40" w:line="276" w:lineRule="auto"/>
            </w:pPr>
            <w:r>
              <w:rPr>
                <w:rFonts w:ascii="Calibri" w:hAnsi="Calibri"/>
                <w:color w:val="333333"/>
                <w:sz w:val="20"/>
              </w:rPr>
              <w:t>Smoking_Status</w:t>
            </w:r>
          </w:p>
        </w:tc>
        <w:tc>
          <w:tcPr>
            <w:tcW w:type="dxa" w:w="3120"/>
            <w:tcMar>
              <w:top w:w="120" w:type="dxa"/>
              <w:bottom w:w="120" w:type="dxa"/>
              <w:left w:w="160" w:type="dxa"/>
              <w:right w:w="160" w:type="dxa"/>
            </w:tcMar>
            <w:shd w:fill="F8FAFC"/>
          </w:tcPr>
          <w:p>
            <w:pPr>
              <w:spacing w:before="40" w:after="40" w:line="276" w:lineRule="auto"/>
            </w:pPr>
            <w:r>
              <w:rPr>
                <w:rFonts w:ascii="Calibri" w:hAnsi="Calibri"/>
                <w:color w:val="333333"/>
                <w:sz w:val="20"/>
              </w:rPr>
              <w:t>Categorical</w:t>
            </w:r>
          </w:p>
        </w:tc>
        <w:tc>
          <w:tcPr>
            <w:tcW w:type="dxa" w:w="3120"/>
            <w:tcMar>
              <w:top w:w="120" w:type="dxa"/>
              <w:bottom w:w="120" w:type="dxa"/>
              <w:left w:w="160" w:type="dxa"/>
              <w:right w:w="160" w:type="dxa"/>
            </w:tcMar>
            <w:shd w:fill="F8FAFC"/>
          </w:tcPr>
          <w:p>
            <w:pPr>
              <w:spacing w:before="40" w:after="40" w:line="276" w:lineRule="auto"/>
            </w:pPr>
            <w:r>
              <w:rPr>
                <w:rFonts w:ascii="Calibri" w:hAnsi="Calibri"/>
                <w:color w:val="333333"/>
                <w:sz w:val="20"/>
              </w:rPr>
              <w:t>Never / Former / Current</w:t>
            </w:r>
          </w:p>
        </w:tc>
      </w:tr>
      <w:tr>
        <w:trPr>
          <w:cantSplit/>
        </w:trPr>
        <w:tc>
          <w:tcPr>
            <w:tcW w:type="dxa" w:w="3120"/>
            <w:tcMar>
              <w:top w:w="120" w:type="dxa"/>
              <w:bottom w:w="120" w:type="dxa"/>
              <w:left w:w="160" w:type="dxa"/>
              <w:right w:w="160" w:type="dxa"/>
            </w:tcMar>
            <w:shd w:fill="FFFFFF"/>
          </w:tcPr>
          <w:p>
            <w:pPr>
              <w:spacing w:before="40" w:after="40" w:line="276" w:lineRule="auto"/>
            </w:pPr>
            <w:r>
              <w:rPr>
                <w:rFonts w:ascii="Calibri" w:hAnsi="Calibri"/>
                <w:color w:val="333333"/>
                <w:sz w:val="20"/>
              </w:rPr>
              <w:t>Alcohol_Consumption</w:t>
            </w:r>
          </w:p>
        </w:tc>
        <w:tc>
          <w:tcPr>
            <w:tcW w:type="dxa" w:w="3120"/>
            <w:tcMar>
              <w:top w:w="120" w:type="dxa"/>
              <w:bottom w:w="120" w:type="dxa"/>
              <w:left w:w="160" w:type="dxa"/>
              <w:right w:w="160" w:type="dxa"/>
            </w:tcMar>
            <w:shd w:fill="FFFFFF"/>
          </w:tcPr>
          <w:p>
            <w:pPr>
              <w:spacing w:before="40" w:after="40" w:line="276" w:lineRule="auto"/>
            </w:pPr>
            <w:r>
              <w:rPr>
                <w:rFonts w:ascii="Calibri" w:hAnsi="Calibri"/>
                <w:color w:val="333333"/>
                <w:sz w:val="20"/>
              </w:rPr>
              <w:t>Categorical</w:t>
            </w:r>
          </w:p>
        </w:tc>
        <w:tc>
          <w:tcPr>
            <w:tcW w:type="dxa" w:w="3120"/>
            <w:tcMar>
              <w:top w:w="120" w:type="dxa"/>
              <w:bottom w:w="120" w:type="dxa"/>
              <w:left w:w="160" w:type="dxa"/>
              <w:right w:w="160" w:type="dxa"/>
            </w:tcMar>
            <w:shd w:fill="FFFFFF"/>
          </w:tcPr>
          <w:p>
            <w:pPr>
              <w:spacing w:before="40" w:after="40" w:line="276" w:lineRule="auto"/>
            </w:pPr>
            <w:r>
              <w:rPr>
                <w:rFonts w:ascii="Calibri" w:hAnsi="Calibri"/>
                <w:color w:val="333333"/>
                <w:sz w:val="20"/>
              </w:rPr>
              <w:t>None / Moderate / High</w:t>
            </w:r>
          </w:p>
        </w:tc>
      </w:tr>
      <w:tr>
        <w:trPr>
          <w:cantSplit/>
        </w:trPr>
        <w:tc>
          <w:tcPr>
            <w:tcW w:type="dxa" w:w="3120"/>
            <w:tcMar>
              <w:top w:w="120" w:type="dxa"/>
              <w:bottom w:w="120" w:type="dxa"/>
              <w:left w:w="160" w:type="dxa"/>
              <w:right w:w="160" w:type="dxa"/>
            </w:tcMar>
            <w:shd w:fill="F8FAFC"/>
          </w:tcPr>
          <w:p>
            <w:pPr>
              <w:spacing w:before="40" w:after="40" w:line="276" w:lineRule="auto"/>
            </w:pPr>
            <w:r>
              <w:rPr>
                <w:rFonts w:ascii="Calibri" w:hAnsi="Calibri"/>
                <w:color w:val="333333"/>
                <w:sz w:val="20"/>
              </w:rPr>
              <w:t>Physical_Activity_Level</w:t>
            </w:r>
          </w:p>
        </w:tc>
        <w:tc>
          <w:tcPr>
            <w:tcW w:type="dxa" w:w="3120"/>
            <w:tcMar>
              <w:top w:w="120" w:type="dxa"/>
              <w:bottom w:w="120" w:type="dxa"/>
              <w:left w:w="160" w:type="dxa"/>
              <w:right w:w="160" w:type="dxa"/>
            </w:tcMar>
            <w:shd w:fill="F8FAFC"/>
          </w:tcPr>
          <w:p>
            <w:pPr>
              <w:spacing w:before="40" w:after="40" w:line="276" w:lineRule="auto"/>
            </w:pPr>
            <w:r>
              <w:rPr>
                <w:rFonts w:ascii="Calibri" w:hAnsi="Calibri"/>
                <w:color w:val="333333"/>
                <w:sz w:val="20"/>
              </w:rPr>
              <w:t>Categorical</w:t>
            </w:r>
          </w:p>
        </w:tc>
        <w:tc>
          <w:tcPr>
            <w:tcW w:type="dxa" w:w="3120"/>
            <w:tcMar>
              <w:top w:w="120" w:type="dxa"/>
              <w:bottom w:w="120" w:type="dxa"/>
              <w:left w:w="160" w:type="dxa"/>
              <w:right w:w="160" w:type="dxa"/>
            </w:tcMar>
            <w:shd w:fill="F8FAFC"/>
          </w:tcPr>
          <w:p>
            <w:pPr>
              <w:spacing w:before="40" w:after="40" w:line="276" w:lineRule="auto"/>
            </w:pPr>
            <w:r>
              <w:rPr>
                <w:rFonts w:ascii="Calibri" w:hAnsi="Calibri"/>
                <w:color w:val="333333"/>
                <w:sz w:val="20"/>
              </w:rPr>
              <w:t>Low / Moderate / High</w:t>
            </w:r>
          </w:p>
        </w:tc>
      </w:tr>
      <w:tr>
        <w:trPr>
          <w:cantSplit/>
        </w:trPr>
        <w:tc>
          <w:tcPr>
            <w:tcW w:type="dxa" w:w="3120"/>
            <w:tcMar>
              <w:top w:w="120" w:type="dxa"/>
              <w:bottom w:w="120" w:type="dxa"/>
              <w:left w:w="160" w:type="dxa"/>
              <w:right w:w="160" w:type="dxa"/>
            </w:tcMar>
            <w:shd w:fill="FFFFFF"/>
          </w:tcPr>
          <w:p>
            <w:pPr>
              <w:spacing w:before="40" w:after="40" w:line="276" w:lineRule="auto"/>
            </w:pPr>
            <w:r>
              <w:rPr>
                <w:rFonts w:ascii="Calibri" w:hAnsi="Calibri"/>
                <w:color w:val="333333"/>
                <w:sz w:val="20"/>
              </w:rPr>
              <w:t>Blood_Pressure_Systolic</w:t>
            </w:r>
          </w:p>
        </w:tc>
        <w:tc>
          <w:tcPr>
            <w:tcW w:type="dxa" w:w="3120"/>
            <w:tcMar>
              <w:top w:w="120" w:type="dxa"/>
              <w:bottom w:w="120" w:type="dxa"/>
              <w:left w:w="160" w:type="dxa"/>
              <w:right w:w="160" w:type="dxa"/>
            </w:tcMar>
            <w:shd w:fill="FFFFFF"/>
          </w:tcPr>
          <w:p>
            <w:pPr>
              <w:spacing w:before="40" w:after="40" w:line="276" w:lineRule="auto"/>
            </w:pPr>
            <w:r>
              <w:rPr>
                <w:rFonts w:ascii="Calibri" w:hAnsi="Calibri"/>
                <w:color w:val="333333"/>
                <w:sz w:val="20"/>
              </w:rPr>
              <w:t>Numeric</w:t>
            </w:r>
          </w:p>
        </w:tc>
        <w:tc>
          <w:tcPr>
            <w:tcW w:type="dxa" w:w="3120"/>
            <w:tcMar>
              <w:top w:w="120" w:type="dxa"/>
              <w:bottom w:w="120" w:type="dxa"/>
              <w:left w:w="160" w:type="dxa"/>
              <w:right w:w="160" w:type="dxa"/>
            </w:tcMar>
            <w:shd w:fill="FFFFFF"/>
          </w:tcPr>
          <w:p>
            <w:pPr>
              <w:spacing w:before="40" w:after="40" w:line="276" w:lineRule="auto"/>
            </w:pPr>
            <w:r>
              <w:rPr>
                <w:rFonts w:ascii="Calibri" w:hAnsi="Calibri"/>
                <w:color w:val="333333"/>
                <w:sz w:val="20"/>
              </w:rPr>
              <w:t>Systolic BP (mmHg)</w:t>
            </w:r>
          </w:p>
        </w:tc>
      </w:tr>
      <w:tr>
        <w:trPr>
          <w:cantSplit/>
        </w:trPr>
        <w:tc>
          <w:tcPr>
            <w:tcW w:type="dxa" w:w="3120"/>
            <w:tcMar>
              <w:top w:w="120" w:type="dxa"/>
              <w:bottom w:w="120" w:type="dxa"/>
              <w:left w:w="160" w:type="dxa"/>
              <w:right w:w="160" w:type="dxa"/>
            </w:tcMar>
            <w:shd w:fill="F8FAFC"/>
          </w:tcPr>
          <w:p>
            <w:pPr>
              <w:spacing w:before="40" w:after="40" w:line="276" w:lineRule="auto"/>
            </w:pPr>
            <w:r>
              <w:rPr>
                <w:rFonts w:ascii="Calibri" w:hAnsi="Calibri"/>
                <w:color w:val="333333"/>
                <w:sz w:val="20"/>
              </w:rPr>
              <w:t>Blood_Pressure_Diastolic</w:t>
            </w:r>
          </w:p>
        </w:tc>
        <w:tc>
          <w:tcPr>
            <w:tcW w:type="dxa" w:w="3120"/>
            <w:tcMar>
              <w:top w:w="120" w:type="dxa"/>
              <w:bottom w:w="120" w:type="dxa"/>
              <w:left w:w="160" w:type="dxa"/>
              <w:right w:w="160" w:type="dxa"/>
            </w:tcMar>
            <w:shd w:fill="F8FAFC"/>
          </w:tcPr>
          <w:p>
            <w:pPr>
              <w:spacing w:before="40" w:after="40" w:line="276" w:lineRule="auto"/>
            </w:pPr>
            <w:r>
              <w:rPr>
                <w:rFonts w:ascii="Calibri" w:hAnsi="Calibri"/>
                <w:color w:val="333333"/>
                <w:sz w:val="20"/>
              </w:rPr>
              <w:t>Numeric</w:t>
            </w:r>
          </w:p>
        </w:tc>
        <w:tc>
          <w:tcPr>
            <w:tcW w:type="dxa" w:w="3120"/>
            <w:tcMar>
              <w:top w:w="120" w:type="dxa"/>
              <w:bottom w:w="120" w:type="dxa"/>
              <w:left w:w="160" w:type="dxa"/>
              <w:right w:w="160" w:type="dxa"/>
            </w:tcMar>
            <w:shd w:fill="F8FAFC"/>
          </w:tcPr>
          <w:p>
            <w:pPr>
              <w:spacing w:before="40" w:after="40" w:line="276" w:lineRule="auto"/>
            </w:pPr>
            <w:r>
              <w:rPr>
                <w:rFonts w:ascii="Calibri" w:hAnsi="Calibri"/>
                <w:color w:val="333333"/>
                <w:sz w:val="20"/>
              </w:rPr>
              <w:t>Diastolic BP (mmHg)</w:t>
            </w:r>
          </w:p>
        </w:tc>
      </w:tr>
      <w:tr>
        <w:trPr>
          <w:cantSplit/>
        </w:trPr>
        <w:tc>
          <w:tcPr>
            <w:tcW w:type="dxa" w:w="3120"/>
            <w:tcMar>
              <w:top w:w="120" w:type="dxa"/>
              <w:bottom w:w="120" w:type="dxa"/>
              <w:left w:w="160" w:type="dxa"/>
              <w:right w:w="160" w:type="dxa"/>
            </w:tcMar>
            <w:shd w:fill="FFFFFF"/>
          </w:tcPr>
          <w:p>
            <w:pPr>
              <w:spacing w:before="40" w:after="40" w:line="276" w:lineRule="auto"/>
            </w:pPr>
            <w:r>
              <w:rPr>
                <w:rFonts w:ascii="Calibri" w:hAnsi="Calibri"/>
                <w:color w:val="333333"/>
                <w:sz w:val="20"/>
              </w:rPr>
              <w:t>Cholesterol_Level</w:t>
            </w:r>
          </w:p>
        </w:tc>
        <w:tc>
          <w:tcPr>
            <w:tcW w:type="dxa" w:w="3120"/>
            <w:tcMar>
              <w:top w:w="120" w:type="dxa"/>
              <w:bottom w:w="120" w:type="dxa"/>
              <w:left w:w="160" w:type="dxa"/>
              <w:right w:w="160" w:type="dxa"/>
            </w:tcMar>
            <w:shd w:fill="FFFFFF"/>
          </w:tcPr>
          <w:p>
            <w:pPr>
              <w:spacing w:before="40" w:after="40" w:line="276" w:lineRule="auto"/>
            </w:pPr>
            <w:r>
              <w:rPr>
                <w:rFonts w:ascii="Calibri" w:hAnsi="Calibri"/>
                <w:color w:val="333333"/>
                <w:sz w:val="20"/>
              </w:rPr>
              <w:t>Numeric</w:t>
            </w:r>
          </w:p>
        </w:tc>
        <w:tc>
          <w:tcPr>
            <w:tcW w:type="dxa" w:w="3120"/>
            <w:tcMar>
              <w:top w:w="120" w:type="dxa"/>
              <w:bottom w:w="120" w:type="dxa"/>
              <w:left w:w="160" w:type="dxa"/>
              <w:right w:w="160" w:type="dxa"/>
            </w:tcMar>
            <w:shd w:fill="FFFFFF"/>
          </w:tcPr>
          <w:p>
            <w:pPr>
              <w:spacing w:before="40" w:after="40" w:line="276" w:lineRule="auto"/>
            </w:pPr>
            <w:r>
              <w:rPr>
                <w:rFonts w:ascii="Calibri" w:hAnsi="Calibri"/>
                <w:color w:val="333333"/>
                <w:sz w:val="20"/>
              </w:rPr>
              <w:t>Cholesterol (mg/dL)</w:t>
            </w:r>
          </w:p>
        </w:tc>
      </w:tr>
      <w:tr>
        <w:trPr>
          <w:cantSplit/>
        </w:trPr>
        <w:tc>
          <w:tcPr>
            <w:tcW w:type="dxa" w:w="3120"/>
            <w:tcMar>
              <w:top w:w="120" w:type="dxa"/>
              <w:bottom w:w="120" w:type="dxa"/>
              <w:left w:w="160" w:type="dxa"/>
              <w:right w:w="160" w:type="dxa"/>
            </w:tcMar>
            <w:shd w:fill="F8FAFC"/>
          </w:tcPr>
          <w:p>
            <w:pPr>
              <w:spacing w:before="40" w:after="40" w:line="276" w:lineRule="auto"/>
            </w:pPr>
            <w:r>
              <w:rPr>
                <w:rFonts w:ascii="Calibri" w:hAnsi="Calibri"/>
                <w:color w:val="333333"/>
                <w:sz w:val="20"/>
              </w:rPr>
              <w:t>Glucose_Level</w:t>
            </w:r>
          </w:p>
        </w:tc>
        <w:tc>
          <w:tcPr>
            <w:tcW w:type="dxa" w:w="3120"/>
            <w:tcMar>
              <w:top w:w="120" w:type="dxa"/>
              <w:bottom w:w="120" w:type="dxa"/>
              <w:left w:w="160" w:type="dxa"/>
              <w:right w:w="160" w:type="dxa"/>
            </w:tcMar>
            <w:shd w:fill="F8FAFC"/>
          </w:tcPr>
          <w:p>
            <w:pPr>
              <w:spacing w:before="40" w:after="40" w:line="276" w:lineRule="auto"/>
            </w:pPr>
            <w:r>
              <w:rPr>
                <w:rFonts w:ascii="Calibri" w:hAnsi="Calibri"/>
                <w:color w:val="333333"/>
                <w:sz w:val="20"/>
              </w:rPr>
              <w:t>Numeric</w:t>
            </w:r>
          </w:p>
        </w:tc>
        <w:tc>
          <w:tcPr>
            <w:tcW w:type="dxa" w:w="3120"/>
            <w:tcMar>
              <w:top w:w="120" w:type="dxa"/>
              <w:bottom w:w="120" w:type="dxa"/>
              <w:left w:w="160" w:type="dxa"/>
              <w:right w:w="160" w:type="dxa"/>
            </w:tcMar>
            <w:shd w:fill="F8FAFC"/>
          </w:tcPr>
          <w:p>
            <w:pPr>
              <w:spacing w:before="40" w:after="40" w:line="276" w:lineRule="auto"/>
            </w:pPr>
            <w:r>
              <w:rPr>
                <w:rFonts w:ascii="Calibri" w:hAnsi="Calibri"/>
                <w:color w:val="333333"/>
                <w:sz w:val="20"/>
              </w:rPr>
              <w:t>Glucose (mg/dL)</w:t>
            </w:r>
          </w:p>
        </w:tc>
      </w:tr>
      <w:tr>
        <w:trPr>
          <w:cantSplit/>
        </w:trPr>
        <w:tc>
          <w:tcPr>
            <w:tcW w:type="dxa" w:w="3120"/>
            <w:tcMar>
              <w:top w:w="120" w:type="dxa"/>
              <w:bottom w:w="120" w:type="dxa"/>
              <w:left w:w="160" w:type="dxa"/>
              <w:right w:w="160" w:type="dxa"/>
            </w:tcMar>
            <w:shd w:fill="FFFFFF"/>
          </w:tcPr>
          <w:p>
            <w:pPr>
              <w:spacing w:before="40" w:after="40" w:line="276" w:lineRule="auto"/>
            </w:pPr>
            <w:r>
              <w:rPr>
                <w:rFonts w:ascii="Calibri" w:hAnsi="Calibri"/>
                <w:color w:val="333333"/>
                <w:sz w:val="20"/>
              </w:rPr>
              <w:t>Family_History</w:t>
            </w:r>
          </w:p>
        </w:tc>
        <w:tc>
          <w:tcPr>
            <w:tcW w:type="dxa" w:w="3120"/>
            <w:tcMar>
              <w:top w:w="120" w:type="dxa"/>
              <w:bottom w:w="120" w:type="dxa"/>
              <w:left w:w="160" w:type="dxa"/>
              <w:right w:w="160" w:type="dxa"/>
            </w:tcMar>
            <w:shd w:fill="FFFFFF"/>
          </w:tcPr>
          <w:p>
            <w:pPr>
              <w:spacing w:before="40" w:after="40" w:line="276" w:lineRule="auto"/>
            </w:pPr>
            <w:r>
              <w:rPr>
                <w:rFonts w:ascii="Calibri" w:hAnsi="Calibri"/>
                <w:color w:val="333333"/>
                <w:sz w:val="20"/>
              </w:rPr>
              <w:t>Categorical</w:t>
            </w:r>
          </w:p>
        </w:tc>
        <w:tc>
          <w:tcPr>
            <w:tcW w:type="dxa" w:w="3120"/>
            <w:tcMar>
              <w:top w:w="120" w:type="dxa"/>
              <w:bottom w:w="120" w:type="dxa"/>
              <w:left w:w="160" w:type="dxa"/>
              <w:right w:w="160" w:type="dxa"/>
            </w:tcMar>
            <w:shd w:fill="FFFFFF"/>
          </w:tcPr>
          <w:p>
            <w:pPr>
              <w:spacing w:before="40" w:after="40" w:line="276" w:lineRule="auto"/>
            </w:pPr>
            <w:r>
              <w:rPr>
                <w:rFonts w:ascii="Calibri" w:hAnsi="Calibri"/>
                <w:color w:val="333333"/>
                <w:sz w:val="20"/>
              </w:rPr>
              <w:t>Yes / No</w:t>
            </w:r>
          </w:p>
        </w:tc>
      </w:tr>
      <w:tr>
        <w:trPr>
          <w:cantSplit/>
        </w:trPr>
        <w:tc>
          <w:tcPr>
            <w:tcW w:type="dxa" w:w="3120"/>
            <w:tcMar>
              <w:top w:w="120" w:type="dxa"/>
              <w:bottom w:w="120" w:type="dxa"/>
              <w:left w:w="160" w:type="dxa"/>
              <w:right w:w="160" w:type="dxa"/>
            </w:tcMar>
            <w:shd w:fill="F8FAFC"/>
          </w:tcPr>
          <w:p>
            <w:pPr>
              <w:spacing w:before="40" w:after="40" w:line="276" w:lineRule="auto"/>
            </w:pPr>
            <w:r>
              <w:rPr>
                <w:rFonts w:ascii="Calibri" w:hAnsi="Calibri"/>
                <w:color w:val="333333"/>
                <w:sz w:val="20"/>
              </w:rPr>
              <w:t>Genetic_Risk_Score</w:t>
            </w:r>
          </w:p>
        </w:tc>
        <w:tc>
          <w:tcPr>
            <w:tcW w:type="dxa" w:w="3120"/>
            <w:tcMar>
              <w:top w:w="120" w:type="dxa"/>
              <w:bottom w:w="120" w:type="dxa"/>
              <w:left w:w="160" w:type="dxa"/>
              <w:right w:w="160" w:type="dxa"/>
            </w:tcMar>
            <w:shd w:fill="F8FAFC"/>
          </w:tcPr>
          <w:p>
            <w:pPr>
              <w:spacing w:before="40" w:after="40" w:line="276" w:lineRule="auto"/>
            </w:pPr>
            <w:r>
              <w:rPr>
                <w:rFonts w:ascii="Calibri" w:hAnsi="Calibri"/>
                <w:color w:val="333333"/>
                <w:sz w:val="20"/>
              </w:rPr>
              <w:t>Numeric</w:t>
            </w:r>
          </w:p>
        </w:tc>
        <w:tc>
          <w:tcPr>
            <w:tcW w:type="dxa" w:w="3120"/>
            <w:tcMar>
              <w:top w:w="120" w:type="dxa"/>
              <w:bottom w:w="120" w:type="dxa"/>
              <w:left w:w="160" w:type="dxa"/>
              <w:right w:w="160" w:type="dxa"/>
            </w:tcMar>
            <w:shd w:fill="F8FAFC"/>
          </w:tcPr>
          <w:p>
            <w:pPr>
              <w:spacing w:before="40" w:after="40" w:line="276" w:lineRule="auto"/>
            </w:pPr>
            <w:r>
              <w:rPr>
                <w:rFonts w:ascii="Calibri" w:hAnsi="Calibri"/>
                <w:color w:val="333333"/>
                <w:sz w:val="20"/>
              </w:rPr>
              <w:t>Continuous score, 0.2–0.93 in this dataset</w:t>
            </w:r>
          </w:p>
        </w:tc>
      </w:tr>
      <w:tr>
        <w:trPr>
          <w:cantSplit/>
        </w:trPr>
        <w:tc>
          <w:tcPr>
            <w:tcW w:type="dxa" w:w="3120"/>
            <w:tcMar>
              <w:top w:w="120" w:type="dxa"/>
              <w:bottom w:w="120" w:type="dxa"/>
              <w:left w:w="160" w:type="dxa"/>
              <w:right w:w="160" w:type="dxa"/>
            </w:tcMar>
            <w:shd w:fill="FFFFFF"/>
          </w:tcPr>
          <w:p>
            <w:pPr>
              <w:spacing w:before="40" w:after="40" w:line="276" w:lineRule="auto"/>
            </w:pPr>
            <w:r>
              <w:rPr>
                <w:rFonts w:ascii="Calibri" w:hAnsi="Calibri"/>
                <w:color w:val="333333"/>
                <w:sz w:val="20"/>
              </w:rPr>
              <w:t>Previous_Diagnosis</w:t>
            </w:r>
          </w:p>
        </w:tc>
        <w:tc>
          <w:tcPr>
            <w:tcW w:type="dxa" w:w="3120"/>
            <w:tcMar>
              <w:top w:w="120" w:type="dxa"/>
              <w:bottom w:w="120" w:type="dxa"/>
              <w:left w:w="160" w:type="dxa"/>
              <w:right w:w="160" w:type="dxa"/>
            </w:tcMar>
            <w:shd w:fill="FFFFFF"/>
          </w:tcPr>
          <w:p>
            <w:pPr>
              <w:spacing w:before="40" w:after="40" w:line="276" w:lineRule="auto"/>
            </w:pPr>
            <w:r>
              <w:rPr>
                <w:rFonts w:ascii="Calibri" w:hAnsi="Calibri"/>
                <w:color w:val="333333"/>
                <w:sz w:val="20"/>
              </w:rPr>
              <w:t>Categorical</w:t>
            </w:r>
          </w:p>
        </w:tc>
        <w:tc>
          <w:tcPr>
            <w:tcW w:type="dxa" w:w="3120"/>
            <w:tcMar>
              <w:top w:w="120" w:type="dxa"/>
              <w:bottom w:w="120" w:type="dxa"/>
              <w:left w:w="160" w:type="dxa"/>
              <w:right w:w="160" w:type="dxa"/>
            </w:tcMar>
            <w:shd w:fill="FFFFFF"/>
          </w:tcPr>
          <w:p>
            <w:pPr>
              <w:spacing w:before="40" w:after="40" w:line="276" w:lineRule="auto"/>
            </w:pPr>
            <w:r>
              <w:rPr>
                <w:rFonts w:ascii="Calibri" w:hAnsi="Calibri"/>
                <w:color w:val="333333"/>
                <w:sz w:val="20"/>
              </w:rPr>
              <w:t>None / Pre-disease / Diagnosed</w:t>
            </w:r>
          </w:p>
        </w:tc>
      </w:tr>
      <w:tr>
        <w:trPr>
          <w:cantSplit/>
        </w:trPr>
        <w:tc>
          <w:tcPr>
            <w:tcW w:type="dxa" w:w="3120"/>
            <w:tcMar>
              <w:top w:w="120" w:type="dxa"/>
              <w:bottom w:w="120" w:type="dxa"/>
              <w:left w:w="160" w:type="dxa"/>
              <w:right w:w="160" w:type="dxa"/>
            </w:tcMar>
            <w:shd w:fill="F8FAFC"/>
          </w:tcPr>
          <w:p>
            <w:pPr>
              <w:spacing w:before="40" w:after="40" w:line="276" w:lineRule="auto"/>
            </w:pPr>
            <w:r>
              <w:rPr>
                <w:rFonts w:ascii="Calibri" w:hAnsi="Calibri"/>
                <w:color w:val="333333"/>
                <w:sz w:val="20"/>
              </w:rPr>
              <w:t>Disease_Risk</w:t>
            </w:r>
          </w:p>
        </w:tc>
        <w:tc>
          <w:tcPr>
            <w:tcW w:type="dxa" w:w="3120"/>
            <w:tcMar>
              <w:top w:w="120" w:type="dxa"/>
              <w:bottom w:w="120" w:type="dxa"/>
              <w:left w:w="160" w:type="dxa"/>
              <w:right w:w="160" w:type="dxa"/>
            </w:tcMar>
            <w:shd w:fill="F8FAFC"/>
          </w:tcPr>
          <w:p>
            <w:pPr>
              <w:spacing w:before="40" w:after="40" w:line="276" w:lineRule="auto"/>
            </w:pPr>
            <w:r>
              <w:rPr>
                <w:rFonts w:ascii="Calibri" w:hAnsi="Calibri"/>
                <w:color w:val="333333"/>
                <w:sz w:val="20"/>
              </w:rPr>
              <w:t>Categorical (Target)</w:t>
            </w:r>
          </w:p>
        </w:tc>
        <w:tc>
          <w:tcPr>
            <w:tcW w:type="dxa" w:w="3120"/>
            <w:tcMar>
              <w:top w:w="120" w:type="dxa"/>
              <w:bottom w:w="120" w:type="dxa"/>
              <w:left w:w="160" w:type="dxa"/>
              <w:right w:w="160" w:type="dxa"/>
            </w:tcMar>
            <w:shd w:fill="F8FAFC"/>
          </w:tcPr>
          <w:p>
            <w:pPr>
              <w:spacing w:before="40" w:after="40" w:line="276" w:lineRule="auto"/>
            </w:pPr>
            <w:r>
              <w:rPr>
                <w:rFonts w:ascii="Calibri" w:hAnsi="Calibri"/>
                <w:color w:val="333333"/>
                <w:sz w:val="20"/>
              </w:rPr>
              <w:t>Yes / No</w:t>
            </w:r>
          </w:p>
        </w:tc>
      </w:tr>
    </w:tbl>
    <w:p>
      <w:pPr>
        <w:spacing w:after="120"/>
      </w:pPr>
    </w:p>
    <w:p>
      <w:pPr>
        <w:keepNext/>
        <w:spacing w:before="200" w:after="60"/>
      </w:pPr>
      <w:r>
        <w:rPr>
          <w:rFonts w:ascii="Calibri" w:hAnsi="Calibri"/>
          <w:b/>
          <w:color w:val="1F4E79"/>
          <w:sz w:val="26"/>
        </w:rPr>
        <w:t>2.5 Target Variable</w:t>
      </w:r>
    </w:p>
    <w:p>
      <w:pPr>
        <w:spacing w:before="40" w:after="120" w:line="288" w:lineRule="auto"/>
      </w:pPr>
      <w:r>
        <w:rPr>
          <w:rFonts w:ascii="Consolas" w:hAnsi="Consolas"/>
          <w:color w:val="005599"/>
          <w:sz w:val="19"/>
        </w:rPr>
        <w:t>Disease_Risk</w:t>
      </w:r>
      <w:r>
        <w:rPr>
          <w:color w:val="333333"/>
        </w:rPr>
        <w:t xml:space="preserve"> is binary: </w:t>
      </w:r>
      <w:r>
        <w:rPr>
          <w:b/>
          <w:color w:val="1F2937"/>
        </w:rPr>
        <w:t>3,419 "No"</w:t>
      </w:r>
      <w:r>
        <w:rPr>
          <w:color w:val="333333"/>
        </w:rPr>
        <w:t xml:space="preserve"> records and </w:t>
      </w:r>
      <w:r>
        <w:rPr>
          <w:b/>
          <w:color w:val="1F2937"/>
        </w:rPr>
        <w:t>581 "Yes"</w:t>
      </w:r>
      <w:r>
        <w:rPr>
          <w:color w:val="333333"/>
        </w:rPr>
        <w:t xml:space="preserve"> records (≈14.5% positive class) — a moderately imbalanced classification problem.</w:t>
      </w:r>
    </w:p>
    <w:p>
      <w:pPr>
        <w:keepNext/>
        <w:spacing w:before="200" w:after="60"/>
      </w:pPr>
      <w:r>
        <w:rPr>
          <w:rFonts w:ascii="Calibri" w:hAnsi="Calibri"/>
          <w:b/>
          <w:color w:val="1F4E79"/>
          <w:sz w:val="26"/>
        </w:rPr>
        <w:t>2.6 Missing Values</w:t>
      </w:r>
    </w:p>
    <w:p>
      <w:pPr>
        <w:spacing w:before="40" w:after="120" w:line="288" w:lineRule="auto"/>
      </w:pPr>
      <w:r>
        <w:rPr>
          <w:color w:val="333333"/>
        </w:rPr>
        <w:t>An inspection of the raw dataset found:</w:t>
      </w:r>
    </w:p>
    <w:p>
      <w:pPr>
        <w:pStyle w:val="ListBullet"/>
        <w:spacing w:before="20" w:after="40" w:line="276" w:lineRule="auto"/>
      </w:pPr>
      <w:r>
        <w:rPr>
          <w:rFonts w:ascii="Consolas" w:hAnsi="Consolas"/>
          <w:color w:val="005599"/>
          <w:sz w:val="19"/>
        </w:rPr>
        <w:t>Alcohol_Consumption</w:t>
      </w:r>
      <w:r>
        <w:rPr>
          <w:color w:val="333333"/>
        </w:rPr>
        <w:t>: 1,639 missing values</w:t>
      </w:r>
    </w:p>
    <w:p>
      <w:pPr>
        <w:pStyle w:val="ListBullet"/>
        <w:spacing w:before="20" w:after="40" w:line="276" w:lineRule="auto"/>
      </w:pPr>
      <w:r>
        <w:rPr>
          <w:rFonts w:ascii="Consolas" w:hAnsi="Consolas"/>
          <w:color w:val="005599"/>
          <w:sz w:val="19"/>
        </w:rPr>
        <w:t>Previous_Diagnosis</w:t>
      </w:r>
      <w:r>
        <w:rPr>
          <w:color w:val="333333"/>
        </w:rPr>
        <w:t>: 2,027 missing values</w:t>
      </w:r>
    </w:p>
    <w:p>
      <w:pPr>
        <w:pStyle w:val="ListBullet"/>
        <w:spacing w:before="20" w:after="40" w:line="276" w:lineRule="auto"/>
      </w:pPr>
      <w:r>
        <w:rPr>
          <w:color w:val="333333"/>
        </w:rPr>
        <w:t>No missing values in any other column</w:t>
      </w:r>
    </w:p>
    <w:p>
      <w:pPr>
        <w:pStyle w:val="ListBullet"/>
        <w:spacing w:before="20" w:after="40" w:line="276" w:lineRule="auto"/>
      </w:pPr>
      <w:r>
        <w:rPr>
          <w:b/>
          <w:color w:val="1F2937"/>
        </w:rPr>
        <w:t>0 duplicate rows</w:t>
      </w:r>
    </w:p>
    <w:p>
      <w:pPr>
        <w:spacing w:before="40" w:after="120" w:line="288" w:lineRule="auto"/>
      </w:pPr>
      <w:r>
        <w:rPr>
          <w:color w:val="333333"/>
        </w:rPr>
        <w:t xml:space="preserve">These two columns' missing values were determined to represent a meaningful real-world state (i.e. "no alcohol consumption reported" / "no previous diagnosis") rather than random or erroneous missingness, so they were filled with an explicit </w:t>
      </w:r>
      <w:r>
        <w:rPr>
          <w:rFonts w:ascii="Consolas" w:hAnsi="Consolas"/>
          <w:color w:val="005599"/>
          <w:sz w:val="19"/>
        </w:rPr>
        <w:t>"None"</w:t>
      </w:r>
      <w:r>
        <w:rPr>
          <w:color w:val="333333"/>
        </w:rPr>
        <w:t xml:space="preserve"> category rather than being dropped or imputed with the column mode — preserving all 4,000 records.</w:t>
      </w:r>
    </w:p>
    <w:p>
      <w:pPr>
        <w:keepNext/>
        <w:spacing w:before="200" w:after="60"/>
      </w:pPr>
      <w:r>
        <w:rPr>
          <w:rFonts w:ascii="Calibri" w:hAnsi="Calibri"/>
          <w:b/>
          <w:color w:val="1F4E79"/>
          <w:sz w:val="26"/>
        </w:rPr>
        <w:t>2.7 Data Preprocessing</w:t>
      </w:r>
    </w:p>
    <w:p>
      <w:pPr>
        <w:pStyle w:val="ListNumber"/>
        <w:spacing w:before="20" w:after="40" w:line="276" w:lineRule="auto"/>
      </w:pPr>
      <w:r>
        <w:rPr>
          <w:color w:val="333333"/>
        </w:rPr>
        <w:t>Duplicate row removal (0 rows removed — none were present).</w:t>
      </w:r>
    </w:p>
    <w:p>
      <w:pPr>
        <w:pStyle w:val="ListNumber"/>
        <w:spacing w:before="20" w:after="40" w:line="276" w:lineRule="auto"/>
      </w:pPr>
      <w:r>
        <w:rPr>
          <w:color w:val="333333"/>
        </w:rPr>
        <w:t xml:space="preserve">Explicit </w:t>
      </w:r>
      <w:r>
        <w:rPr>
          <w:rFonts w:ascii="Consolas" w:hAnsi="Consolas"/>
          <w:color w:val="005599"/>
          <w:sz w:val="19"/>
        </w:rPr>
        <w:t>"None"</w:t>
      </w:r>
      <w:r>
        <w:rPr>
          <w:color w:val="333333"/>
        </w:rPr>
        <w:t xml:space="preserve"> category fill for </w:t>
      </w:r>
      <w:r>
        <w:rPr>
          <w:rFonts w:ascii="Consolas" w:hAnsi="Consolas"/>
          <w:color w:val="005599"/>
          <w:sz w:val="19"/>
        </w:rPr>
        <w:t>Alcohol_Consumption</w:t>
      </w:r>
      <w:r>
        <w:rPr>
          <w:color w:val="333333"/>
        </w:rPr>
        <w:t xml:space="preserve"> and </w:t>
      </w:r>
      <w:r>
        <w:rPr>
          <w:rFonts w:ascii="Consolas" w:hAnsi="Consolas"/>
          <w:color w:val="005599"/>
          <w:sz w:val="19"/>
        </w:rPr>
        <w:t>Previous_Diagnosis</w:t>
      </w:r>
      <w:r>
        <w:rPr>
          <w:color w:val="333333"/>
        </w:rPr>
        <w:t>.</w:t>
      </w:r>
    </w:p>
    <w:p>
      <w:pPr>
        <w:pStyle w:val="ListNumber"/>
        <w:spacing w:before="20" w:after="40" w:line="276" w:lineRule="auto"/>
      </w:pPr>
      <w:r>
        <w:rPr>
          <w:color w:val="333333"/>
        </w:rPr>
        <w:t>Defensive numeric range clipping for physically implausible values (none triggered in practice on this dataset, but included for robustness).</w:t>
      </w:r>
    </w:p>
    <w:p>
      <w:pPr>
        <w:pStyle w:val="ListNumber"/>
        <w:spacing w:before="20" w:after="40" w:line="276" w:lineRule="auto"/>
      </w:pPr>
      <w:r>
        <w:rPr>
          <w:color w:val="333333"/>
        </w:rPr>
        <w:t xml:space="preserve">Removal of the </w:t>
      </w:r>
      <w:r>
        <w:rPr>
          <w:rFonts w:ascii="Consolas" w:hAnsi="Consolas"/>
          <w:color w:val="005599"/>
          <w:sz w:val="19"/>
        </w:rPr>
        <w:t>Patient_ID</w:t>
      </w:r>
      <w:r>
        <w:rPr>
          <w:color w:val="333333"/>
        </w:rPr>
        <w:t xml:space="preserve"> column prior to modeling (identifier column, no predictive value, risk of leakage/overfitting if included).</w:t>
      </w:r>
    </w:p>
    <w:p>
      <w:pPr>
        <w:pStyle w:val="ListNumber"/>
        <w:spacing w:before="20" w:after="40" w:line="276" w:lineRule="auto"/>
      </w:pPr>
      <w:r>
        <w:rPr>
          <w:color w:val="333333"/>
        </w:rPr>
        <w:t>Label encoding of the target (</w:t>
      </w:r>
      <w:r>
        <w:rPr>
          <w:rFonts w:ascii="Consolas" w:hAnsi="Consolas"/>
          <w:color w:val="005599"/>
          <w:sz w:val="19"/>
        </w:rPr>
        <w:t>Yes</w:t>
      </w:r>
      <w:r>
        <w:rPr>
          <w:color w:val="333333"/>
        </w:rPr>
        <w:t xml:space="preserve"> → 1, </w:t>
      </w:r>
      <w:r>
        <w:rPr>
          <w:rFonts w:ascii="Consolas" w:hAnsi="Consolas"/>
          <w:color w:val="005599"/>
          <w:sz w:val="19"/>
        </w:rPr>
        <w:t>No</w:t>
      </w:r>
      <w:r>
        <w:rPr>
          <w:color w:val="333333"/>
        </w:rPr>
        <w:t xml:space="preserve"> → 0).</w:t>
      </w:r>
    </w:p>
    <w:p>
      <w:pPr>
        <w:pStyle w:val="ListNumber"/>
        <w:spacing w:before="20" w:after="40" w:line="276" w:lineRule="auto"/>
      </w:pPr>
      <w:r>
        <w:rPr>
          <w:color w:val="333333"/>
        </w:rPr>
        <w:t>Numeric features: median imputation + standardization (</w:t>
      </w:r>
      <w:r>
        <w:rPr>
          <w:rFonts w:ascii="Consolas" w:hAnsi="Consolas"/>
          <w:color w:val="005599"/>
          <w:sz w:val="19"/>
        </w:rPr>
        <w:t>StandardScaler</w:t>
      </w:r>
      <w:r>
        <w:rPr>
          <w:color w:val="333333"/>
        </w:rPr>
        <w:t>).</w:t>
      </w:r>
    </w:p>
    <w:p>
      <w:pPr>
        <w:pStyle w:val="ListNumber"/>
        <w:spacing w:before="20" w:after="40" w:line="276" w:lineRule="auto"/>
      </w:pPr>
      <w:r>
        <w:rPr>
          <w:color w:val="333333"/>
        </w:rPr>
        <w:t>Categorical features: most-frequent imputation + one-hot encoding (</w:t>
      </w:r>
      <w:r>
        <w:rPr>
          <w:rFonts w:ascii="Consolas" w:hAnsi="Consolas"/>
          <w:color w:val="005599"/>
          <w:sz w:val="19"/>
        </w:rPr>
        <w:t>OneHotEncoder(handle_unknown="ignore")</w:t>
      </w:r>
      <w:r>
        <w:rPr>
          <w:color w:val="333333"/>
        </w:rPr>
        <w:t>).</w:t>
      </w:r>
    </w:p>
    <w:p>
      <w:pPr>
        <w:pStyle w:val="ListNumber"/>
        <w:spacing w:before="20" w:after="40" w:line="276" w:lineRule="auto"/>
      </w:pPr>
      <w:r>
        <w:rPr>
          <w:color w:val="333333"/>
        </w:rPr>
        <w:t xml:space="preserve">All imputation/scaling/encoding steps were fit </w:t>
      </w:r>
      <w:r>
        <w:rPr>
          <w:b/>
          <w:color w:val="1F2937"/>
        </w:rPr>
        <w:t>only on the training split</w:t>
      </w:r>
      <w:r>
        <w:rPr>
          <w:color w:val="333333"/>
        </w:rPr>
        <w:t xml:space="preserve"> and then applied to the test split and to new patient inputs, preventing data leakage.</w:t>
      </w:r>
    </w:p>
    <w:p>
      <w:pPr>
        <w:spacing w:before="160" w:after="160"/>
        <w:pBdr>
          <w:bottom w:val="single" w:sz="6" w:space="1" w:color="0066CC"/>
        </w:pBdr>
      </w:pPr>
    </w:p>
    <w:p>
      <w:pPr>
        <w:keepNext/>
        <w:spacing w:before="280" w:after="80"/>
      </w:pPr>
      <w:r>
        <w:rPr>
          <w:rFonts w:ascii="Calibri" w:hAnsi="Calibri"/>
          <w:b/>
          <w:color w:val="005599"/>
          <w:sz w:val="32"/>
        </w:rPr>
        <w:t>Chapter 3 — Technologies</w:t>
      </w:r>
    </w:p>
    <w:p>
      <w:pPr>
        <w:keepNext/>
        <w:spacing w:before="200" w:after="60"/>
      </w:pPr>
      <w:r>
        <w:rPr>
          <w:rFonts w:ascii="Calibri" w:hAnsi="Calibri"/>
          <w:b/>
          <w:color w:val="1F4E79"/>
          <w:sz w:val="26"/>
        </w:rPr>
        <w:t>3.1 Python</w:t>
      </w:r>
    </w:p>
    <w:p>
      <w:pPr>
        <w:spacing w:before="40" w:after="120" w:line="288" w:lineRule="auto"/>
      </w:pPr>
      <w:r>
        <w:rPr>
          <w:color w:val="333333"/>
        </w:rPr>
        <w:t>The core programming language used throughout the project (data processing, modeling, and the web application).</w:t>
      </w:r>
    </w:p>
    <w:p>
      <w:pPr>
        <w:keepNext/>
        <w:spacing w:before="200" w:after="60"/>
      </w:pPr>
      <w:r>
        <w:rPr>
          <w:rFonts w:ascii="Calibri" w:hAnsi="Calibri"/>
          <w:b/>
          <w:color w:val="1F4E79"/>
          <w:sz w:val="26"/>
        </w:rPr>
        <w:t>3.2 Pandas</w:t>
      </w:r>
    </w:p>
    <w:p>
      <w:pPr>
        <w:spacing w:before="40" w:after="120" w:line="288" w:lineRule="auto"/>
      </w:pPr>
      <w:r>
        <w:rPr>
          <w:color w:val="333333"/>
        </w:rPr>
        <w:t>Used for loading, cleaning, filtering, grouping, and summarizing the tabular dataset throughout preprocessing, EDA, and the dashboard.</w:t>
      </w:r>
    </w:p>
    <w:p>
      <w:pPr>
        <w:keepNext/>
        <w:spacing w:before="200" w:after="60"/>
      </w:pPr>
      <w:r>
        <w:rPr>
          <w:rFonts w:ascii="Calibri" w:hAnsi="Calibri"/>
          <w:b/>
          <w:color w:val="1F4E79"/>
          <w:sz w:val="26"/>
        </w:rPr>
        <w:t>3.3 NumPy</w:t>
      </w:r>
    </w:p>
    <w:p>
      <w:pPr>
        <w:spacing w:before="40" w:after="120" w:line="288" w:lineRule="auto"/>
      </w:pPr>
      <w:r>
        <w:rPr>
          <w:color w:val="333333"/>
        </w:rPr>
        <w:t>Used for numerical array operations underlying Pandas and Scikit-learn, and for direct numeric operations such as building the confusion matrix array for display.</w:t>
      </w:r>
    </w:p>
    <w:p>
      <w:pPr>
        <w:keepNext/>
        <w:spacing w:before="200" w:after="60"/>
      </w:pPr>
      <w:r>
        <w:rPr>
          <w:rFonts w:ascii="Calibri" w:hAnsi="Calibri"/>
          <w:b/>
          <w:color w:val="1F4E79"/>
          <w:sz w:val="26"/>
        </w:rPr>
        <w:t>3.4 Scikit-learn</w:t>
      </w:r>
    </w:p>
    <w:p>
      <w:pPr>
        <w:spacing w:before="40" w:after="120" w:line="288" w:lineRule="auto"/>
      </w:pPr>
      <w:r>
        <w:rPr>
          <w:color w:val="333333"/>
        </w:rPr>
        <w:t>Used for the preprocessing pipeline (</w:t>
      </w:r>
      <w:r>
        <w:rPr>
          <w:rFonts w:ascii="Consolas" w:hAnsi="Consolas"/>
          <w:color w:val="005599"/>
          <w:sz w:val="19"/>
        </w:rPr>
        <w:t>ColumnTransformer</w:t>
      </w:r>
      <w:r>
        <w:rPr>
          <w:color w:val="333333"/>
        </w:rPr>
        <w:t xml:space="preserve">, </w:t>
      </w:r>
      <w:r>
        <w:rPr>
          <w:rFonts w:ascii="Consolas" w:hAnsi="Consolas"/>
          <w:color w:val="005599"/>
          <w:sz w:val="19"/>
        </w:rPr>
        <w:t>Pipeline</w:t>
      </w:r>
      <w:r>
        <w:rPr>
          <w:color w:val="333333"/>
        </w:rPr>
        <w:t xml:space="preserve">, </w:t>
      </w:r>
      <w:r>
        <w:rPr>
          <w:rFonts w:ascii="Consolas" w:hAnsi="Consolas"/>
          <w:color w:val="005599"/>
          <w:sz w:val="19"/>
        </w:rPr>
        <w:t>SimpleImputer</w:t>
      </w:r>
      <w:r>
        <w:rPr>
          <w:color w:val="333333"/>
        </w:rPr>
        <w:t xml:space="preserve">, </w:t>
      </w:r>
      <w:r>
        <w:rPr>
          <w:rFonts w:ascii="Consolas" w:hAnsi="Consolas"/>
          <w:color w:val="005599"/>
          <w:sz w:val="19"/>
        </w:rPr>
        <w:t>StandardScaler</w:t>
      </w:r>
      <w:r>
        <w:rPr>
          <w:color w:val="333333"/>
        </w:rPr>
        <w:t xml:space="preserve">, </w:t>
      </w:r>
      <w:r>
        <w:rPr>
          <w:rFonts w:ascii="Consolas" w:hAnsi="Consolas"/>
          <w:color w:val="005599"/>
          <w:sz w:val="19"/>
        </w:rPr>
        <w:t>OneHotEncoder</w:t>
      </w:r>
      <w:r>
        <w:rPr>
          <w:color w:val="333333"/>
        </w:rPr>
        <w:t>), the four classification algorithms, the train/test split, and all evaluation metrics.</w:t>
      </w:r>
    </w:p>
    <w:p>
      <w:pPr>
        <w:keepNext/>
        <w:spacing w:before="200" w:after="60"/>
      </w:pPr>
      <w:r>
        <w:rPr>
          <w:rFonts w:ascii="Calibri" w:hAnsi="Calibri"/>
          <w:b/>
          <w:color w:val="1F4E79"/>
          <w:sz w:val="26"/>
        </w:rPr>
        <w:t>3.5 Streamlit</w:t>
      </w:r>
    </w:p>
    <w:p>
      <w:pPr>
        <w:spacing w:before="40" w:after="120" w:line="288" w:lineRule="auto"/>
      </w:pPr>
      <w:r>
        <w:rPr>
          <w:color w:val="333333"/>
        </w:rPr>
        <w:t>Used to build the entire interactive, multi-page web application without writing any HTML/CSS/JavaScript framework code (light custom CSS is injected for card styling only).</w:t>
      </w:r>
    </w:p>
    <w:p>
      <w:pPr>
        <w:keepNext/>
        <w:spacing w:before="200" w:after="60"/>
      </w:pPr>
      <w:r>
        <w:rPr>
          <w:rFonts w:ascii="Calibri" w:hAnsi="Calibri"/>
          <w:b/>
          <w:color w:val="1F4E79"/>
          <w:sz w:val="26"/>
        </w:rPr>
        <w:t>3.6 Plotly / Matplotlib / Seaborn</w:t>
      </w:r>
    </w:p>
    <w:p>
      <w:pPr>
        <w:spacing w:before="40" w:after="120" w:line="288" w:lineRule="auto"/>
      </w:pPr>
      <w:r>
        <w:rPr>
          <w:color w:val="333333"/>
        </w:rPr>
        <w:t>Plotly powers the interactive charts inside the Streamlit app (histograms, bar charts, pie charts, gauge indicator, ROC curve, confusion matrix heatmap). Matplotlib and Seaborn are used in the standalone Jupyter notebook for static exploratory data analysis.</w:t>
      </w:r>
    </w:p>
    <w:p>
      <w:pPr>
        <w:keepNext/>
        <w:spacing w:before="200" w:after="60"/>
      </w:pPr>
      <w:r>
        <w:rPr>
          <w:rFonts w:ascii="Calibri" w:hAnsi="Calibri"/>
          <w:b/>
          <w:color w:val="1F4E79"/>
          <w:sz w:val="26"/>
        </w:rPr>
        <w:t>3.7 Joblib</w:t>
      </w:r>
    </w:p>
    <w:p>
      <w:pPr>
        <w:spacing w:before="40" w:after="120" w:line="288" w:lineRule="auto"/>
      </w:pPr>
      <w:r>
        <w:rPr>
          <w:color w:val="333333"/>
        </w:rPr>
        <w:t>Used to serialize (</w:t>
      </w:r>
      <w:r>
        <w:rPr>
          <w:rFonts w:ascii="Consolas" w:hAnsi="Consolas"/>
          <w:color w:val="005599"/>
          <w:sz w:val="19"/>
        </w:rPr>
        <w:t>joblib.dump</w:t>
      </w:r>
      <w:r>
        <w:rPr>
          <w:color w:val="333333"/>
        </w:rPr>
        <w:t>) and deserialize (</w:t>
      </w:r>
      <w:r>
        <w:rPr>
          <w:rFonts w:ascii="Consolas" w:hAnsi="Consolas"/>
          <w:color w:val="005599"/>
          <w:sz w:val="19"/>
        </w:rPr>
        <w:t>joblib.load</w:t>
      </w:r>
      <w:r>
        <w:rPr>
          <w:color w:val="333333"/>
        </w:rPr>
        <w:t>) the fitted preprocessing pipeline and the trained model, so the Streamlit app can make predictions instantly without retraining on every run.</w:t>
      </w:r>
    </w:p>
    <w:p>
      <w:pPr>
        <w:spacing w:before="160" w:after="160"/>
        <w:pBdr>
          <w:bottom w:val="single" w:sz="6" w:space="1" w:color="0066CC"/>
        </w:pBdr>
      </w:pPr>
    </w:p>
    <w:p>
      <w:pPr>
        <w:keepNext/>
        <w:spacing w:before="280" w:after="80"/>
      </w:pPr>
      <w:r>
        <w:rPr>
          <w:rFonts w:ascii="Calibri" w:hAnsi="Calibri"/>
          <w:b/>
          <w:color w:val="005599"/>
          <w:sz w:val="32"/>
        </w:rPr>
        <w:t>Chapter 4 — Methodology</w:t>
      </w:r>
    </w:p>
    <w:p>
      <w:pPr>
        <w:keepNext/>
        <w:spacing w:before="200" w:after="60"/>
      </w:pPr>
      <w:r>
        <w:rPr>
          <w:rFonts w:ascii="Calibri" w:hAnsi="Calibri"/>
          <w:b/>
          <w:color w:val="1F4E79"/>
          <w:sz w:val="26"/>
        </w:rPr>
        <w:t>4.1 Data Collection</w:t>
      </w:r>
    </w:p>
    <w:p>
      <w:pPr>
        <w:spacing w:before="40" w:after="120" w:line="288" w:lineRule="auto"/>
      </w:pPr>
      <w:r>
        <w:rPr>
          <w:color w:val="333333"/>
        </w:rPr>
        <w:t>The dataset was provided as a single CSV file of synthetic patient records (no external data collection was performed).</w:t>
      </w:r>
    </w:p>
    <w:p>
      <w:pPr>
        <w:keepNext/>
        <w:spacing w:before="200" w:after="60"/>
      </w:pPr>
      <w:r>
        <w:rPr>
          <w:rFonts w:ascii="Calibri" w:hAnsi="Calibri"/>
          <w:b/>
          <w:color w:val="1F4E79"/>
          <w:sz w:val="26"/>
        </w:rPr>
        <w:t>4.2 Data Preprocessing</w:t>
      </w:r>
    </w:p>
    <w:p>
      <w:pPr>
        <w:spacing w:before="40" w:after="120" w:line="288" w:lineRule="auto"/>
      </w:pPr>
      <w:r>
        <w:rPr>
          <w:color w:val="333333"/>
        </w:rPr>
        <w:t xml:space="preserve">See Chapter 2.7 above — cleaning, meaningful missing-value handling, and a scikit-learn </w:t>
      </w:r>
      <w:r>
        <w:rPr>
          <w:rFonts w:ascii="Consolas" w:hAnsi="Consolas"/>
          <w:color w:val="005599"/>
          <w:sz w:val="19"/>
        </w:rPr>
        <w:t>ColumnTransformer</w:t>
      </w:r>
      <w:r>
        <w:rPr>
          <w:color w:val="333333"/>
        </w:rPr>
        <w:t xml:space="preserve"> for imputation, scaling, and encoding.</w:t>
      </w:r>
    </w:p>
    <w:p>
      <w:pPr>
        <w:keepNext/>
        <w:spacing w:before="200" w:after="60"/>
      </w:pPr>
      <w:r>
        <w:rPr>
          <w:rFonts w:ascii="Calibri" w:hAnsi="Calibri"/>
          <w:b/>
          <w:color w:val="1F4E79"/>
          <w:sz w:val="26"/>
        </w:rPr>
        <w:t>4.3 Exploratory Data Analysis</w:t>
      </w:r>
    </w:p>
    <w:p>
      <w:pPr>
        <w:spacing w:before="40" w:after="120" w:line="288" w:lineRule="auto"/>
      </w:pPr>
      <w:r>
        <w:rPr>
          <w:color w:val="333333"/>
        </w:rPr>
        <w:t xml:space="preserve">Conducted in </w:t>
      </w:r>
      <w:r>
        <w:rPr>
          <w:rFonts w:ascii="Consolas" w:hAnsi="Consolas"/>
          <w:color w:val="005599"/>
          <w:sz w:val="19"/>
        </w:rPr>
        <w:t>notebooks/disease_risk_analysis.ipynb</w:t>
      </w:r>
      <w:r>
        <w:rPr>
          <w:color w:val="333333"/>
        </w:rPr>
        <w:t xml:space="preserve"> and mirrored interactively in the Streamlit "Dashboard / Analytics" page. It covers: target distribution, numeric feature distributions split by risk class, categorical feature relationships with risk, and a correlation heatmap of numeric features against the target.</w:t>
      </w:r>
    </w:p>
    <w:p>
      <w:pPr>
        <w:keepNext/>
        <w:spacing w:before="200" w:after="60"/>
      </w:pPr>
      <w:r>
        <w:rPr>
          <w:rFonts w:ascii="Calibri" w:hAnsi="Calibri"/>
          <w:b/>
          <w:color w:val="1F4E79"/>
          <w:sz w:val="26"/>
        </w:rPr>
        <w:t>4.4 Feature Engineering / Preprocessing</w:t>
      </w:r>
    </w:p>
    <w:p>
      <w:pPr>
        <w:spacing w:before="40" w:after="120" w:line="288" w:lineRule="auto"/>
      </w:pPr>
      <w:r>
        <w:rPr>
          <w:color w:val="333333"/>
        </w:rPr>
        <w:t xml:space="preserve">No synthetic feature engineering was added beyond the pipeline described in 2.7, in order to keep the pipeline transparent and avoid introducing unjustified assumptions about the underlying (synthetic) data-generating process. </w:t>
      </w:r>
      <w:r>
        <w:rPr>
          <w:rFonts w:ascii="Consolas" w:hAnsi="Consolas"/>
          <w:color w:val="005599"/>
          <w:sz w:val="19"/>
        </w:rPr>
        <w:t>Patient_ID</w:t>
      </w:r>
      <w:r>
        <w:rPr>
          <w:color w:val="333333"/>
        </w:rPr>
        <w:t xml:space="preserve"> was explicitly excluded as a non-predictive identifier.</w:t>
      </w:r>
    </w:p>
    <w:p>
      <w:pPr>
        <w:keepNext/>
        <w:spacing w:before="200" w:after="60"/>
      </w:pPr>
      <w:r>
        <w:rPr>
          <w:rFonts w:ascii="Calibri" w:hAnsi="Calibri"/>
          <w:b/>
          <w:color w:val="1F4E79"/>
          <w:sz w:val="26"/>
        </w:rPr>
        <w:t>4.5 Train-Test Split</w:t>
      </w:r>
    </w:p>
    <w:p>
      <w:pPr>
        <w:spacing w:before="40" w:after="120" w:line="288" w:lineRule="auto"/>
      </w:pPr>
      <w:r>
        <w:rPr>
          <w:color w:val="333333"/>
        </w:rPr>
        <w:t>An 80/20 stratified split (</w:t>
      </w:r>
      <w:r>
        <w:rPr>
          <w:rFonts w:ascii="Consolas" w:hAnsi="Consolas"/>
          <w:color w:val="005599"/>
          <w:sz w:val="19"/>
        </w:rPr>
        <w:t>train_test_split(..., stratify=y, random_state=42)</w:t>
      </w:r>
      <w:r>
        <w:rPr>
          <w:color w:val="333333"/>
        </w:rPr>
        <w:t>) was used to preserve the ~14.5% positive class ratio in both sets and to ensure reproducibility.</w:t>
      </w:r>
    </w:p>
    <w:p>
      <w:pPr>
        <w:pStyle w:val="ListBullet"/>
        <w:spacing w:before="20" w:after="40" w:line="276" w:lineRule="auto"/>
      </w:pPr>
      <w:r>
        <w:rPr>
          <w:color w:val="333333"/>
        </w:rPr>
        <w:t>Training samples: 3,200</w:t>
      </w:r>
    </w:p>
    <w:p>
      <w:pPr>
        <w:pStyle w:val="ListBullet"/>
        <w:spacing w:before="20" w:after="40" w:line="276" w:lineRule="auto"/>
      </w:pPr>
      <w:r>
        <w:rPr>
          <w:color w:val="333333"/>
        </w:rPr>
        <w:t>Test samples: 800</w:t>
      </w:r>
    </w:p>
    <w:p>
      <w:pPr>
        <w:keepNext/>
        <w:spacing w:before="200" w:after="60"/>
      </w:pPr>
      <w:r>
        <w:rPr>
          <w:rFonts w:ascii="Calibri" w:hAnsi="Calibri"/>
          <w:b/>
          <w:color w:val="1F4E79"/>
          <w:sz w:val="26"/>
        </w:rPr>
        <w:t>4.6 Model Training</w:t>
      </w:r>
    </w:p>
    <w:p>
      <w:pPr>
        <w:spacing w:before="40" w:after="120" w:line="288" w:lineRule="auto"/>
      </w:pPr>
      <w:r>
        <w:rPr>
          <w:color w:val="333333"/>
        </w:rPr>
        <w:t>Four classification algorithms were trained on the identical, preprocessed training data:</w:t>
      </w:r>
    </w:p>
    <w:p>
      <w:pPr>
        <w:pStyle w:val="ListNumber"/>
        <w:spacing w:before="20" w:after="40" w:line="276" w:lineRule="auto"/>
      </w:pPr>
      <w:r>
        <w:rPr>
          <w:b/>
          <w:color w:val="1F2937"/>
        </w:rPr>
        <w:t>Logistic Regression</w:t>
      </w:r>
      <w:r>
        <w:rPr>
          <w:color w:val="333333"/>
        </w:rPr>
        <w:t xml:space="preserve"> (</w:t>
      </w:r>
      <w:r>
        <w:rPr>
          <w:rFonts w:ascii="Consolas" w:hAnsi="Consolas"/>
          <w:color w:val="005599"/>
          <w:sz w:val="19"/>
        </w:rPr>
        <w:t>class_weight="balanced"</w:t>
      </w:r>
      <w:r>
        <w:rPr>
          <w:color w:val="333333"/>
        </w:rPr>
        <w:t>)</w:t>
      </w:r>
    </w:p>
    <w:p>
      <w:pPr>
        <w:pStyle w:val="ListNumber"/>
        <w:spacing w:before="20" w:after="40" w:line="276" w:lineRule="auto"/>
      </w:pPr>
      <w:r>
        <w:rPr>
          <w:b/>
          <w:color w:val="1F2937"/>
        </w:rPr>
        <w:t>Decision Tree</w:t>
      </w:r>
      <w:r>
        <w:rPr>
          <w:color w:val="333333"/>
        </w:rPr>
        <w:t xml:space="preserve"> (</w:t>
      </w:r>
      <w:r>
        <w:rPr>
          <w:rFonts w:ascii="Consolas" w:hAnsi="Consolas"/>
          <w:color w:val="005599"/>
          <w:sz w:val="19"/>
        </w:rPr>
        <w:t>max_depth=6</w:t>
      </w:r>
      <w:r>
        <w:rPr>
          <w:color w:val="333333"/>
        </w:rPr>
        <w:t xml:space="preserve">, </w:t>
      </w:r>
      <w:r>
        <w:rPr>
          <w:rFonts w:ascii="Consolas" w:hAnsi="Consolas"/>
          <w:color w:val="005599"/>
          <w:sz w:val="19"/>
        </w:rPr>
        <w:t>class_weight="balanced"</w:t>
      </w:r>
      <w:r>
        <w:rPr>
          <w:color w:val="333333"/>
        </w:rPr>
        <w:t>)</w:t>
      </w:r>
    </w:p>
    <w:p>
      <w:pPr>
        <w:pStyle w:val="ListNumber"/>
        <w:spacing w:before="20" w:after="40" w:line="276" w:lineRule="auto"/>
      </w:pPr>
      <w:r>
        <w:rPr>
          <w:b/>
          <w:color w:val="1F2937"/>
        </w:rPr>
        <w:t>Random Forest</w:t>
      </w:r>
      <w:r>
        <w:rPr>
          <w:color w:val="333333"/>
        </w:rPr>
        <w:t xml:space="preserve"> (</w:t>
      </w:r>
      <w:r>
        <w:rPr>
          <w:rFonts w:ascii="Consolas" w:hAnsi="Consolas"/>
          <w:color w:val="005599"/>
          <w:sz w:val="19"/>
        </w:rPr>
        <w:t>n_estimators=300</w:t>
      </w:r>
      <w:r>
        <w:rPr>
          <w:color w:val="333333"/>
        </w:rPr>
        <w:t xml:space="preserve">, </w:t>
      </w:r>
      <w:r>
        <w:rPr>
          <w:rFonts w:ascii="Consolas" w:hAnsi="Consolas"/>
          <w:color w:val="005599"/>
          <w:sz w:val="19"/>
        </w:rPr>
        <w:t>max_depth=10</w:t>
      </w:r>
      <w:r>
        <w:rPr>
          <w:color w:val="333333"/>
        </w:rPr>
        <w:t xml:space="preserve">, </w:t>
      </w:r>
      <w:r>
        <w:rPr>
          <w:rFonts w:ascii="Consolas" w:hAnsi="Consolas"/>
          <w:color w:val="005599"/>
          <w:sz w:val="19"/>
        </w:rPr>
        <w:t>class_weight="balanced"</w:t>
      </w:r>
      <w:r>
        <w:rPr>
          <w:color w:val="333333"/>
        </w:rPr>
        <w:t>)</w:t>
      </w:r>
    </w:p>
    <w:p>
      <w:pPr>
        <w:pStyle w:val="ListNumber"/>
        <w:spacing w:before="20" w:after="40" w:line="276" w:lineRule="auto"/>
      </w:pPr>
      <w:r>
        <w:rPr>
          <w:b/>
          <w:color w:val="1F2937"/>
        </w:rPr>
        <w:t>Gradient Boosting</w:t>
      </w:r>
      <w:r>
        <w:rPr>
          <w:color w:val="333333"/>
        </w:rPr>
        <w:t xml:space="preserve"> (</w:t>
      </w:r>
      <w:r>
        <w:rPr>
          <w:rFonts w:ascii="Consolas" w:hAnsi="Consolas"/>
          <w:color w:val="005599"/>
          <w:sz w:val="19"/>
        </w:rPr>
        <w:t>n_estimators=200</w:t>
      </w:r>
      <w:r>
        <w:rPr>
          <w:color w:val="333333"/>
        </w:rPr>
        <w:t xml:space="preserve">, </w:t>
      </w:r>
      <w:r>
        <w:rPr>
          <w:rFonts w:ascii="Consolas" w:hAnsi="Consolas"/>
          <w:color w:val="005599"/>
          <w:sz w:val="19"/>
        </w:rPr>
        <w:t>max_depth=3</w:t>
      </w:r>
      <w:r>
        <w:rPr>
          <w:color w:val="333333"/>
        </w:rPr>
        <w:t>)</w:t>
      </w:r>
    </w:p>
    <w:p>
      <w:pPr>
        <w:spacing w:before="40" w:after="120" w:line="288" w:lineRule="auto"/>
      </w:pPr>
      <w:r>
        <w:rPr>
          <w:rFonts w:ascii="Consolas" w:hAnsi="Consolas"/>
          <w:color w:val="005599"/>
          <w:sz w:val="19"/>
        </w:rPr>
        <w:t>class_weight="balanced"</w:t>
      </w:r>
      <w:r>
        <w:rPr>
          <w:color w:val="333333"/>
        </w:rPr>
        <w:t xml:space="preserve"> was applied where supported to counteract the class imbalance in the target variable. A fixed </w:t>
      </w:r>
      <w:r>
        <w:rPr>
          <w:rFonts w:ascii="Consolas" w:hAnsi="Consolas"/>
          <w:color w:val="005599"/>
          <w:sz w:val="19"/>
        </w:rPr>
        <w:t>random_state=42</w:t>
      </w:r>
      <w:r>
        <w:rPr>
          <w:color w:val="333333"/>
        </w:rPr>
        <w:t xml:space="preserve"> was used throughout for reproducibility.</w:t>
      </w:r>
    </w:p>
    <w:p>
      <w:pPr>
        <w:keepNext/>
        <w:spacing w:before="200" w:after="60"/>
      </w:pPr>
      <w:r>
        <w:rPr>
          <w:rFonts w:ascii="Calibri" w:hAnsi="Calibri"/>
          <w:b/>
          <w:color w:val="1F4E79"/>
          <w:sz w:val="26"/>
        </w:rPr>
        <w:t>4.7 Model Selection</w:t>
      </w:r>
    </w:p>
    <w:p>
      <w:pPr>
        <w:spacing w:before="40" w:after="120" w:line="288" w:lineRule="auto"/>
      </w:pPr>
      <w:r>
        <w:rPr>
          <w:color w:val="333333"/>
        </w:rPr>
        <w:t xml:space="preserve">Models were ranked by </w:t>
      </w:r>
      <w:r>
        <w:rPr>
          <w:b/>
          <w:color w:val="1F2937"/>
        </w:rPr>
        <w:t>ROC-AUC</w:t>
      </w:r>
      <w:r>
        <w:rPr>
          <w:color w:val="333333"/>
        </w:rPr>
        <w:t xml:space="preserve"> on the held-out test set (a metric robust to class imbalance), with </w:t>
      </w:r>
      <w:r>
        <w:rPr>
          <w:b/>
          <w:color w:val="1F2937"/>
        </w:rPr>
        <w:t>F1-score</w:t>
      </w:r>
      <w:r>
        <w:rPr>
          <w:color w:val="333333"/>
        </w:rPr>
        <w:t xml:space="preserve"> as a tie-breaker. This is an objective, metric-driven selection process rather than an arbitrary choice. </w:t>
      </w:r>
      <w:r>
        <w:rPr>
          <w:b/>
          <w:color w:val="1F2937"/>
        </w:rPr>
        <w:t>Gradient Boosting</w:t>
      </w:r>
      <w:r>
        <w:rPr>
          <w:color w:val="333333"/>
        </w:rPr>
        <w:t xml:space="preserve"> was selected (see Chapter 6 for full results).</w:t>
      </w:r>
    </w:p>
    <w:p>
      <w:pPr>
        <w:keepNext/>
        <w:spacing w:before="200" w:after="60"/>
      </w:pPr>
      <w:r>
        <w:rPr>
          <w:rFonts w:ascii="Calibri" w:hAnsi="Calibri"/>
          <w:b/>
          <w:color w:val="1F4E79"/>
          <w:sz w:val="26"/>
        </w:rPr>
        <w:t>4.8 Evaluation</w:t>
      </w:r>
    </w:p>
    <w:p>
      <w:pPr>
        <w:spacing w:before="40" w:after="120" w:line="288" w:lineRule="auto"/>
      </w:pPr>
      <w:r>
        <w:rPr>
          <w:color w:val="333333"/>
        </w:rPr>
        <w:t>Each model was evaluated using Accuracy, Precision, Recall, F1-score, ROC-AUC, and a Confusion Matrix, all computed on the 800-sample held-out test set that the models never saw during training.</w:t>
      </w:r>
    </w:p>
    <w:p>
      <w:pPr>
        <w:keepNext/>
        <w:spacing w:before="200" w:after="60"/>
      </w:pPr>
      <w:r>
        <w:rPr>
          <w:rFonts w:ascii="Calibri" w:hAnsi="Calibri"/>
          <w:b/>
          <w:color w:val="1F4E79"/>
          <w:sz w:val="26"/>
        </w:rPr>
        <w:t>4.9 Prediction</w:t>
      </w:r>
    </w:p>
    <w:p>
      <w:pPr>
        <w:spacing w:before="40" w:after="120" w:line="288" w:lineRule="auto"/>
      </w:pPr>
      <w:r>
        <w:rPr>
          <w:color w:val="333333"/>
        </w:rPr>
        <w:t xml:space="preserve">The selected model and fitted preprocessor are persisted with </w:t>
      </w:r>
      <w:r>
        <w:rPr>
          <w:rFonts w:ascii="Consolas" w:hAnsi="Consolas"/>
          <w:color w:val="005599"/>
          <w:sz w:val="19"/>
        </w:rPr>
        <w:t>joblib</w:t>
      </w:r>
      <w:r>
        <w:rPr>
          <w:color w:val="333333"/>
        </w:rPr>
        <w:t xml:space="preserve">. The </w:t>
      </w:r>
      <w:r>
        <w:rPr>
          <w:rFonts w:ascii="Consolas" w:hAnsi="Consolas"/>
          <w:color w:val="005599"/>
          <w:sz w:val="19"/>
        </w:rPr>
        <w:t>src/prediction.py</w:t>
      </w:r>
      <w:r>
        <w:rPr>
          <w:color w:val="333333"/>
        </w:rPr>
        <w:t xml:space="preserve"> module loads these artifacts once and exposes a </w:t>
      </w:r>
      <w:r>
        <w:rPr>
          <w:rFonts w:ascii="Consolas" w:hAnsi="Consolas"/>
          <w:color w:val="005599"/>
          <w:sz w:val="19"/>
        </w:rPr>
        <w:t>predict_risk()</w:t>
      </w:r>
      <w:r>
        <w:rPr>
          <w:color w:val="333333"/>
        </w:rPr>
        <w:t xml:space="preserve"> function that transforms a single new patient's raw input through the same fitted preprocessing pipeline and returns a risk label plus class probabilities.</w:t>
      </w:r>
    </w:p>
    <w:p>
      <w:pPr>
        <w:spacing w:before="160" w:after="160"/>
        <w:pBdr>
          <w:bottom w:val="single" w:sz="6" w:space="1" w:color="0066CC"/>
        </w:pBdr>
      </w:pPr>
    </w:p>
    <w:p>
      <w:pPr>
        <w:keepNext/>
        <w:spacing w:before="280" w:after="80"/>
      </w:pPr>
      <w:r>
        <w:rPr>
          <w:rFonts w:ascii="Calibri" w:hAnsi="Calibri"/>
          <w:b/>
          <w:color w:val="005599"/>
          <w:sz w:val="32"/>
        </w:rPr>
        <w:t>Chapter 5 — Implementation</w:t>
      </w:r>
    </w:p>
    <w:p>
      <w:pPr>
        <w:keepNext/>
        <w:spacing w:before="200" w:after="60"/>
      </w:pPr>
      <w:r>
        <w:rPr>
          <w:rFonts w:ascii="Calibri" w:hAnsi="Calibri"/>
          <w:b/>
          <w:color w:val="1F4E79"/>
          <w:sz w:val="26"/>
        </w:rPr>
        <w:t>`src/data_preprocessing.py`</w:t>
      </w:r>
    </w:p>
    <w:p>
      <w:pPr>
        <w:spacing w:before="40" w:after="120" w:line="288" w:lineRule="auto"/>
      </w:pPr>
      <w:r>
        <w:rPr>
          <w:color w:val="333333"/>
        </w:rPr>
        <w:t xml:space="preserve">Defines the dataset schema (numeric/categorical feature lists), and provides </w:t>
      </w:r>
      <w:r>
        <w:rPr>
          <w:rFonts w:ascii="Consolas" w:hAnsi="Consolas"/>
          <w:color w:val="005599"/>
          <w:sz w:val="19"/>
        </w:rPr>
        <w:t>load_dataset()</w:t>
      </w:r>
      <w:r>
        <w:rPr>
          <w:color w:val="333333"/>
        </w:rPr>
        <w:t xml:space="preserve">, </w:t>
      </w:r>
      <w:r>
        <w:rPr>
          <w:rFonts w:ascii="Consolas" w:hAnsi="Consolas"/>
          <w:color w:val="005599"/>
          <w:sz w:val="19"/>
        </w:rPr>
        <w:t>clean_dataset()</w:t>
      </w:r>
      <w:r>
        <w:rPr>
          <w:color w:val="333333"/>
        </w:rPr>
        <w:t xml:space="preserve">, </w:t>
      </w:r>
      <w:r>
        <w:rPr>
          <w:rFonts w:ascii="Consolas" w:hAnsi="Consolas"/>
          <w:color w:val="005599"/>
          <w:sz w:val="19"/>
        </w:rPr>
        <w:t>split_features_target()</w:t>
      </w:r>
      <w:r>
        <w:rPr>
          <w:color w:val="333333"/>
        </w:rPr>
        <w:t xml:space="preserve">, and </w:t>
      </w:r>
      <w:r>
        <w:rPr>
          <w:rFonts w:ascii="Consolas" w:hAnsi="Consolas"/>
          <w:color w:val="005599"/>
          <w:sz w:val="19"/>
        </w:rPr>
        <w:t>build_preprocessing_pipeline()</w:t>
      </w:r>
      <w:r>
        <w:rPr>
          <w:color w:val="333333"/>
        </w:rPr>
        <w:t xml:space="preserve"> — the single source of truth for all data handling, reused identically by training, evaluation, and the app.</w:t>
      </w:r>
    </w:p>
    <w:p>
      <w:pPr>
        <w:keepNext/>
        <w:spacing w:before="200" w:after="60"/>
      </w:pPr>
      <w:r>
        <w:rPr>
          <w:rFonts w:ascii="Calibri" w:hAnsi="Calibri"/>
          <w:b/>
          <w:color w:val="1F4E79"/>
          <w:sz w:val="26"/>
        </w:rPr>
        <w:t>`src/train_model.py`</w:t>
      </w:r>
    </w:p>
    <w:p>
      <w:pPr>
        <w:spacing w:before="40" w:after="120" w:line="288" w:lineRule="auto"/>
      </w:pPr>
      <w:r>
        <w:rPr>
          <w:color w:val="333333"/>
        </w:rPr>
        <w:t xml:space="preserve">Orchestrates the full training pipeline: loads and cleans data, splits into train/test, fits the preprocessing pipeline on the training data only, trains all four candidate models, evaluates each on the test set, selects the best model by ROC-AUC/F1, and saves the model, preprocessor, and a </w:t>
      </w:r>
      <w:r>
        <w:rPr>
          <w:rFonts w:ascii="Consolas" w:hAnsi="Consolas"/>
          <w:color w:val="005599"/>
          <w:sz w:val="19"/>
        </w:rPr>
        <w:t>model_metrics.json</w:t>
      </w:r>
      <w:r>
        <w:rPr>
          <w:color w:val="333333"/>
        </w:rPr>
        <w:t xml:space="preserve"> summary to the </w:t>
      </w:r>
      <w:r>
        <w:rPr>
          <w:rFonts w:ascii="Consolas" w:hAnsi="Consolas"/>
          <w:color w:val="005599"/>
          <w:sz w:val="19"/>
        </w:rPr>
        <w:t>models/</w:t>
      </w:r>
      <w:r>
        <w:rPr>
          <w:color w:val="333333"/>
        </w:rPr>
        <w:t xml:space="preserve"> directory.</w:t>
      </w:r>
    </w:p>
    <w:p>
      <w:pPr>
        <w:keepNext/>
        <w:spacing w:before="200" w:after="60"/>
      </w:pPr>
      <w:r>
        <w:rPr>
          <w:rFonts w:ascii="Calibri" w:hAnsi="Calibri"/>
          <w:b/>
          <w:color w:val="1F4E79"/>
          <w:sz w:val="26"/>
        </w:rPr>
        <w:t>`src/evaluate_model.py`</w:t>
      </w:r>
    </w:p>
    <w:p>
      <w:pPr>
        <w:spacing w:before="40" w:after="120" w:line="288" w:lineRule="auto"/>
      </w:pPr>
      <w:r>
        <w:rPr>
          <w:color w:val="333333"/>
        </w:rPr>
        <w:t xml:space="preserve">Provides </w:t>
      </w:r>
      <w:r>
        <w:rPr>
          <w:rFonts w:ascii="Consolas" w:hAnsi="Consolas"/>
          <w:color w:val="005599"/>
          <w:sz w:val="19"/>
        </w:rPr>
        <w:t>load_saved_metrics()</w:t>
      </w:r>
      <w:r>
        <w:rPr>
          <w:color w:val="333333"/>
        </w:rPr>
        <w:t xml:space="preserve"> (used by the Streamlit "Model Performance" page to display results instantly without retraining) and </w:t>
      </w:r>
      <w:r>
        <w:rPr>
          <w:rFonts w:ascii="Consolas" w:hAnsi="Consolas"/>
          <w:color w:val="005599"/>
          <w:sz w:val="19"/>
        </w:rPr>
        <w:t>recompute_test_metrics()</w:t>
      </w:r>
      <w:r>
        <w:rPr>
          <w:color w:val="333333"/>
        </w:rPr>
        <w:t xml:space="preserve"> (an independent sanity check that re-derives the same test-set metrics from the saved model/preprocessor).</w:t>
      </w:r>
    </w:p>
    <w:p>
      <w:pPr>
        <w:keepNext/>
        <w:spacing w:before="200" w:after="60"/>
      </w:pPr>
      <w:r>
        <w:rPr>
          <w:rFonts w:ascii="Calibri" w:hAnsi="Calibri"/>
          <w:b/>
          <w:color w:val="1F4E79"/>
          <w:sz w:val="26"/>
        </w:rPr>
        <w:t>`src/prediction.py`</w:t>
      </w:r>
    </w:p>
    <w:p>
      <w:pPr>
        <w:spacing w:before="40" w:after="120" w:line="288" w:lineRule="auto"/>
      </w:pPr>
      <w:r>
        <w:rPr>
          <w:color w:val="333333"/>
        </w:rPr>
        <w:t>Loads the saved model and preprocessor (</w:t>
      </w:r>
      <w:r>
        <w:rPr>
          <w:rFonts w:ascii="Consolas" w:hAnsi="Consolas"/>
          <w:color w:val="005599"/>
          <w:sz w:val="19"/>
        </w:rPr>
        <w:t>load_artifacts()</w:t>
      </w:r>
      <w:r>
        <w:rPr>
          <w:color w:val="333333"/>
        </w:rPr>
        <w:t>), validates a raw patient input dictionary (</w:t>
      </w:r>
      <w:r>
        <w:rPr>
          <w:rFonts w:ascii="Consolas" w:hAnsi="Consolas"/>
          <w:color w:val="005599"/>
          <w:sz w:val="19"/>
        </w:rPr>
        <w:t>validate_patient_input()</w:t>
      </w:r>
      <w:r>
        <w:rPr>
          <w:color w:val="333333"/>
        </w:rPr>
        <w:t>), and produces a prediction with class probabilities (</w:t>
      </w:r>
      <w:r>
        <w:rPr>
          <w:rFonts w:ascii="Consolas" w:hAnsi="Consolas"/>
          <w:color w:val="005599"/>
          <w:sz w:val="19"/>
        </w:rPr>
        <w:t>predict_risk()</w:t>
      </w:r>
      <w:r>
        <w:rPr>
          <w:color w:val="333333"/>
        </w:rPr>
        <w:t>) for use by the Streamlit prediction form.</w:t>
      </w:r>
    </w:p>
    <w:p>
      <w:pPr>
        <w:keepNext/>
        <w:spacing w:before="200" w:after="60"/>
      </w:pPr>
      <w:r>
        <w:rPr>
          <w:rFonts w:ascii="Calibri" w:hAnsi="Calibri"/>
          <w:b/>
          <w:color w:val="1F4E79"/>
          <w:sz w:val="26"/>
        </w:rPr>
        <w:t>`app.py`</w:t>
      </w:r>
    </w:p>
    <w:p>
      <w:pPr>
        <w:spacing w:before="40" w:after="120" w:line="288" w:lineRule="auto"/>
      </w:pPr>
      <w:r>
        <w:rPr>
          <w:color w:val="333333"/>
        </w:rPr>
        <w:t xml:space="preserve">The Streamlit application entry point. Implements sidebar navigation across five pages (Home, Disease Risk Prediction, Dashboard / Analytics, Model Performance, About Project), caches the dataset and model artifacts with </w:t>
      </w:r>
      <w:r>
        <w:rPr>
          <w:rFonts w:ascii="Consolas" w:hAnsi="Consolas"/>
          <w:color w:val="005599"/>
          <w:sz w:val="19"/>
        </w:rPr>
        <w:t>st.cache_data</w:t>
      </w:r>
      <w:r>
        <w:rPr>
          <w:color w:val="333333"/>
        </w:rPr>
        <w:t xml:space="preserve"> / </w:t>
      </w:r>
      <w:r>
        <w:rPr>
          <w:rFonts w:ascii="Consolas" w:hAnsi="Consolas"/>
          <w:color w:val="005599"/>
          <w:sz w:val="19"/>
        </w:rPr>
        <w:t>st.cache_resource</w:t>
      </w:r>
      <w:r>
        <w:rPr>
          <w:color w:val="333333"/>
        </w:rPr>
        <w:t>, and renders all interactive UI elements, forms, and Plotly charts.</w:t>
      </w:r>
    </w:p>
    <w:p>
      <w:pPr>
        <w:keepNext/>
        <w:spacing w:before="200" w:after="60"/>
      </w:pPr>
      <w:r>
        <w:rPr>
          <w:rFonts w:ascii="Calibri" w:hAnsi="Calibri"/>
          <w:b/>
          <w:color w:val="1F4E79"/>
          <w:sz w:val="26"/>
        </w:rPr>
        <w:t>`notebooks/disease_risk_analysis.ipynb`</w:t>
      </w:r>
    </w:p>
    <w:p>
      <w:pPr>
        <w:spacing w:before="40" w:after="120" w:line="288" w:lineRule="auto"/>
      </w:pPr>
      <w:r>
        <w:rPr>
          <w:color w:val="333333"/>
        </w:rPr>
        <w:t>A standalone Jupyter notebook covering data quality checks and exploratory visualizations using Matplotlib/Seaborn, independent of the Streamlit app.</w:t>
      </w:r>
    </w:p>
    <w:p>
      <w:pPr>
        <w:spacing w:before="160" w:after="160"/>
        <w:pBdr>
          <w:bottom w:val="single" w:sz="6" w:space="1" w:color="0066CC"/>
        </w:pBdr>
      </w:pPr>
    </w:p>
    <w:p>
      <w:pPr>
        <w:keepNext/>
        <w:spacing w:before="280" w:after="80"/>
      </w:pPr>
      <w:r>
        <w:rPr>
          <w:rFonts w:ascii="Calibri" w:hAnsi="Calibri"/>
          <w:b/>
          <w:color w:val="005599"/>
          <w:sz w:val="32"/>
        </w:rPr>
        <w:t>Chapter 6 — Results</w:t>
      </w:r>
    </w:p>
    <w:p>
      <w:pPr>
        <w:spacing w:before="40" w:after="120" w:line="288" w:lineRule="auto"/>
      </w:pPr>
      <w:r>
        <w:rPr>
          <w:color w:val="333333"/>
        </w:rPr>
        <w:t xml:space="preserve">All metrics below were computed on the 800-sample held-out test set (20% of the cleaned dataset, </w:t>
      </w:r>
      <w:r>
        <w:rPr>
          <w:rFonts w:ascii="Consolas" w:hAnsi="Consolas"/>
          <w:color w:val="005599"/>
          <w:sz w:val="19"/>
        </w:rPr>
        <w:t>random_state=42</w:t>
      </w:r>
      <w:r>
        <w:rPr>
          <w:color w:val="333333"/>
        </w:rPr>
        <w:t xml:space="preserve">) and are taken directly from </w:t>
      </w:r>
      <w:r>
        <w:rPr>
          <w:rFonts w:ascii="Consolas" w:hAnsi="Consolas"/>
          <w:color w:val="005599"/>
          <w:sz w:val="19"/>
        </w:rPr>
        <w:t>models/model_metrics.json</w:t>
      </w:r>
      <w:r>
        <w:rPr>
          <w:color w:val="333333"/>
        </w:rPr>
        <w:t xml:space="preserve">, generated by actually running </w:t>
      </w:r>
      <w:r>
        <w:rPr>
          <w:rFonts w:ascii="Consolas" w:hAnsi="Consolas"/>
          <w:color w:val="005599"/>
          <w:sz w:val="19"/>
        </w:rPr>
        <w:t>src/train_model.py</w:t>
      </w:r>
      <w:r>
        <w:rPr>
          <w:color w:val="333333"/>
        </w:rPr>
        <w:t xml:space="preserve"> on the provided dataset. </w:t>
      </w:r>
      <w:r>
        <w:rPr>
          <w:b/>
          <w:color w:val="1F2937"/>
        </w:rPr>
        <w:t>No values in this section were invented or estimated.</w:t>
      </w:r>
    </w:p>
    <w:tbl>
      <w:tblPr>
        <w:tblW w:type="auto" w:w="0"/>
        <w:jc w:val="center"/>
        <w:tblLook w:firstColumn="1" w:firstRow="1" w:lastColumn="0" w:lastRow="0" w:noHBand="0" w:noVBand="1" w:val="04A0"/>
        <w:tblBorders>
          <w:top w:val="single" w:sz="6" w:space="0" w:color="D0D7DE"/>
          <w:bottom w:val="single" w:sz="6" w:space="0" w:color="D0D7DE"/>
          <w:insideH w:val="single" w:sz="6" w:space="0" w:color="D0D7DE"/>
          <w:insideV w:val="none"/>
          <w:left w:val="none"/>
          <w:right w:val="none"/>
        </w:tblBorders>
      </w:tblPr>
      <w:tblGrid>
        <w:gridCol w:w="1560"/>
        <w:gridCol w:w="1560"/>
        <w:gridCol w:w="1560"/>
        <w:gridCol w:w="1560"/>
        <w:gridCol w:w="1560"/>
        <w:gridCol w:w="1560"/>
      </w:tblGrid>
      <w:tr>
        <w:trPr>
          <w:cantSplit/>
          <w:tblHeader/>
        </w:trPr>
        <w:tc>
          <w:tcPr>
            <w:tcW w:type="dxa" w:w="1560"/>
            <w:tcMar>
              <w:top w:w="120" w:type="dxa"/>
              <w:bottom w:w="120" w:type="dxa"/>
              <w:left w:w="160" w:type="dxa"/>
              <w:right w:w="160" w:type="dxa"/>
            </w:tcMar>
            <w:shd w:fill="004080"/>
          </w:tcPr>
          <w:p>
            <w:pPr>
              <w:spacing w:before="40" w:after="40" w:line="276" w:lineRule="auto"/>
            </w:pPr>
            <w:r>
              <w:rPr>
                <w:rFonts w:ascii="Calibri" w:hAnsi="Calibri"/>
                <w:b/>
                <w:color w:val="FFFFFF"/>
                <w:sz w:val="20"/>
              </w:rPr>
              <w:t>Model</w:t>
            </w:r>
          </w:p>
        </w:tc>
        <w:tc>
          <w:tcPr>
            <w:tcW w:type="dxa" w:w="1560"/>
            <w:tcMar>
              <w:top w:w="120" w:type="dxa"/>
              <w:bottom w:w="120" w:type="dxa"/>
              <w:left w:w="160" w:type="dxa"/>
              <w:right w:w="160" w:type="dxa"/>
            </w:tcMar>
            <w:shd w:fill="004080"/>
          </w:tcPr>
          <w:p>
            <w:pPr>
              <w:spacing w:before="40" w:after="40" w:line="276" w:lineRule="auto"/>
            </w:pPr>
            <w:r>
              <w:rPr>
                <w:rFonts w:ascii="Calibri" w:hAnsi="Calibri"/>
                <w:b/>
                <w:color w:val="FFFFFF"/>
                <w:sz w:val="20"/>
              </w:rPr>
              <w:t>Accuracy</w:t>
            </w:r>
          </w:p>
        </w:tc>
        <w:tc>
          <w:tcPr>
            <w:tcW w:type="dxa" w:w="1560"/>
            <w:tcMar>
              <w:top w:w="120" w:type="dxa"/>
              <w:bottom w:w="120" w:type="dxa"/>
              <w:left w:w="160" w:type="dxa"/>
              <w:right w:w="160" w:type="dxa"/>
            </w:tcMar>
            <w:shd w:fill="004080"/>
          </w:tcPr>
          <w:p>
            <w:pPr>
              <w:spacing w:before="40" w:after="40" w:line="276" w:lineRule="auto"/>
            </w:pPr>
            <w:r>
              <w:rPr>
                <w:rFonts w:ascii="Calibri" w:hAnsi="Calibri"/>
                <w:b/>
                <w:color w:val="FFFFFF"/>
                <w:sz w:val="20"/>
              </w:rPr>
              <w:t>Precision</w:t>
            </w:r>
          </w:p>
        </w:tc>
        <w:tc>
          <w:tcPr>
            <w:tcW w:type="dxa" w:w="1560"/>
            <w:tcMar>
              <w:top w:w="120" w:type="dxa"/>
              <w:bottom w:w="120" w:type="dxa"/>
              <w:left w:w="160" w:type="dxa"/>
              <w:right w:w="160" w:type="dxa"/>
            </w:tcMar>
            <w:shd w:fill="004080"/>
          </w:tcPr>
          <w:p>
            <w:pPr>
              <w:spacing w:before="40" w:after="40" w:line="276" w:lineRule="auto"/>
            </w:pPr>
            <w:r>
              <w:rPr>
                <w:rFonts w:ascii="Calibri" w:hAnsi="Calibri"/>
                <w:b/>
                <w:color w:val="FFFFFF"/>
                <w:sz w:val="20"/>
              </w:rPr>
              <w:t>Recall</w:t>
            </w:r>
          </w:p>
        </w:tc>
        <w:tc>
          <w:tcPr>
            <w:tcW w:type="dxa" w:w="1560"/>
            <w:tcMar>
              <w:top w:w="120" w:type="dxa"/>
              <w:bottom w:w="120" w:type="dxa"/>
              <w:left w:w="160" w:type="dxa"/>
              <w:right w:w="160" w:type="dxa"/>
            </w:tcMar>
            <w:shd w:fill="004080"/>
          </w:tcPr>
          <w:p>
            <w:pPr>
              <w:spacing w:before="40" w:after="40" w:line="276" w:lineRule="auto"/>
            </w:pPr>
            <w:r>
              <w:rPr>
                <w:rFonts w:ascii="Calibri" w:hAnsi="Calibri"/>
                <w:b/>
                <w:color w:val="FFFFFF"/>
                <w:sz w:val="20"/>
              </w:rPr>
              <w:t>F1-Score</w:t>
            </w:r>
          </w:p>
        </w:tc>
        <w:tc>
          <w:tcPr>
            <w:tcW w:type="dxa" w:w="1560"/>
            <w:tcMar>
              <w:top w:w="120" w:type="dxa"/>
              <w:bottom w:w="120" w:type="dxa"/>
              <w:left w:w="160" w:type="dxa"/>
              <w:right w:w="160" w:type="dxa"/>
            </w:tcMar>
            <w:shd w:fill="004080"/>
          </w:tcPr>
          <w:p>
            <w:pPr>
              <w:spacing w:before="40" w:after="40" w:line="276" w:lineRule="auto"/>
            </w:pPr>
            <w:r>
              <w:rPr>
                <w:rFonts w:ascii="Calibri" w:hAnsi="Calibri"/>
                <w:b/>
                <w:color w:val="FFFFFF"/>
                <w:sz w:val="20"/>
              </w:rPr>
              <w:t>ROC-AUC</w:t>
            </w:r>
          </w:p>
        </w:tc>
      </w:tr>
      <w:tr>
        <w:trPr>
          <w:cantSplit/>
        </w:trPr>
        <w:tc>
          <w:tcPr>
            <w:tcW w:type="dxa" w:w="1560"/>
            <w:tcMar>
              <w:top w:w="120" w:type="dxa"/>
              <w:bottom w:w="120" w:type="dxa"/>
              <w:left w:w="160" w:type="dxa"/>
              <w:right w:w="160" w:type="dxa"/>
            </w:tcMar>
            <w:shd w:fill="F8FAFC"/>
          </w:tcPr>
          <w:p>
            <w:pPr>
              <w:spacing w:before="40" w:after="40" w:line="276" w:lineRule="auto"/>
            </w:pPr>
            <w:r>
              <w:rPr>
                <w:rFonts w:ascii="Calibri" w:hAnsi="Calibri"/>
                <w:color w:val="333333"/>
                <w:sz w:val="20"/>
              </w:rPr>
              <w:t>Logistic Regression</w:t>
            </w:r>
          </w:p>
        </w:tc>
        <w:tc>
          <w:tcPr>
            <w:tcW w:type="dxa" w:w="1560"/>
            <w:tcMar>
              <w:top w:w="120" w:type="dxa"/>
              <w:bottom w:w="120" w:type="dxa"/>
              <w:left w:w="160" w:type="dxa"/>
              <w:right w:w="160" w:type="dxa"/>
            </w:tcMar>
            <w:shd w:fill="F8FAFC"/>
          </w:tcPr>
          <w:p>
            <w:pPr>
              <w:spacing w:before="40" w:after="40" w:line="276" w:lineRule="auto"/>
            </w:pPr>
            <w:r>
              <w:rPr>
                <w:rFonts w:ascii="Calibri" w:hAnsi="Calibri"/>
                <w:color w:val="333333"/>
                <w:sz w:val="20"/>
              </w:rPr>
              <w:t>0.8500</w:t>
            </w:r>
          </w:p>
        </w:tc>
        <w:tc>
          <w:tcPr>
            <w:tcW w:type="dxa" w:w="1560"/>
            <w:tcMar>
              <w:top w:w="120" w:type="dxa"/>
              <w:bottom w:w="120" w:type="dxa"/>
              <w:left w:w="160" w:type="dxa"/>
              <w:right w:w="160" w:type="dxa"/>
            </w:tcMar>
            <w:shd w:fill="F8FAFC"/>
          </w:tcPr>
          <w:p>
            <w:pPr>
              <w:spacing w:before="40" w:after="40" w:line="276" w:lineRule="auto"/>
            </w:pPr>
            <w:r>
              <w:rPr>
                <w:rFonts w:ascii="Calibri" w:hAnsi="Calibri"/>
                <w:color w:val="333333"/>
                <w:sz w:val="20"/>
              </w:rPr>
              <w:t>0.4905</w:t>
            </w:r>
          </w:p>
        </w:tc>
        <w:tc>
          <w:tcPr>
            <w:tcW w:type="dxa" w:w="1560"/>
            <w:tcMar>
              <w:top w:w="120" w:type="dxa"/>
              <w:bottom w:w="120" w:type="dxa"/>
              <w:left w:w="160" w:type="dxa"/>
              <w:right w:w="160" w:type="dxa"/>
            </w:tcMar>
            <w:shd w:fill="F8FAFC"/>
          </w:tcPr>
          <w:p>
            <w:pPr>
              <w:spacing w:before="40" w:after="40" w:line="276" w:lineRule="auto"/>
            </w:pPr>
            <w:r>
              <w:rPr>
                <w:rFonts w:ascii="Calibri" w:hAnsi="Calibri"/>
                <w:color w:val="333333"/>
                <w:sz w:val="20"/>
              </w:rPr>
              <w:t>0.8879</w:t>
            </w:r>
          </w:p>
        </w:tc>
        <w:tc>
          <w:tcPr>
            <w:tcW w:type="dxa" w:w="1560"/>
            <w:tcMar>
              <w:top w:w="120" w:type="dxa"/>
              <w:bottom w:w="120" w:type="dxa"/>
              <w:left w:w="160" w:type="dxa"/>
              <w:right w:w="160" w:type="dxa"/>
            </w:tcMar>
            <w:shd w:fill="F8FAFC"/>
          </w:tcPr>
          <w:p>
            <w:pPr>
              <w:spacing w:before="40" w:after="40" w:line="276" w:lineRule="auto"/>
            </w:pPr>
            <w:r>
              <w:rPr>
                <w:rFonts w:ascii="Calibri" w:hAnsi="Calibri"/>
                <w:color w:val="333333"/>
                <w:sz w:val="20"/>
              </w:rPr>
              <w:t>0.6319</w:t>
            </w:r>
          </w:p>
        </w:tc>
        <w:tc>
          <w:tcPr>
            <w:tcW w:type="dxa" w:w="1560"/>
            <w:tcMar>
              <w:top w:w="120" w:type="dxa"/>
              <w:bottom w:w="120" w:type="dxa"/>
              <w:left w:w="160" w:type="dxa"/>
              <w:right w:w="160" w:type="dxa"/>
            </w:tcMar>
            <w:shd w:fill="F8FAFC"/>
          </w:tcPr>
          <w:p>
            <w:pPr>
              <w:spacing w:before="40" w:after="40" w:line="276" w:lineRule="auto"/>
            </w:pPr>
            <w:r>
              <w:rPr>
                <w:rFonts w:ascii="Calibri" w:hAnsi="Calibri"/>
                <w:color w:val="333333"/>
                <w:sz w:val="20"/>
              </w:rPr>
              <w:t>0.9412</w:t>
            </w:r>
          </w:p>
        </w:tc>
      </w:tr>
      <w:tr>
        <w:trPr>
          <w:cantSplit/>
        </w:trPr>
        <w:tc>
          <w:tcPr>
            <w:tcW w:type="dxa" w:w="1560"/>
            <w:tcMar>
              <w:top w:w="120" w:type="dxa"/>
              <w:bottom w:w="120" w:type="dxa"/>
              <w:left w:w="160" w:type="dxa"/>
              <w:right w:w="160" w:type="dxa"/>
            </w:tcMar>
            <w:shd w:fill="FFFFFF"/>
          </w:tcPr>
          <w:p>
            <w:pPr>
              <w:spacing w:before="40" w:after="40" w:line="276" w:lineRule="auto"/>
            </w:pPr>
            <w:r>
              <w:rPr>
                <w:rFonts w:ascii="Calibri" w:hAnsi="Calibri"/>
                <w:color w:val="333333"/>
                <w:sz w:val="20"/>
              </w:rPr>
              <w:t>Decision Tree</w:t>
            </w:r>
          </w:p>
        </w:tc>
        <w:tc>
          <w:tcPr>
            <w:tcW w:type="dxa" w:w="1560"/>
            <w:tcMar>
              <w:top w:w="120" w:type="dxa"/>
              <w:bottom w:w="120" w:type="dxa"/>
              <w:left w:w="160" w:type="dxa"/>
              <w:right w:w="160" w:type="dxa"/>
            </w:tcMar>
            <w:shd w:fill="FFFFFF"/>
          </w:tcPr>
          <w:p>
            <w:pPr>
              <w:spacing w:before="40" w:after="40" w:line="276" w:lineRule="auto"/>
            </w:pPr>
            <w:r>
              <w:rPr>
                <w:rFonts w:ascii="Calibri" w:hAnsi="Calibri"/>
                <w:color w:val="333333"/>
                <w:sz w:val="20"/>
              </w:rPr>
              <w:t>0.8725</w:t>
            </w:r>
          </w:p>
        </w:tc>
        <w:tc>
          <w:tcPr>
            <w:tcW w:type="dxa" w:w="1560"/>
            <w:tcMar>
              <w:top w:w="120" w:type="dxa"/>
              <w:bottom w:w="120" w:type="dxa"/>
              <w:left w:w="160" w:type="dxa"/>
              <w:right w:w="160" w:type="dxa"/>
            </w:tcMar>
            <w:shd w:fill="FFFFFF"/>
          </w:tcPr>
          <w:p>
            <w:pPr>
              <w:spacing w:before="40" w:after="40" w:line="276" w:lineRule="auto"/>
            </w:pPr>
            <w:r>
              <w:rPr>
                <w:rFonts w:ascii="Calibri" w:hAnsi="Calibri"/>
                <w:color w:val="333333"/>
                <w:sz w:val="20"/>
              </w:rPr>
              <w:t>0.5389</w:t>
            </w:r>
          </w:p>
        </w:tc>
        <w:tc>
          <w:tcPr>
            <w:tcW w:type="dxa" w:w="1560"/>
            <w:tcMar>
              <w:top w:w="120" w:type="dxa"/>
              <w:bottom w:w="120" w:type="dxa"/>
              <w:left w:w="160" w:type="dxa"/>
              <w:right w:w="160" w:type="dxa"/>
            </w:tcMar>
            <w:shd w:fill="FFFFFF"/>
          </w:tcPr>
          <w:p>
            <w:pPr>
              <w:spacing w:before="40" w:after="40" w:line="276" w:lineRule="auto"/>
            </w:pPr>
            <w:r>
              <w:rPr>
                <w:rFonts w:ascii="Calibri" w:hAnsi="Calibri"/>
                <w:color w:val="333333"/>
                <w:sz w:val="20"/>
              </w:rPr>
              <w:t>0.8362</w:t>
            </w:r>
          </w:p>
        </w:tc>
        <w:tc>
          <w:tcPr>
            <w:tcW w:type="dxa" w:w="1560"/>
            <w:tcMar>
              <w:top w:w="120" w:type="dxa"/>
              <w:bottom w:w="120" w:type="dxa"/>
              <w:left w:w="160" w:type="dxa"/>
              <w:right w:w="160" w:type="dxa"/>
            </w:tcMar>
            <w:shd w:fill="FFFFFF"/>
          </w:tcPr>
          <w:p>
            <w:pPr>
              <w:spacing w:before="40" w:after="40" w:line="276" w:lineRule="auto"/>
            </w:pPr>
            <w:r>
              <w:rPr>
                <w:rFonts w:ascii="Calibri" w:hAnsi="Calibri"/>
                <w:color w:val="333333"/>
                <w:sz w:val="20"/>
              </w:rPr>
              <w:t>0.6554</w:t>
            </w:r>
          </w:p>
        </w:tc>
        <w:tc>
          <w:tcPr>
            <w:tcW w:type="dxa" w:w="1560"/>
            <w:tcMar>
              <w:top w:w="120" w:type="dxa"/>
              <w:bottom w:w="120" w:type="dxa"/>
              <w:left w:w="160" w:type="dxa"/>
              <w:right w:w="160" w:type="dxa"/>
            </w:tcMar>
            <w:shd w:fill="FFFFFF"/>
          </w:tcPr>
          <w:p>
            <w:pPr>
              <w:spacing w:before="40" w:after="40" w:line="276" w:lineRule="auto"/>
            </w:pPr>
            <w:r>
              <w:rPr>
                <w:rFonts w:ascii="Calibri" w:hAnsi="Calibri"/>
                <w:color w:val="333333"/>
                <w:sz w:val="20"/>
              </w:rPr>
              <w:t>0.8960</w:t>
            </w:r>
          </w:p>
        </w:tc>
      </w:tr>
      <w:tr>
        <w:trPr>
          <w:cantSplit/>
        </w:trPr>
        <w:tc>
          <w:tcPr>
            <w:tcW w:type="dxa" w:w="1560"/>
            <w:tcMar>
              <w:top w:w="120" w:type="dxa"/>
              <w:bottom w:w="120" w:type="dxa"/>
              <w:left w:w="160" w:type="dxa"/>
              <w:right w:w="160" w:type="dxa"/>
            </w:tcMar>
            <w:shd w:fill="F8FAFC"/>
          </w:tcPr>
          <w:p>
            <w:pPr>
              <w:spacing w:before="40" w:after="40" w:line="276" w:lineRule="auto"/>
            </w:pPr>
            <w:r>
              <w:rPr>
                <w:rFonts w:ascii="Calibri" w:hAnsi="Calibri"/>
                <w:color w:val="333333"/>
                <w:sz w:val="20"/>
              </w:rPr>
              <w:t>Random Forest</w:t>
            </w:r>
          </w:p>
        </w:tc>
        <w:tc>
          <w:tcPr>
            <w:tcW w:type="dxa" w:w="1560"/>
            <w:tcMar>
              <w:top w:w="120" w:type="dxa"/>
              <w:bottom w:w="120" w:type="dxa"/>
              <w:left w:w="160" w:type="dxa"/>
              <w:right w:w="160" w:type="dxa"/>
            </w:tcMar>
            <w:shd w:fill="F8FAFC"/>
          </w:tcPr>
          <w:p>
            <w:pPr>
              <w:spacing w:before="40" w:after="40" w:line="276" w:lineRule="auto"/>
            </w:pPr>
            <w:r>
              <w:rPr>
                <w:rFonts w:ascii="Calibri" w:hAnsi="Calibri"/>
                <w:color w:val="333333"/>
                <w:sz w:val="20"/>
              </w:rPr>
              <w:t>0.9288</w:t>
            </w:r>
          </w:p>
        </w:tc>
        <w:tc>
          <w:tcPr>
            <w:tcW w:type="dxa" w:w="1560"/>
            <w:tcMar>
              <w:top w:w="120" w:type="dxa"/>
              <w:bottom w:w="120" w:type="dxa"/>
              <w:left w:w="160" w:type="dxa"/>
              <w:right w:w="160" w:type="dxa"/>
            </w:tcMar>
            <w:shd w:fill="F8FAFC"/>
          </w:tcPr>
          <w:p>
            <w:pPr>
              <w:spacing w:before="40" w:after="40" w:line="276" w:lineRule="auto"/>
            </w:pPr>
            <w:r>
              <w:rPr>
                <w:rFonts w:ascii="Calibri" w:hAnsi="Calibri"/>
                <w:color w:val="333333"/>
                <w:sz w:val="20"/>
              </w:rPr>
              <w:t>0.7921</w:t>
            </w:r>
          </w:p>
        </w:tc>
        <w:tc>
          <w:tcPr>
            <w:tcW w:type="dxa" w:w="1560"/>
            <w:tcMar>
              <w:top w:w="120" w:type="dxa"/>
              <w:bottom w:w="120" w:type="dxa"/>
              <w:left w:w="160" w:type="dxa"/>
              <w:right w:w="160" w:type="dxa"/>
            </w:tcMar>
            <w:shd w:fill="F8FAFC"/>
          </w:tcPr>
          <w:p>
            <w:pPr>
              <w:spacing w:before="40" w:after="40" w:line="276" w:lineRule="auto"/>
            </w:pPr>
            <w:r>
              <w:rPr>
                <w:rFonts w:ascii="Calibri" w:hAnsi="Calibri"/>
                <w:color w:val="333333"/>
                <w:sz w:val="20"/>
              </w:rPr>
              <w:t>0.6897</w:t>
            </w:r>
          </w:p>
        </w:tc>
        <w:tc>
          <w:tcPr>
            <w:tcW w:type="dxa" w:w="1560"/>
            <w:tcMar>
              <w:top w:w="120" w:type="dxa"/>
              <w:bottom w:w="120" w:type="dxa"/>
              <w:left w:w="160" w:type="dxa"/>
              <w:right w:w="160" w:type="dxa"/>
            </w:tcMar>
            <w:shd w:fill="F8FAFC"/>
          </w:tcPr>
          <w:p>
            <w:pPr>
              <w:spacing w:before="40" w:after="40" w:line="276" w:lineRule="auto"/>
            </w:pPr>
            <w:r>
              <w:rPr>
                <w:rFonts w:ascii="Calibri" w:hAnsi="Calibri"/>
                <w:color w:val="333333"/>
                <w:sz w:val="20"/>
              </w:rPr>
              <w:t>0.7373</w:t>
            </w:r>
          </w:p>
        </w:tc>
        <w:tc>
          <w:tcPr>
            <w:tcW w:type="dxa" w:w="1560"/>
            <w:tcMar>
              <w:top w:w="120" w:type="dxa"/>
              <w:bottom w:w="120" w:type="dxa"/>
              <w:left w:w="160" w:type="dxa"/>
              <w:right w:w="160" w:type="dxa"/>
            </w:tcMar>
            <w:shd w:fill="F8FAFC"/>
          </w:tcPr>
          <w:p>
            <w:pPr>
              <w:spacing w:before="40" w:after="40" w:line="276" w:lineRule="auto"/>
            </w:pPr>
            <w:r>
              <w:rPr>
                <w:rFonts w:ascii="Calibri" w:hAnsi="Calibri"/>
                <w:color w:val="333333"/>
                <w:sz w:val="20"/>
              </w:rPr>
              <w:t>0.9641</w:t>
            </w:r>
          </w:p>
        </w:tc>
      </w:tr>
      <w:tr>
        <w:trPr>
          <w:cantSplit/>
        </w:trPr>
        <w:tc>
          <w:tcPr>
            <w:tcW w:type="dxa" w:w="1560"/>
            <w:tcMar>
              <w:top w:w="120" w:type="dxa"/>
              <w:bottom w:w="120" w:type="dxa"/>
              <w:left w:w="160" w:type="dxa"/>
              <w:right w:w="160" w:type="dxa"/>
            </w:tcMar>
            <w:shd w:fill="FFFFFF"/>
          </w:tcPr>
          <w:p>
            <w:pPr>
              <w:spacing w:before="40" w:after="40" w:line="276" w:lineRule="auto"/>
            </w:pPr>
            <w:r>
              <w:rPr>
                <w:rFonts w:ascii="Calibri" w:hAnsi="Calibri"/>
                <w:b/>
                <w:color w:val="1F2937"/>
                <w:sz w:val="20"/>
              </w:rPr>
              <w:t>Gradient Boosting</w:t>
            </w:r>
          </w:p>
        </w:tc>
        <w:tc>
          <w:tcPr>
            <w:tcW w:type="dxa" w:w="1560"/>
            <w:tcMar>
              <w:top w:w="120" w:type="dxa"/>
              <w:bottom w:w="120" w:type="dxa"/>
              <w:left w:w="160" w:type="dxa"/>
              <w:right w:w="160" w:type="dxa"/>
            </w:tcMar>
            <w:shd w:fill="FFFFFF"/>
          </w:tcPr>
          <w:p>
            <w:pPr>
              <w:spacing w:before="40" w:after="40" w:line="276" w:lineRule="auto"/>
            </w:pPr>
            <w:r>
              <w:rPr>
                <w:rFonts w:ascii="Calibri" w:hAnsi="Calibri"/>
                <w:b/>
                <w:color w:val="1F2937"/>
                <w:sz w:val="20"/>
              </w:rPr>
              <w:t>0.9375</w:t>
            </w:r>
          </w:p>
        </w:tc>
        <w:tc>
          <w:tcPr>
            <w:tcW w:type="dxa" w:w="1560"/>
            <w:tcMar>
              <w:top w:w="120" w:type="dxa"/>
              <w:bottom w:w="120" w:type="dxa"/>
              <w:left w:w="160" w:type="dxa"/>
              <w:right w:w="160" w:type="dxa"/>
            </w:tcMar>
            <w:shd w:fill="FFFFFF"/>
          </w:tcPr>
          <w:p>
            <w:pPr>
              <w:spacing w:before="40" w:after="40" w:line="276" w:lineRule="auto"/>
            </w:pPr>
            <w:r>
              <w:rPr>
                <w:rFonts w:ascii="Calibri" w:hAnsi="Calibri"/>
                <w:b/>
                <w:color w:val="1F2937"/>
                <w:sz w:val="20"/>
              </w:rPr>
              <w:t>0.8173</w:t>
            </w:r>
          </w:p>
        </w:tc>
        <w:tc>
          <w:tcPr>
            <w:tcW w:type="dxa" w:w="1560"/>
            <w:tcMar>
              <w:top w:w="120" w:type="dxa"/>
              <w:bottom w:w="120" w:type="dxa"/>
              <w:left w:w="160" w:type="dxa"/>
              <w:right w:w="160" w:type="dxa"/>
            </w:tcMar>
            <w:shd w:fill="FFFFFF"/>
          </w:tcPr>
          <w:p>
            <w:pPr>
              <w:spacing w:before="40" w:after="40" w:line="276" w:lineRule="auto"/>
            </w:pPr>
            <w:r>
              <w:rPr>
                <w:rFonts w:ascii="Calibri" w:hAnsi="Calibri"/>
                <w:b/>
                <w:color w:val="1F2937"/>
                <w:sz w:val="20"/>
              </w:rPr>
              <w:t>0.7328</w:t>
            </w:r>
          </w:p>
        </w:tc>
        <w:tc>
          <w:tcPr>
            <w:tcW w:type="dxa" w:w="1560"/>
            <w:tcMar>
              <w:top w:w="120" w:type="dxa"/>
              <w:bottom w:w="120" w:type="dxa"/>
              <w:left w:w="160" w:type="dxa"/>
              <w:right w:w="160" w:type="dxa"/>
            </w:tcMar>
            <w:shd w:fill="FFFFFF"/>
          </w:tcPr>
          <w:p>
            <w:pPr>
              <w:spacing w:before="40" w:after="40" w:line="276" w:lineRule="auto"/>
            </w:pPr>
            <w:r>
              <w:rPr>
                <w:rFonts w:ascii="Calibri" w:hAnsi="Calibri"/>
                <w:b/>
                <w:color w:val="1F2937"/>
                <w:sz w:val="20"/>
              </w:rPr>
              <w:t>0.7727</w:t>
            </w:r>
          </w:p>
        </w:tc>
        <w:tc>
          <w:tcPr>
            <w:tcW w:type="dxa" w:w="1560"/>
            <w:tcMar>
              <w:top w:w="120" w:type="dxa"/>
              <w:bottom w:w="120" w:type="dxa"/>
              <w:left w:w="160" w:type="dxa"/>
              <w:right w:w="160" w:type="dxa"/>
            </w:tcMar>
            <w:shd w:fill="FFFFFF"/>
          </w:tcPr>
          <w:p>
            <w:pPr>
              <w:spacing w:before="40" w:after="40" w:line="276" w:lineRule="auto"/>
            </w:pPr>
            <w:r>
              <w:rPr>
                <w:rFonts w:ascii="Calibri" w:hAnsi="Calibri"/>
                <w:b/>
                <w:color w:val="1F2937"/>
                <w:sz w:val="20"/>
              </w:rPr>
              <w:t>0.9737</w:t>
            </w:r>
          </w:p>
        </w:tc>
      </w:tr>
    </w:tbl>
    <w:p>
      <w:pPr>
        <w:spacing w:after="120"/>
      </w:pPr>
    </w:p>
    <w:p>
      <w:pPr>
        <w:spacing w:before="40" w:after="120" w:line="288" w:lineRule="auto"/>
      </w:pPr>
      <w:r>
        <w:rPr>
          <w:b/>
          <w:color w:val="1F2937"/>
        </w:rPr>
        <w:t>Selected model: Gradient Boosting</w:t>
      </w:r>
      <w:r>
        <w:rPr>
          <w:color w:val="333333"/>
        </w:rPr>
        <w:t xml:space="preserve"> (highest ROC-AUC and highest F1-score among all four candidates).</w:t>
      </w:r>
    </w:p>
    <w:p>
      <w:pPr>
        <w:keepNext/>
        <w:spacing w:before="200" w:after="60"/>
      </w:pPr>
      <w:r>
        <w:rPr>
          <w:rFonts w:ascii="Calibri" w:hAnsi="Calibri"/>
          <w:b/>
          <w:color w:val="1F4E79"/>
          <w:sz w:val="26"/>
        </w:rPr>
        <w:t>Confusion Matrix — Gradient Boosting (test set, n=800)</w:t>
      </w:r>
    </w:p>
    <w:tbl>
      <w:tblPr>
        <w:tblW w:type="auto" w:w="0"/>
        <w:jc w:val="center"/>
        <w:tblLook w:firstColumn="1" w:firstRow="1" w:lastColumn="0" w:lastRow="0" w:noHBand="0" w:noVBand="1" w:val="04A0"/>
        <w:tblBorders>
          <w:top w:val="single" w:sz="6" w:space="0" w:color="D0D7DE"/>
          <w:bottom w:val="single" w:sz="6" w:space="0" w:color="D0D7DE"/>
          <w:insideH w:val="single" w:sz="6" w:space="0" w:color="D0D7DE"/>
          <w:insideV w:val="none"/>
          <w:left w:val="none"/>
          <w:right w:val="none"/>
        </w:tblBorders>
      </w:tblPr>
      <w:tblGrid>
        <w:gridCol w:w="3120"/>
        <w:gridCol w:w="3120"/>
        <w:gridCol w:w="3120"/>
      </w:tblGrid>
      <w:tr>
        <w:trPr>
          <w:cantSplit/>
          <w:tblHeader/>
        </w:trPr>
        <w:tc>
          <w:tcPr>
            <w:tcW w:type="dxa" w:w="3120"/>
            <w:tcMar>
              <w:top w:w="120" w:type="dxa"/>
              <w:bottom w:w="120" w:type="dxa"/>
              <w:left w:w="160" w:type="dxa"/>
              <w:right w:w="160" w:type="dxa"/>
            </w:tcMar>
            <w:shd w:fill="004080"/>
          </w:tcPr>
          <w:p>
            <w:pPr>
              <w:spacing w:before="40" w:after="40" w:line="276" w:lineRule="auto"/>
            </w:pPr>
            <w:r>
              <w:rPr>
                <w:rFonts w:ascii="Calibri" w:hAnsi="Calibri"/>
                <w:b/>
                <w:color w:val="FFFFFF"/>
                <w:sz w:val="20"/>
              </w:rPr>
            </w:r>
          </w:p>
        </w:tc>
        <w:tc>
          <w:tcPr>
            <w:tcW w:type="dxa" w:w="3120"/>
            <w:tcMar>
              <w:top w:w="120" w:type="dxa"/>
              <w:bottom w:w="120" w:type="dxa"/>
              <w:left w:w="160" w:type="dxa"/>
              <w:right w:w="160" w:type="dxa"/>
            </w:tcMar>
            <w:shd w:fill="004080"/>
          </w:tcPr>
          <w:p>
            <w:pPr>
              <w:spacing w:before="40" w:after="40" w:line="276" w:lineRule="auto"/>
            </w:pPr>
            <w:r>
              <w:rPr>
                <w:rFonts w:ascii="Calibri" w:hAnsi="Calibri"/>
                <w:b/>
                <w:color w:val="FFFFFF"/>
                <w:sz w:val="20"/>
              </w:rPr>
              <w:t>Predicted: No Risk</w:t>
            </w:r>
          </w:p>
        </w:tc>
        <w:tc>
          <w:tcPr>
            <w:tcW w:type="dxa" w:w="3120"/>
            <w:tcMar>
              <w:top w:w="120" w:type="dxa"/>
              <w:bottom w:w="120" w:type="dxa"/>
              <w:left w:w="160" w:type="dxa"/>
              <w:right w:w="160" w:type="dxa"/>
            </w:tcMar>
            <w:shd w:fill="004080"/>
          </w:tcPr>
          <w:p>
            <w:pPr>
              <w:spacing w:before="40" w:after="40" w:line="276" w:lineRule="auto"/>
            </w:pPr>
            <w:r>
              <w:rPr>
                <w:rFonts w:ascii="Calibri" w:hAnsi="Calibri"/>
                <w:b/>
                <w:color w:val="FFFFFF"/>
                <w:sz w:val="20"/>
              </w:rPr>
              <w:t>Predicted: At Risk</w:t>
            </w:r>
          </w:p>
        </w:tc>
      </w:tr>
      <w:tr>
        <w:trPr>
          <w:cantSplit/>
        </w:trPr>
        <w:tc>
          <w:tcPr>
            <w:tcW w:type="dxa" w:w="3120"/>
            <w:tcMar>
              <w:top w:w="120" w:type="dxa"/>
              <w:bottom w:w="120" w:type="dxa"/>
              <w:left w:w="160" w:type="dxa"/>
              <w:right w:w="160" w:type="dxa"/>
            </w:tcMar>
            <w:shd w:fill="F8FAFC"/>
          </w:tcPr>
          <w:p>
            <w:pPr>
              <w:spacing w:before="40" w:after="40" w:line="276" w:lineRule="auto"/>
            </w:pPr>
            <w:r>
              <w:rPr>
                <w:rFonts w:ascii="Calibri" w:hAnsi="Calibri"/>
                <w:b/>
                <w:color w:val="1F2937"/>
                <w:sz w:val="20"/>
              </w:rPr>
              <w:t>Actual: No Risk</w:t>
            </w:r>
          </w:p>
        </w:tc>
        <w:tc>
          <w:tcPr>
            <w:tcW w:type="dxa" w:w="3120"/>
            <w:tcMar>
              <w:top w:w="120" w:type="dxa"/>
              <w:bottom w:w="120" w:type="dxa"/>
              <w:left w:w="160" w:type="dxa"/>
              <w:right w:w="160" w:type="dxa"/>
            </w:tcMar>
            <w:shd w:fill="F8FAFC"/>
          </w:tcPr>
          <w:p>
            <w:pPr>
              <w:spacing w:before="40" w:after="40" w:line="276" w:lineRule="auto"/>
            </w:pPr>
            <w:r>
              <w:rPr>
                <w:rFonts w:ascii="Calibri" w:hAnsi="Calibri"/>
                <w:color w:val="333333"/>
                <w:sz w:val="20"/>
              </w:rPr>
              <w:t>665 (True Negative)</w:t>
            </w:r>
          </w:p>
        </w:tc>
        <w:tc>
          <w:tcPr>
            <w:tcW w:type="dxa" w:w="3120"/>
            <w:tcMar>
              <w:top w:w="120" w:type="dxa"/>
              <w:bottom w:w="120" w:type="dxa"/>
              <w:left w:w="160" w:type="dxa"/>
              <w:right w:w="160" w:type="dxa"/>
            </w:tcMar>
            <w:shd w:fill="F8FAFC"/>
          </w:tcPr>
          <w:p>
            <w:pPr>
              <w:spacing w:before="40" w:after="40" w:line="276" w:lineRule="auto"/>
            </w:pPr>
            <w:r>
              <w:rPr>
                <w:rFonts w:ascii="Calibri" w:hAnsi="Calibri"/>
                <w:color w:val="333333"/>
                <w:sz w:val="20"/>
              </w:rPr>
              <w:t>19 (False Positive)</w:t>
            </w:r>
          </w:p>
        </w:tc>
      </w:tr>
      <w:tr>
        <w:trPr>
          <w:cantSplit/>
        </w:trPr>
        <w:tc>
          <w:tcPr>
            <w:tcW w:type="dxa" w:w="3120"/>
            <w:tcMar>
              <w:top w:w="120" w:type="dxa"/>
              <w:bottom w:w="120" w:type="dxa"/>
              <w:left w:w="160" w:type="dxa"/>
              <w:right w:w="160" w:type="dxa"/>
            </w:tcMar>
            <w:shd w:fill="FFFFFF"/>
          </w:tcPr>
          <w:p>
            <w:pPr>
              <w:spacing w:before="40" w:after="40" w:line="276" w:lineRule="auto"/>
            </w:pPr>
            <w:r>
              <w:rPr>
                <w:rFonts w:ascii="Calibri" w:hAnsi="Calibri"/>
                <w:b/>
                <w:color w:val="1F2937"/>
                <w:sz w:val="20"/>
              </w:rPr>
              <w:t>Actual: At Risk</w:t>
            </w:r>
          </w:p>
        </w:tc>
        <w:tc>
          <w:tcPr>
            <w:tcW w:type="dxa" w:w="3120"/>
            <w:tcMar>
              <w:top w:w="120" w:type="dxa"/>
              <w:bottom w:w="120" w:type="dxa"/>
              <w:left w:w="160" w:type="dxa"/>
              <w:right w:w="160" w:type="dxa"/>
            </w:tcMar>
            <w:shd w:fill="FFFFFF"/>
          </w:tcPr>
          <w:p>
            <w:pPr>
              <w:spacing w:before="40" w:after="40" w:line="276" w:lineRule="auto"/>
            </w:pPr>
            <w:r>
              <w:rPr>
                <w:rFonts w:ascii="Calibri" w:hAnsi="Calibri"/>
                <w:color w:val="333333"/>
                <w:sz w:val="20"/>
              </w:rPr>
              <w:t>31 (False Negative)</w:t>
            </w:r>
          </w:p>
        </w:tc>
        <w:tc>
          <w:tcPr>
            <w:tcW w:type="dxa" w:w="3120"/>
            <w:tcMar>
              <w:top w:w="120" w:type="dxa"/>
              <w:bottom w:w="120" w:type="dxa"/>
              <w:left w:w="160" w:type="dxa"/>
              <w:right w:w="160" w:type="dxa"/>
            </w:tcMar>
            <w:shd w:fill="FFFFFF"/>
          </w:tcPr>
          <w:p>
            <w:pPr>
              <w:spacing w:before="40" w:after="40" w:line="276" w:lineRule="auto"/>
            </w:pPr>
            <w:r>
              <w:rPr>
                <w:rFonts w:ascii="Calibri" w:hAnsi="Calibri"/>
                <w:color w:val="333333"/>
                <w:sz w:val="20"/>
              </w:rPr>
              <w:t>85 (True Positive)</w:t>
            </w:r>
          </w:p>
        </w:tc>
      </w:tr>
    </w:tbl>
    <w:p>
      <w:pPr>
        <w:spacing w:after="120"/>
      </w:pPr>
    </w:p>
    <w:p>
      <w:pPr>
        <w:keepNext/>
        <w:spacing w:before="200" w:after="60"/>
      </w:pPr>
      <w:r>
        <w:rPr>
          <w:rFonts w:ascii="Calibri" w:hAnsi="Calibri"/>
          <w:b/>
          <w:color w:val="1F4E79"/>
          <w:sz w:val="26"/>
        </w:rPr>
        <w:t>Interpretation</w:t>
      </w:r>
    </w:p>
    <w:p>
      <w:pPr>
        <w:pStyle w:val="ListBullet"/>
        <w:spacing w:before="20" w:after="40" w:line="276" w:lineRule="auto"/>
      </w:pPr>
      <w:r>
        <w:rPr>
          <w:color w:val="333333"/>
        </w:rPr>
        <w:t xml:space="preserve">Logistic Regression achieved the highest </w:t>
      </w:r>
      <w:r>
        <w:rPr>
          <w:b/>
          <w:color w:val="1F2937"/>
        </w:rPr>
        <w:t>recall</w:t>
      </w:r>
      <w:r>
        <w:rPr>
          <w:color w:val="333333"/>
        </w:rPr>
        <w:t xml:space="preserve"> (0.888) but the lowest </w:t>
      </w:r>
      <w:r>
        <w:rPr>
          <w:b/>
          <w:color w:val="1F2937"/>
        </w:rPr>
        <w:t>precision</w:t>
      </w:r>
      <w:r>
        <w:rPr>
          <w:color w:val="333333"/>
        </w:rPr>
        <w:t xml:space="preserve"> (0.491) — it catches most at-risk patients but with many false alarms.</w:t>
      </w:r>
    </w:p>
    <w:p>
      <w:pPr>
        <w:pStyle w:val="ListBullet"/>
        <w:spacing w:before="20" w:after="40" w:line="276" w:lineRule="auto"/>
      </w:pPr>
      <w:r>
        <w:rPr>
          <w:color w:val="333333"/>
        </w:rPr>
        <w:t>Gradient Boosting achieved the best overall balance, with the highest ROC-AUC (0.974), the highest precision (0.817), and a strong F1-score (0.773), making it the most reliable overall performer on this dataset.</w:t>
      </w:r>
    </w:p>
    <w:p>
      <w:pPr>
        <w:pStyle w:val="ListBullet"/>
        <w:spacing w:before="20" w:after="40" w:line="276" w:lineRule="auto"/>
      </w:pPr>
      <w:r>
        <w:rPr>
          <w:color w:val="333333"/>
        </w:rPr>
        <w:t xml:space="preserve">The full ROC curves and confusion matrices for all four models are available interactively in the "Model Performance" page of the Streamlit app, and in raw form in </w:t>
      </w:r>
      <w:r>
        <w:rPr>
          <w:rFonts w:ascii="Consolas" w:hAnsi="Consolas"/>
          <w:color w:val="005599"/>
          <w:sz w:val="19"/>
        </w:rPr>
        <w:t>models/model_metrics.json</w:t>
      </w:r>
      <w:r>
        <w:rPr>
          <w:color w:val="333333"/>
        </w:rPr>
        <w:t>.</w:t>
      </w:r>
    </w:p>
    <w:p>
      <w:pPr>
        <w:spacing w:before="160" w:after="160"/>
        <w:pBdr>
          <w:bottom w:val="single" w:sz="6" w:space="1" w:color="0066CC"/>
        </w:pBdr>
      </w:pPr>
    </w:p>
    <w:p>
      <w:pPr>
        <w:keepNext/>
        <w:spacing w:before="280" w:after="80"/>
      </w:pPr>
      <w:r>
        <w:rPr>
          <w:rFonts w:ascii="Calibri" w:hAnsi="Calibri"/>
          <w:b/>
          <w:color w:val="005599"/>
          <w:sz w:val="32"/>
        </w:rPr>
        <w:t>Chapter 7 — Application</w:t>
      </w:r>
    </w:p>
    <w:p>
      <w:pPr>
        <w:keepNext/>
        <w:spacing w:before="200" w:after="60"/>
      </w:pPr>
      <w:r>
        <w:rPr>
          <w:rFonts w:ascii="Calibri" w:hAnsi="Calibri"/>
          <w:b/>
          <w:color w:val="1F4E79"/>
          <w:sz w:val="26"/>
        </w:rPr>
        <w:t>Home</w:t>
      </w:r>
    </w:p>
    <w:p>
      <w:pPr>
        <w:spacing w:before="40" w:after="120" w:line="288" w:lineRule="auto"/>
      </w:pPr>
      <w:r>
        <w:rPr>
          <w:color w:val="333333"/>
        </w:rPr>
        <w:t>Displays the project title, a short description, an explanation of how to navigate the app, key dataset statistics (total records, at-risk rate, average age, average BMI) shown as metric cards, and the medical disclaimer.</w:t>
      </w:r>
    </w:p>
    <w:p>
      <w:pPr>
        <w:keepNext/>
        <w:spacing w:before="200" w:after="60"/>
      </w:pPr>
      <w:r>
        <w:rPr>
          <w:rFonts w:ascii="Calibri" w:hAnsi="Calibri"/>
          <w:b/>
          <w:color w:val="1F4E79"/>
          <w:sz w:val="26"/>
        </w:rPr>
        <w:t>Disease Risk Prediction</w:t>
      </w:r>
    </w:p>
    <w:p>
      <w:pPr>
        <w:spacing w:before="40" w:after="120" w:line="288" w:lineRule="auto"/>
      </w:pPr>
      <w:r>
        <w:rPr>
          <w:color w:val="333333"/>
        </w:rPr>
        <w:t>An interactive form collecting all 13 patient features (Age, Gender, BMI, Smoking Status, Alcohol Consumption, Physical Activity Level, Systolic/ Diastolic Blood Pressure, Cholesterol, Glucose, Family History, Genetic Risk Score, Previous Diagnosis). On submission, inputs are validated, passed through the same fitted preprocessing pipeline used in training, and a prediction (Low Risk / High Risk) is returned with a probability-based confidence gauge and a plain-language list of contributing risk indicators (explicitly noted as a simplified summary, not a model-internal explanation or medical advice).</w:t>
      </w:r>
    </w:p>
    <w:p>
      <w:pPr>
        <w:keepNext/>
        <w:spacing w:before="200" w:after="60"/>
      </w:pPr>
      <w:r>
        <w:rPr>
          <w:rFonts w:ascii="Calibri" w:hAnsi="Calibri"/>
          <w:b/>
          <w:color w:val="1F4E79"/>
          <w:sz w:val="26"/>
        </w:rPr>
        <w:t>Dashboard / Analytics</w:t>
      </w:r>
    </w:p>
    <w:p>
      <w:pPr>
        <w:spacing w:before="40" w:after="120" w:line="288" w:lineRule="auto"/>
      </w:pPr>
      <w:r>
        <w:rPr>
          <w:color w:val="333333"/>
        </w:rPr>
        <w:t>Provides age-range, gender, and smoking-status filters, followed by 12 interactive Plotly charts: Disease Risk distribution, Age distribution, BMI distribution, Gender vs Disease Risk, Smoking Status vs Disease Risk, Physical Activity vs Disease Risk, Family History vs Disease Risk, Previous Diagnosis vs Disease Risk, Systolic Blood Pressure distribution, Cholesterol distribution, Glucose distribution, and Genetic Risk Score distribution — all recalculated live from the filtered data.</w:t>
      </w:r>
    </w:p>
    <w:p>
      <w:pPr>
        <w:keepNext/>
        <w:spacing w:before="200" w:after="60"/>
      </w:pPr>
      <w:r>
        <w:rPr>
          <w:rFonts w:ascii="Calibri" w:hAnsi="Calibri"/>
          <w:b/>
          <w:color w:val="1F4E79"/>
          <w:sz w:val="26"/>
        </w:rPr>
        <w:t>Model Performance</w:t>
      </w:r>
    </w:p>
    <w:p>
      <w:pPr>
        <w:spacing w:before="40" w:after="120" w:line="288" w:lineRule="auto"/>
      </w:pPr>
      <w:r>
        <w:rPr>
          <w:color w:val="333333"/>
        </w:rPr>
        <w:t>Displays the selected model's name and rationale, its five headline metrics as cards (Accuracy, Precision, Recall, F1-score, ROC-AUC), an interactive confusion matrix heatmap, an interactive ROC curve, and a full side-by-side comparison table and bar chart of all four trained models.</w:t>
      </w:r>
    </w:p>
    <w:p>
      <w:pPr>
        <w:keepNext/>
        <w:spacing w:before="200" w:after="60"/>
      </w:pPr>
      <w:r>
        <w:rPr>
          <w:rFonts w:ascii="Calibri" w:hAnsi="Calibri"/>
          <w:b/>
          <w:color w:val="1F4E79"/>
          <w:sz w:val="26"/>
        </w:rPr>
        <w:t>About Project</w:t>
      </w:r>
    </w:p>
    <w:p>
      <w:pPr>
        <w:spacing w:before="40" w:after="120" w:line="288" w:lineRule="auto"/>
      </w:pPr>
      <w:r>
        <w:rPr>
          <w:color w:val="333333"/>
        </w:rPr>
        <w:t>Explains the problem statement, dataset, technologies, ML methodology, application features, limitations, and future improvements, along with the medical disclaimer.</w:t>
      </w:r>
    </w:p>
    <w:p>
      <w:pPr>
        <w:spacing w:before="160" w:after="160"/>
        <w:pBdr>
          <w:bottom w:val="single" w:sz="6" w:space="1" w:color="0066CC"/>
        </w:pBdr>
      </w:pPr>
    </w:p>
    <w:p>
      <w:pPr>
        <w:keepNext/>
        <w:spacing w:before="280" w:after="80"/>
      </w:pPr>
      <w:r>
        <w:rPr>
          <w:rFonts w:ascii="Calibri" w:hAnsi="Calibri"/>
          <w:b/>
          <w:color w:val="005599"/>
          <w:sz w:val="32"/>
        </w:rPr>
        <w:t>Chapter 8 — Limitations</w:t>
      </w:r>
    </w:p>
    <w:p>
      <w:pPr>
        <w:pStyle w:val="ListBullet"/>
        <w:spacing w:before="20" w:after="40" w:line="276" w:lineRule="auto"/>
      </w:pPr>
      <w:r>
        <w:rPr>
          <w:b/>
          <w:color w:val="1F2937"/>
        </w:rPr>
        <w:t>Synthetic data:</w:t>
      </w:r>
      <w:r>
        <w:rPr>
          <w:color w:val="333333"/>
        </w:rPr>
        <w:t xml:space="preserve"> the dataset does not represent real patients and may not reflect true real-world clinical relationships, correlations, or population distributions.</w:t>
      </w:r>
    </w:p>
    <w:p>
      <w:pPr>
        <w:pStyle w:val="ListBullet"/>
        <w:spacing w:before="20" w:after="40" w:line="276" w:lineRule="auto"/>
      </w:pPr>
      <w:r>
        <w:rPr>
          <w:b/>
          <w:color w:val="1F2937"/>
        </w:rPr>
        <w:t>No external clinical validation:</w:t>
      </w:r>
      <w:r>
        <w:rPr>
          <w:color w:val="333333"/>
        </w:rPr>
        <w:t xml:space="preserve"> the model's predictions have not been checked against real diagnostic outcomes or reviewed by medical professionals.</w:t>
      </w:r>
    </w:p>
    <w:p>
      <w:pPr>
        <w:pStyle w:val="ListBullet"/>
        <w:spacing w:before="20" w:after="40" w:line="276" w:lineRule="auto"/>
      </w:pPr>
      <w:r>
        <w:rPr>
          <w:b/>
          <w:color w:val="1F2937"/>
        </w:rPr>
        <w:t>Class imbalance:</w:t>
      </w:r>
      <w:r>
        <w:rPr>
          <w:color w:val="333333"/>
        </w:rPr>
        <w:t xml:space="preserve"> only ~14.5% of records are labeled "at risk", which constrains achievable precision/recall trade-offs and means metrics like raw accuracy can be misleading on their own (hence the emphasis on ROC-AUC and F1-score in model selection).</w:t>
      </w:r>
    </w:p>
    <w:p>
      <w:pPr>
        <w:pStyle w:val="ListBullet"/>
        <w:spacing w:before="20" w:after="40" w:line="276" w:lineRule="auto"/>
      </w:pPr>
      <w:r>
        <w:rPr>
          <w:b/>
          <w:color w:val="1F2937"/>
        </w:rPr>
        <w:t>Uncalibrated probabilities:</w:t>
      </w:r>
      <w:r>
        <w:rPr>
          <w:color w:val="333333"/>
        </w:rPr>
        <w:t xml:space="preserve"> the predicted probabilities have not been passed through a calibration step (e.g. Platt scaling), so they should be read as relative risk indicators, not precise/calibrated medical probabilities.</w:t>
      </w:r>
    </w:p>
    <w:p>
      <w:pPr>
        <w:pStyle w:val="ListBullet"/>
        <w:spacing w:before="20" w:after="40" w:line="276" w:lineRule="auto"/>
      </w:pPr>
      <w:r>
        <w:rPr>
          <w:b/>
          <w:color w:val="1F2937"/>
        </w:rPr>
        <w:t>Potential bias:</w:t>
      </w:r>
      <w:r>
        <w:rPr>
          <w:color w:val="333333"/>
        </w:rPr>
        <w:t xml:space="preserve"> as with any model trained on a fixed dataset, results may not generalize to populations or feature distributions not represented in the training data.</w:t>
      </w:r>
    </w:p>
    <w:p>
      <w:pPr>
        <w:pStyle w:val="ListBullet"/>
        <w:spacing w:before="20" w:after="40" w:line="276" w:lineRule="auto"/>
      </w:pPr>
      <w:r>
        <w:rPr>
          <w:b/>
          <w:color w:val="1F2937"/>
        </w:rPr>
        <w:t>Not a diagnostic tool:</w:t>
      </w:r>
      <w:r>
        <w:rPr>
          <w:color w:val="333333"/>
        </w:rPr>
        <w:t xml:space="preserve"> under no circumstances should this application's output be interpreted as, or substituted for, a medical diagnosis.</w:t>
      </w:r>
    </w:p>
    <w:p>
      <w:pPr>
        <w:spacing w:before="160" w:after="160"/>
        <w:pBdr>
          <w:bottom w:val="single" w:sz="6" w:space="1" w:color="0066CC"/>
        </w:pBdr>
      </w:pPr>
    </w:p>
    <w:p>
      <w:pPr>
        <w:keepNext/>
        <w:spacing w:before="280" w:after="80"/>
      </w:pPr>
      <w:r>
        <w:rPr>
          <w:rFonts w:ascii="Calibri" w:hAnsi="Calibri"/>
          <w:b/>
          <w:color w:val="005599"/>
          <w:sz w:val="32"/>
        </w:rPr>
        <w:t>Chapter 9 — Future Scope</w:t>
      </w:r>
    </w:p>
    <w:p>
      <w:pPr>
        <w:pStyle w:val="ListBullet"/>
        <w:spacing w:before="20" w:after="40" w:line="276" w:lineRule="auto"/>
      </w:pPr>
      <w:r>
        <w:rPr>
          <w:color w:val="333333"/>
        </w:rPr>
        <w:t>Train and validate on larger, real-world, properly consented and de-identified clinical datasets.</w:t>
      </w:r>
    </w:p>
    <w:p>
      <w:pPr>
        <w:pStyle w:val="ListBullet"/>
        <w:spacing w:before="20" w:after="40" w:line="276" w:lineRule="auto"/>
      </w:pPr>
      <w:r>
        <w:rPr>
          <w:color w:val="333333"/>
        </w:rPr>
        <w:t>Perform external validation against independent patient cohorts.</w:t>
      </w:r>
    </w:p>
    <w:p>
      <w:pPr>
        <w:pStyle w:val="ListBullet"/>
        <w:spacing w:before="20" w:after="40" w:line="276" w:lineRule="auto"/>
      </w:pPr>
      <w:r>
        <w:rPr>
          <w:color w:val="333333"/>
        </w:rPr>
        <w:t>Add Explainable AI techniques (SHAP, LIME) for transparent, per-prediction feature attribution.</w:t>
      </w:r>
    </w:p>
    <w:p>
      <w:pPr>
        <w:pStyle w:val="ListBullet"/>
        <w:spacing w:before="20" w:after="40" w:line="276" w:lineRule="auto"/>
      </w:pPr>
      <w:r>
        <w:rPr>
          <w:color w:val="333333"/>
        </w:rPr>
        <w:t>Apply probability calibration (e.g. Platt scaling, isotonic regression) so that predicted probabilities better reflect true observed frequencies.</w:t>
      </w:r>
    </w:p>
    <w:p>
      <w:pPr>
        <w:pStyle w:val="ListBullet"/>
        <w:spacing w:before="20" w:after="40" w:line="276" w:lineRule="auto"/>
      </w:pPr>
      <w:r>
        <w:rPr>
          <w:color w:val="333333"/>
        </w:rPr>
        <w:t>Incorporate additional clinical features (lab panels, medication history, comorbidities).</w:t>
      </w:r>
    </w:p>
    <w:p>
      <w:pPr>
        <w:pStyle w:val="ListBullet"/>
        <w:spacing w:before="20" w:after="40" w:line="276" w:lineRule="auto"/>
      </w:pPr>
      <w:r>
        <w:rPr>
          <w:color w:val="333333"/>
        </w:rPr>
        <w:t>Add model monitoring and scheduled retraining pipelines for production settings.</w:t>
      </w:r>
    </w:p>
    <w:p>
      <w:pPr>
        <w:pStyle w:val="ListBullet"/>
        <w:spacing w:before="20" w:after="40" w:line="276" w:lineRule="auto"/>
      </w:pPr>
      <w:r>
        <w:rPr>
          <w:color w:val="333333"/>
        </w:rPr>
        <w:t>Add secure deployment practices (HTTPS, containerization, access logging).</w:t>
      </w:r>
    </w:p>
    <w:p>
      <w:pPr>
        <w:pStyle w:val="ListBullet"/>
        <w:spacing w:before="20" w:after="40" w:line="276" w:lineRule="auto"/>
      </w:pPr>
      <w:r>
        <w:rPr>
          <w:color w:val="333333"/>
        </w:rPr>
        <w:t>Add authentication and privacy controls (e.g. role-based access, data encryption) before any handling of real patient data.</w:t>
      </w:r>
    </w:p>
    <w:p>
      <w:pPr>
        <w:spacing w:before="160" w:after="160"/>
        <w:pBdr>
          <w:bottom w:val="single" w:sz="6" w:space="1" w:color="0066CC"/>
        </w:pBdr>
      </w:pPr>
    </w:p>
    <w:p>
      <w:pPr>
        <w:keepNext/>
        <w:spacing w:before="280" w:after="80"/>
      </w:pPr>
      <w:r>
        <w:rPr>
          <w:rFonts w:ascii="Calibri" w:hAnsi="Calibri"/>
          <w:b/>
          <w:color w:val="005599"/>
          <w:sz w:val="32"/>
        </w:rPr>
        <w:t>Chapter 10 — Conclusion</w:t>
      </w:r>
    </w:p>
    <w:p>
      <w:pPr>
        <w:spacing w:before="40" w:after="120" w:line="288" w:lineRule="auto"/>
      </w:pPr>
      <w:r>
        <w:rPr>
          <w:color w:val="333333"/>
        </w:rPr>
        <w:t xml:space="preserve">This project implemented a complete, leakage-free machine learning pipeline for disease risk prediction on a synthetic dataset, from raw data cleaning through model comparison to a fully interactive Streamlit web application. Four classification algorithms were trained and objectively compared using Accuracy, Precision, Recall, F1-score, and ROC-AUC on a held-out test set, with </w:t>
      </w:r>
      <w:r>
        <w:rPr>
          <w:b/>
          <w:color w:val="1F2937"/>
        </w:rPr>
        <w:t>Gradient Boosting</w:t>
      </w:r>
      <w:r>
        <w:rPr>
          <w:color w:val="333333"/>
        </w:rPr>
        <w:t xml:space="preserve"> selected as the best-performing model (ROC-AUC = 0.974, F1-score = 0.773, Accuracy = 93.75%). The resulting application provides an accessible interface for exploring the dataset and generating illustrative risk predictions, while being explicit throughout — in the UI and in this report — that it is an educational tool built on synthetic data and is not a substitute for professional medical diagnosis or advice.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888888"/>
        <w:sz w:val="17"/>
      </w:rPr>
      <w:t>Synthetic Disease Risk Prediction System | Project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B2B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