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pStyle w:val="Title"/>
        <w:jc w:val="center"/>
      </w:pPr>
      <w:r>
        <w:t>RESEARCH MONOGRAPH v2.1:</w:t>
        <w:br/>
        <w:t>THE GREAT INDIAN BUSTARD (ARDEOTIS NIGRICEPS)</w:t>
      </w:r>
    </w:p>
    <w:p>
      <w:pPr>
        <w:jc w:val="center"/>
      </w:pPr>
      <w:r>
        <w:rPr>
          <w:i/>
          <w:sz w:val="28"/>
        </w:rPr>
        <w:t>A Multi-Decadal Analysis of Demographic Stability, Anthropogenic Pressures,</w:t>
        <w:br/>
        <w:t>and the March 2026 "Jumpstart" Foster-Mother Milestone</w:t>
      </w:r>
    </w:p>
    <w:p>
      <w:r>
        <w:br/>
      </w:r>
    </w:p>
    <w:p>
      <w:pPr>
        <w:jc w:val="center"/>
      </w:pPr>
      <w:r>
        <w:drawing>
          <wp:inline xmlns:a="http://schemas.openxmlformats.org/drawingml/2006/main" xmlns:pic="http://schemas.openxmlformats.org/drawingml/2006/picture">
            <wp:extent cx="5943600" cy="9579204"/>
            <wp:docPr id="1" name="Picture 1"/>
            <wp:cNvGraphicFramePr>
              <a:graphicFrameLocks noChangeAspect="1"/>
            </wp:cNvGraphicFramePr>
            <a:graphic>
              <a:graphicData uri="http://schemas.openxmlformats.org/drawingml/2006/picture">
                <pic:pic>
                  <pic:nvPicPr>
                    <pic:cNvPr id="0" name="great indian bustard.jpg"/>
                    <pic:cNvPicPr/>
                  </pic:nvPicPr>
                  <pic:blipFill>
                    <a:blip r:embed="rId9"/>
                    <a:stretch>
                      <a:fillRect/>
                    </a:stretch>
                  </pic:blipFill>
                  <pic:spPr>
                    <a:xfrm>
                      <a:off x="0" y="0"/>
                      <a:ext cx="5943600" cy="9579204"/>
                    </a:xfrm>
                    <a:prstGeom prst="rect"/>
                  </pic:spPr>
                </pic:pic>
              </a:graphicData>
            </a:graphic>
          </wp:inline>
        </w:drawing>
      </w:r>
    </w:p>
    <w:p>
      <w:r>
        <w:br/>
        <w:br/>
      </w:r>
    </w:p>
    <w:p>
      <w:pPr>
        <w:jc w:val="center"/>
      </w:pPr>
      <w:r>
        <w:t>Report Date: April 30, 2026</w:t>
        <w:br/>
        <w:t>Version: 2.1 (Fact-Checked Update)</w:t>
        <w:br/>
        <w:t>Project: GIB-RECOVERY-2026</w:t>
      </w:r>
    </w:p>
    <w:p>
      <w:r>
        <w:br w:type="page"/>
      </w:r>
    </w:p>
    <w:p>
      <w:pPr>
        <w:pStyle w:val="Heading1"/>
      </w:pPr>
      <w:r>
        <w:t>1. Executive Summary</w:t>
      </w:r>
    </w:p>
    <w:p>
      <w:r>
        <w:t>As of April 30, 2026, the Great Indian Bustard (Ardeotis nigriceps) maintains a fragile wild population of 130 ±21 individuals (WII 2025 Census), primarily in the Thar Desert. The captive breeding program has reached a record 79 birds. A pivotal milestone occurred in March 2026 with the successful 'Jumpstart' initiative—translocating a fertile egg 770 km from Rajasthan to a foster wild mother in Gujarat, resulting in the first wild hatching in Kutch in a decade. While power lines remain the leading cause of mortality (62%), the 2025 Supreme Court ruling on 'Powerline Corridors' provides a balanced roadmap for infrastructure mitigation.</w:t>
      </w:r>
    </w:p>
    <w:p>
      <w:r>
        <w:br w:type="page"/>
      </w:r>
    </w:p>
    <w:p>
      <w:pPr>
        <w:pStyle w:val="Heading1"/>
      </w:pPr>
      <w:r>
        <w:t>2. Population Demographic Analysis</w:t>
      </w:r>
    </w:p>
    <w:p>
      <w:pPr>
        <w:jc w:val="center"/>
      </w:pPr>
      <w:r>
        <w:drawing>
          <wp:inline xmlns:a="http://schemas.openxmlformats.org/drawingml/2006/main" xmlns:pic="http://schemas.openxmlformats.org/drawingml/2006/picture">
            <wp:extent cx="5486400" cy="3500825"/>
            <wp:docPr id="2" name="Picture 2"/>
            <wp:cNvGraphicFramePr>
              <a:graphicFrameLocks noChangeAspect="1"/>
            </wp:cNvGraphicFramePr>
            <a:graphic>
              <a:graphicData uri="http://schemas.openxmlformats.org/drawingml/2006/picture">
                <pic:pic>
                  <pic:nvPicPr>
                    <pic:cNvPr id="0" name="pop_trend_ci.png"/>
                    <pic:cNvPicPr/>
                  </pic:nvPicPr>
                  <pic:blipFill>
                    <a:blip r:embed="rId10"/>
                    <a:stretch>
                      <a:fillRect/>
                    </a:stretch>
                  </pic:blipFill>
                  <pic:spPr>
                    <a:xfrm>
                      <a:off x="0" y="0"/>
                      <a:ext cx="5486400" cy="3500825"/>
                    </a:xfrm>
                    <a:prstGeom prst="rect"/>
                  </pic:spPr>
                </pic:pic>
              </a:graphicData>
            </a:graphic>
          </wp:inline>
        </w:drawing>
      </w:r>
    </w:p>
    <w:tbl>
      <w:tblPr>
        <w:tblStyle w:val="TableGrid"/>
        <w:tblW w:type="auto" w:w="0"/>
        <w:tblLook w:firstColumn="1" w:firstRow="1" w:lastColumn="0" w:lastRow="0" w:noHBand="0" w:noVBand="1" w:val="04A0"/>
      </w:tblPr>
      <w:tblGrid>
        <w:gridCol w:w="2880"/>
        <w:gridCol w:w="2880"/>
        <w:gridCol w:w="2880"/>
      </w:tblGrid>
      <w:tr>
        <w:tc>
          <w:tcPr>
            <w:tcW w:type="dxa" w:w="2880"/>
          </w:tcPr>
          <w:p>
            <w:r>
              <w:t>Year</w:t>
            </w:r>
          </w:p>
        </w:tc>
        <w:tc>
          <w:tcPr>
            <w:tcW w:type="dxa" w:w="2880"/>
          </w:tcPr>
          <w:p>
            <w:r>
              <w:t>Wild Estimate (± margin)</w:t>
            </w:r>
          </w:p>
        </w:tc>
        <w:tc>
          <w:tcPr>
            <w:tcW w:type="dxa" w:w="2880"/>
          </w:tcPr>
          <w:p>
            <w:r>
              <w:t>Captive Population</w:t>
            </w:r>
          </w:p>
        </w:tc>
      </w:tr>
      <w:tr>
        <w:tc>
          <w:tcPr>
            <w:tcW w:type="dxa" w:w="2880"/>
          </w:tcPr>
          <w:p>
            <w:r>
              <w:t>1969</w:t>
            </w:r>
          </w:p>
        </w:tc>
        <w:tc>
          <w:tcPr>
            <w:tcW w:type="dxa" w:w="2880"/>
          </w:tcPr>
          <w:p>
            <w:r>
              <w:t>1260</w:t>
            </w:r>
          </w:p>
        </w:tc>
        <w:tc>
          <w:tcPr>
            <w:tcW w:type="dxa" w:w="2880"/>
          </w:tcPr>
          <w:p>
            <w:r>
              <w:t>0</w:t>
            </w:r>
          </w:p>
        </w:tc>
      </w:tr>
      <w:tr>
        <w:tc>
          <w:tcPr>
            <w:tcW w:type="dxa" w:w="2880"/>
          </w:tcPr>
          <w:p>
            <w:r>
              <w:t>2017</w:t>
            </w:r>
          </w:p>
        </w:tc>
        <w:tc>
          <w:tcPr>
            <w:tcW w:type="dxa" w:w="2880"/>
          </w:tcPr>
          <w:p>
            <w:r>
              <w:t>128 (±19)</w:t>
            </w:r>
          </w:p>
        </w:tc>
        <w:tc>
          <w:tcPr>
            <w:tcW w:type="dxa" w:w="2880"/>
          </w:tcPr>
          <w:p>
            <w:r>
              <w:t>0</w:t>
            </w:r>
          </w:p>
        </w:tc>
      </w:tr>
      <w:tr>
        <w:tc>
          <w:tcPr>
            <w:tcW w:type="dxa" w:w="2880"/>
          </w:tcPr>
          <w:p>
            <w:r>
              <w:t>2025 (Census)</w:t>
            </w:r>
          </w:p>
        </w:tc>
        <w:tc>
          <w:tcPr>
            <w:tcW w:type="dxa" w:w="2880"/>
          </w:tcPr>
          <w:p>
            <w:r>
              <w:t>130 (±21)</w:t>
            </w:r>
          </w:p>
        </w:tc>
        <w:tc>
          <w:tcPr>
            <w:tcW w:type="dxa" w:w="2880"/>
          </w:tcPr>
          <w:p>
            <w:r>
              <w:t>70</w:t>
            </w:r>
          </w:p>
        </w:tc>
      </w:tr>
      <w:tr>
        <w:tc>
          <w:tcPr>
            <w:tcW w:type="dxa" w:w="2880"/>
          </w:tcPr>
          <w:p>
            <w:r>
              <w:t>2026 (April)</w:t>
            </w:r>
          </w:p>
        </w:tc>
        <w:tc>
          <w:tcPr>
            <w:tcW w:type="dxa" w:w="2880"/>
          </w:tcPr>
          <w:p>
            <w:r>
              <w:t>130 (Est)</w:t>
            </w:r>
          </w:p>
        </w:tc>
        <w:tc>
          <w:tcPr>
            <w:tcW w:type="dxa" w:w="2880"/>
          </w:tcPr>
          <w:p>
            <w:r>
              <w:t>79</w:t>
            </w:r>
          </w:p>
        </w:tc>
      </w:tr>
    </w:tbl>
    <w:p>
      <w:r>
        <w:br/>
      </w:r>
    </w:p>
    <w:p>
      <w:pPr>
        <w:jc w:val="center"/>
      </w:pPr>
      <w:r>
        <w:drawing>
          <wp:inline xmlns:a="http://schemas.openxmlformats.org/drawingml/2006/main" xmlns:pic="http://schemas.openxmlformats.org/drawingml/2006/picture">
            <wp:extent cx="5486400" cy="3411802"/>
            <wp:docPr id="3" name="Picture 3"/>
            <wp:cNvGraphicFramePr>
              <a:graphicFrameLocks noChangeAspect="1"/>
            </wp:cNvGraphicFramePr>
            <a:graphic>
              <a:graphicData uri="http://schemas.openxmlformats.org/drawingml/2006/picture">
                <pic:pic>
                  <pic:nvPicPr>
                    <pic:cNvPr id="0" name="pop_growth_stacked.png"/>
                    <pic:cNvPicPr/>
                  </pic:nvPicPr>
                  <pic:blipFill>
                    <a:blip r:embed="rId11"/>
                    <a:stretch>
                      <a:fillRect/>
                    </a:stretch>
                  </pic:blipFill>
                  <pic:spPr>
                    <a:xfrm>
                      <a:off x="0" y="0"/>
                      <a:ext cx="5486400" cy="3411802"/>
                    </a:xfrm>
                    <a:prstGeom prst="rect"/>
                  </pic:spPr>
                </pic:pic>
              </a:graphicData>
            </a:graphic>
          </wp:inline>
        </w:drawing>
      </w:r>
    </w:p>
    <w:p>
      <w:r>
        <w:br w:type="page"/>
      </w:r>
    </w:p>
    <w:p>
      <w:pPr>
        <w:pStyle w:val="Heading1"/>
      </w:pPr>
      <w:r>
        <w:t>3. The March 2026 "Jumpstart" Milestone</w:t>
      </w:r>
    </w:p>
    <w:p>
      <w:r>
        <w:t>In a major breakthrough for in-situ conservation, scientists executed the 'Jumpstart' foster-mother initiative in March 2026. A fertile egg was collected from the Sam breeding center in Rajasthan and transported 770 km via a temperature-controlled specialized container to Gujarat's Naliya grasslands. The egg replaced an infertile clutch laid by a wild female. On March 26, 2026, the chick successfully hatched and is currently being reared by the wild foster mother, marking the first local recruitment in Gujarat after nearly a decade of local breeding failure.</w:t>
      </w:r>
    </w:p>
    <w:p>
      <w:r>
        <w:br w:type="page"/>
      </w:r>
    </w:p>
    <w:p>
      <w:pPr>
        <w:pStyle w:val="Heading1"/>
      </w:pPr>
      <w:r>
        <w:t>4. Community-Led Conservation Models</w:t>
      </w:r>
    </w:p>
    <w:p>
      <w:r>
        <w:t>A unique strength of the Indian GIB recovery program is its integration with local communities. The Bishnoi community of Rajasthan, known for their centuries-old commitment to wildlife, serves as the first line of defense against poaching and habitat encroachment. Additionally, over 200 'Godawan Mitra' (Friends of the Bustard) volunteers from local villages have been trained in monitoring and nest protection, creating a robust decentralized stewardship model.</w:t>
      </w:r>
    </w:p>
    <w:p>
      <w:r>
        <w:br w:type="page"/>
      </w:r>
    </w:p>
    <w:p>
      <w:pPr>
        <w:pStyle w:val="Heading1"/>
      </w:pPr>
      <w:r>
        <w:t>5. Policy &amp; Infrastructure: SC 2025 Ruling</w:t>
      </w:r>
    </w:p>
    <w:p>
      <w:r>
        <w:t>The December 19, 2025 Supreme Court ruling provided a significant refinement to the 2021 order. It balances renewable energy goals with conservation by establishing dedicated 'Powerline Corridors'. Rather than blanket undergrounding, the ruling mandates 100% undergrounding or rerouting within a revised 14,013 sq km priority zone in Rajasthan and Gujarat, while requiring bird flight diverters in buffer areas. This represents a targeted $3 billion infrastructure investment focused on high-risk zones.</w:t>
      </w:r>
    </w:p>
    <w:p>
      <w:r>
        <w:br w:type="page"/>
      </w:r>
    </w:p>
    <w:p>
      <w:pPr>
        <w:pStyle w:val="Heading1"/>
      </w:pPr>
      <w:r>
        <w:t>6. References</w:t>
      </w:r>
    </w:p>
    <w:p>
      <w:pPr>
        <w:ind w:left="720" w:hanging="720"/>
      </w:pPr>
      <w:r>
        <w:t>WII. (2025). Status of Great Indian Bustard in India: 2025 Census Report. Dehradun.</w:t>
      </w:r>
    </w:p>
    <w:p>
      <w:pPr>
        <w:ind w:left="720" w:hanging="720"/>
      </w:pPr>
      <w:r>
        <w:t>Supreme Court of India. (2025). M.K. Ranjitsinh v. Union of India. Judgment dated Dec 19, 2025.</w:t>
      </w:r>
    </w:p>
    <w:p>
      <w:pPr>
        <w:ind w:left="720" w:hanging="720"/>
      </w:pPr>
      <w:r>
        <w:t>Mongabay India. (2026, March). First GIB hatching in Gujarat via egg translocation.</w:t>
      </w:r>
    </w:p>
    <w:p>
      <w:pPr>
        <w:ind w:left="720" w:hanging="720"/>
      </w:pPr>
      <w:r>
        <w:t>Times of India. (2026, April). Captive breeding milestones: 79 birds and counting.</w:t>
      </w:r>
    </w:p>
    <w:p>
      <w:pPr>
        <w:ind w:left="720" w:hanging="720"/>
      </w:pPr>
      <w:r>
        <w:t>WWF-India. (2026). Community Stewardship in the Thar Desert.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