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r>
    </w:p>
    <w:p>
      <w:pPr>
        <w:pStyle w:val="Title"/>
        <w:jc w:val="center"/>
      </w:pPr>
      <w:r>
        <w:t>RESEARCH MONOGRAPH v2.1:</w:t>
        <w:br/>
        <w:t>THE GREAT INDIAN BUSTARD (ARDEOTIS NIGRICEPS)</w:t>
      </w:r>
    </w:p>
    <w:p>
      <w:pPr>
        <w:jc w:val="center"/>
      </w:pPr>
      <w:r>
        <w:rPr>
          <w:i/>
          <w:sz w:val="28"/>
        </w:rPr>
        <w:t>A Multi-Decadal Analysis of Demographic Stability, Anthropogenic Pressures,</w:t>
        <w:br/>
        <w:t>and the March 2026 "Jumpstart" Foster-Mother Milestone</w:t>
      </w:r>
    </w:p>
    <w:p>
      <w:r>
        <w:br/>
      </w:r>
    </w:p>
    <w:p>
      <w:pPr>
        <w:jc w:val="center"/>
      </w:pPr>
      <w:r>
        <w:drawing>
          <wp:inline xmlns:a="http://schemas.openxmlformats.org/drawingml/2006/main" xmlns:pic="http://schemas.openxmlformats.org/drawingml/2006/picture">
            <wp:extent cx="5943600" cy="9579204"/>
            <wp:docPr id="1" name="Picture 1"/>
            <wp:cNvGraphicFramePr>
              <a:graphicFrameLocks noChangeAspect="1"/>
            </wp:cNvGraphicFramePr>
            <a:graphic>
              <a:graphicData uri="http://schemas.openxmlformats.org/drawingml/2006/picture">
                <pic:pic>
                  <pic:nvPicPr>
                    <pic:cNvPr id="0" name="great indian bustard.jpg"/>
                    <pic:cNvPicPr/>
                  </pic:nvPicPr>
                  <pic:blipFill>
                    <a:blip r:embed="rId9"/>
                    <a:stretch>
                      <a:fillRect/>
                    </a:stretch>
                  </pic:blipFill>
                  <pic:spPr>
                    <a:xfrm>
                      <a:off x="0" y="0"/>
                      <a:ext cx="5943600" cy="9579204"/>
                    </a:xfrm>
                    <a:prstGeom prst="rect"/>
                  </pic:spPr>
                </pic:pic>
              </a:graphicData>
            </a:graphic>
          </wp:inline>
        </w:drawing>
      </w:r>
    </w:p>
    <w:p>
      <w:r>
        <w:br/>
        <w:br/>
      </w:r>
    </w:p>
    <w:p>
      <w:pPr>
        <w:jc w:val="center"/>
      </w:pPr>
      <w:r>
        <w:t>Report Date: April 30, 2026</w:t>
        <w:br/>
        <w:t>Version: 2.1 (Fact-Checked Update)</w:t>
        <w:br/>
        <w:t>Project: GIB-RECOVERY-2026</w:t>
      </w:r>
    </w:p>
    <w:p>
      <w:r>
        <w:br w:type="page"/>
      </w:r>
    </w:p>
    <w:p>
      <w:pPr>
        <w:pStyle w:val="Heading1"/>
      </w:pPr>
      <w:r>
        <w:t>Table of Contents</w:t>
      </w:r>
    </w:p>
    <w:p>
      <w:r>
        <w:t>1. Executive Summary</w:t>
      </w:r>
    </w:p>
    <w:p>
      <w:r>
        <w:t>2. Taxonomy and Biological Profile</w:t>
      </w:r>
    </w:p>
    <w:p>
      <w:r>
        <w:t>3. Historical and Current Distribution</w:t>
      </w:r>
    </w:p>
    <w:p>
      <w:r>
        <w:t>4. Demographic Analysis (1969-2026)</w:t>
      </w:r>
    </w:p>
    <w:p>
      <w:r>
        <w:t>5. The Power Line Crisis: A Quantitative Review</w:t>
      </w:r>
    </w:p>
    <w:p>
      <w:r>
        <w:t>6. Land-Use Change &amp; Grassland Degradation</w:t>
      </w:r>
    </w:p>
    <w:p>
      <w:r>
        <w:t>7. Policy &amp; Legal Framework: The SC Dec 2025 Ruling</w:t>
      </w:r>
    </w:p>
    <w:p>
      <w:r>
        <w:t>8. Ex-Situ Milestones: AI and the 2026 'Jumpstart'</w:t>
      </w:r>
    </w:p>
    <w:p>
      <w:r>
        <w:t>9. India vs. World: Global Bustard Conservation</w:t>
      </w:r>
    </w:p>
    <w:p>
      <w:r>
        <w:t>10. Conclusion &amp; Strategic Recommendations</w:t>
      </w:r>
    </w:p>
    <w:p>
      <w:r>
        <w:t>11. References (APA)</w:t>
      </w:r>
    </w:p>
    <w:p>
      <w:r>
        <w:br w:type="page"/>
      </w:r>
    </w:p>
    <w:p>
      <w:pPr>
        <w:pStyle w:val="Heading1"/>
      </w:pPr>
      <w:r>
        <w:t>1. Executive Summary</w:t>
      </w:r>
    </w:p>
    <w:p>
      <w:r>
        <w:t>As of April 30, 2026, the Great Indian Bustard (Ardeotis nigriceps) maintains a fragile wild population of 130 ±21 individuals (WII 2025 Census), primarily restricted to the Thar Desert in Rajasthan. Concurrently, the captive breeding program has achieved a historic high, reaching a record 79 birds. A pivotal milestone in ex-situ conservation occurred in March 2026 with the successful 'Jumpstart' initiative—translocating a fertile egg 770 km from a captive center in Rajasthan to be hatched by a wild foster mother in Gujarat.</w:t>
      </w:r>
    </w:p>
    <w:p>
      <w:r>
        <w:t>The 2025-2026 period represents a critical inflection point for the species. Technological interventions, such as Artificial Insemination (AI), and stringent legal frameworks, like the Supreme Court's mandate for power line undergrounding, are actively battling against the historic 90% habitat loss. The species continues to face severe anthropogenic pressures, including an estimated 18-bird annual mortality rate from high-tension infrastructure collisions in the Jaisalmer priority zone.</w:t>
      </w:r>
    </w:p>
    <w:p>
      <w:r>
        <w:t>This multi-decadal analysis comprehensively evaluates the demographic collapse from over 1,260 birds in 1969 to the current genetic bottleneck. Through empirical demographic data, geospatial threat analysis, and comprehensive policy review, this monograph outlines the urgent requirements—ranging from predator control to community stewardship—necessary for averting the extinction of one of the world's heaviest flying birds.</w:t>
      </w:r>
    </w:p>
    <w:p>
      <w:r>
        <w:br w:type="page"/>
      </w:r>
    </w:p>
    <w:p>
      <w:pPr>
        <w:pStyle w:val="Heading1"/>
      </w:pPr>
      <w:r>
        <w:t>2. Taxonomy and Biological Profile</w:t>
      </w:r>
    </w:p>
    <w:p>
      <w:r>
        <w:t>Scientific Classification: Kingdom: Animalia | Phylum: Chordata | Class: Aves | Order: Otidiformes | Family: Otididae | Genus: Ardeotis | Species: Ardeotis nigriceps (Vigors, 1831).</w:t>
      </w:r>
    </w:p>
    <w:p>
      <w:r>
        <w:t>The Great Indian Bustard is one of the world's heaviest flying birds. Adult males exhibit significant sexual dimorphism, weighing between 15-18 kg and standing approximately 1 meter tall with a wingspan ranging from 210 to 250 cm. Females are comparatively smaller and lighter. The species is characterized by its cryptic brown plumage, a distinct black cap, and a pale, elongated neck. During the breeding season, males utilize a unique inflatable gular pouch during lekking displays, producing a deep, resonant booming call that can be heard over 500 meters across the open plains.</w:t>
      </w:r>
    </w:p>
    <w:p>
      <w:r>
        <w:t>Ecologically, the GIB serves as an apex indicator species for the health of arid and semi-arid grasslands, particularly the Sehima-Dichanthium type. It is an opportunistic omnivore, acting as a natural pest controller by feeding extensively on insects such as locusts, grasshoppers, and beetles. Its diet is supplemented by small rodents, reptiles, and seasonal seeds like sorghum and millet, tying its survival closely to traditional, non-chemical agricultural practices.</w:t>
      </w:r>
    </w:p>
    <w:p>
      <w:r>
        <w:t>The species exhibits a k-selected reproductive strategy, which makes it exceptionally vulnerable to adult mortality. Females reach sexual maturity at 2 to 3 years of age and typically lay only a single egg per breeding season. The chick relies on extensive maternal dependency that can last up to two years. Consequently, any disruption to the breeding cycle, egg predation by feral dogs, or the loss of a reproductive adult has disproportionately severe impacts on the overall population's viability and genetic diversity.</w:t>
      </w:r>
    </w:p>
    <w:p>
      <w:pPr>
        <w:jc w:val="center"/>
      </w:pPr>
      <w:r>
        <w:drawing>
          <wp:inline xmlns:a="http://schemas.openxmlformats.org/drawingml/2006/main" xmlns:pic="http://schemas.openxmlformats.org/drawingml/2006/picture">
            <wp:extent cx="5486400" cy="6835877"/>
            <wp:docPr id="2" name="Picture 2"/>
            <wp:cNvGraphicFramePr>
              <a:graphicFrameLocks noChangeAspect="1"/>
            </wp:cNvGraphicFramePr>
            <a:graphic>
              <a:graphicData uri="http://schemas.openxmlformats.org/drawingml/2006/picture">
                <pic:pic>
                  <pic:nvPicPr>
                    <pic:cNvPr id="0" name="great indian bustard deatils.jpg"/>
                    <pic:cNvPicPr/>
                  </pic:nvPicPr>
                  <pic:blipFill>
                    <a:blip r:embed="rId10"/>
                    <a:stretch>
                      <a:fillRect/>
                    </a:stretch>
                  </pic:blipFill>
                  <pic:spPr>
                    <a:xfrm>
                      <a:off x="0" y="0"/>
                      <a:ext cx="5486400" cy="6835877"/>
                    </a:xfrm>
                    <a:prstGeom prst="rect"/>
                  </pic:spPr>
                </pic:pic>
              </a:graphicData>
            </a:graphic>
          </wp:inline>
        </w:drawing>
      </w:r>
    </w:p>
    <w:p>
      <w:pPr>
        <w:pStyle w:val="Caption"/>
        <w:jc w:val="center"/>
      </w:pPr>
      <w:r>
        <w:t>Figure 1: Morphological and biological details. Source: WII (2025).</w:t>
      </w:r>
    </w:p>
    <w:p>
      <w:r>
        <w:br w:type="page"/>
      </w:r>
    </w:p>
    <w:p>
      <w:pPr>
        <w:pStyle w:val="Heading1"/>
      </w:pPr>
      <w:r>
        <w:t>3. Historical and Current Distribution</w:t>
      </w:r>
    </w:p>
    <w:p>
      <w:r>
        <w:t>The Great Indian Bustard has undergone one of the most dramatic and alarming range contractions documented among avian species in the Indian subcontinent. Once ubiquitous across the extensive dry grasslands, semi-arid plains, and scrublands of the region, its distribution has systematically collapsed. Historically, the GIB was present across 11 Indian states: Punjab, Haryana, Uttar Pradesh, Madhya Pradesh, Chhattisgarh, Odisha, Andhra Pradesh, Rajasthan, Gujarat, Maharashtra, Karnataka, and Tamil Nadu, as well as parts of Pakistan.</w:t>
      </w:r>
    </w:p>
    <w:p>
      <w:r>
        <w:t>During the 19th and early 20th centuries, the bird's large home ranges (averaging over 100 sq km) allowed it to move opportunistically across these landscapes following monsoon-driven resource availability. In 1969, demographic estimates placed the population at around 1,260 individuals broadly distributed across these 11 states, with strongholds in the Thar Desert and the Deccan plateau.</w:t>
      </w:r>
    </w:p>
    <w:p>
      <w:r>
        <w:t>However, by the late 20th century, rapid conversion of grasslands to irrigation-intensive agriculture (such as sugarcane and cotton), aggressive mechanized farming, unchecked mining, and the proliferation of power grids fragmented these populations. Today, over 90% of its former geographic range has been lost. The species is now functionally extirpated from states like Punjab, Haryana, Uttar Pradesh, and Madhya Pradesh.</w:t>
      </w:r>
    </w:p>
    <w:p>
      <w:r>
        <w:t>As of 2026, the distribution is critically restricted. Rajasthan remains the primary stronghold, holding approximately 100-150 birds, primarily concentrated within and around the Desert National Park (DNP) in Jaisalmer, Barmer, and Bikaner districts. Gujarat hosts a tiny recovering population of 5-20 birds in the Kachchh region, recently bolstered by the 2026 'Jumpstart' intervention. Maharashtra, Karnataka, and Andhra Pradesh harbor highly fragmented, non-viable pockets of fewer than 15 birds combined, teetering on the edge of local extinction.</w:t>
      </w:r>
    </w:p>
    <w:p>
      <w:pPr>
        <w:jc w:val="center"/>
      </w:pPr>
      <w:r>
        <w:drawing>
          <wp:inline xmlns:a="http://schemas.openxmlformats.org/drawingml/2006/main" xmlns:pic="http://schemas.openxmlformats.org/drawingml/2006/picture">
            <wp:extent cx="5486400" cy="3287839"/>
            <wp:docPr id="3" name="Picture 3"/>
            <wp:cNvGraphicFramePr>
              <a:graphicFrameLocks noChangeAspect="1"/>
            </wp:cNvGraphicFramePr>
            <a:graphic>
              <a:graphicData uri="http://schemas.openxmlformats.org/drawingml/2006/picture">
                <pic:pic>
                  <pic:nvPicPr>
                    <pic:cNvPr id="0" name="range_contraction_map.png"/>
                    <pic:cNvPicPr/>
                  </pic:nvPicPr>
                  <pic:blipFill>
                    <a:blip r:embed="rId11"/>
                    <a:stretch>
                      <a:fillRect/>
                    </a:stretch>
                  </pic:blipFill>
                  <pic:spPr>
                    <a:xfrm>
                      <a:off x="0" y="0"/>
                      <a:ext cx="5486400" cy="3287839"/>
                    </a:xfrm>
                    <a:prstGeom prst="rect"/>
                  </pic:spPr>
                </pic:pic>
              </a:graphicData>
            </a:graphic>
          </wp:inline>
        </w:drawing>
      </w:r>
    </w:p>
    <w:p>
      <w:pPr>
        <w:pStyle w:val="Caption"/>
        <w:jc w:val="center"/>
      </w:pPr>
      <w:r>
        <w:t>Figure 2: GIB Range Contraction Status by State (Historical vs. 2026).</w:t>
      </w:r>
    </w:p>
    <w:p>
      <w:r>
        <w:br w:type="page"/>
      </w:r>
    </w:p>
    <w:p>
      <w:pPr>
        <w:pStyle w:val="Heading1"/>
      </w:pPr>
      <w:r>
        <w:t>4. Demographic Analysis (1969-2026)</w:t>
      </w:r>
    </w:p>
    <w:p>
      <w:r>
        <w:t>The demographic trajectory of the Great Indian Bustard represents a catastrophic multi-decadal decline, transitioning from a widespread species to a critically endangered population suffering from severe genetic bottlenecks. In 1969, baseline surveys estimated the national population at 1,260 individuals. By 1978, this number had plummeted to 745, indicating an unsustainable mortality rate driven by hunting and rapid habitat loss.</w:t>
      </w:r>
    </w:p>
    <w:p>
      <w:r>
        <w:t>The decline accelerated through the turn of the century. By 2008, the population was estimated at a mere 300 individuals. A rigorous Population Viability Analysis (PVA) conducted by the Wildlife Institute of India (WII) in 2010 warned of imminent extinction if adult mortality was not immediately curtailed. By 2017, the wild population hit a recorded nadir of approximately 128 individuals, restricted to heavily fragmented pockets.</w:t>
      </w:r>
    </w:p>
    <w:p>
      <w:pPr>
        <w:jc w:val="center"/>
      </w:pPr>
      <w:r>
        <w:drawing>
          <wp:inline xmlns:a="http://schemas.openxmlformats.org/drawingml/2006/main" xmlns:pic="http://schemas.openxmlformats.org/drawingml/2006/picture">
            <wp:extent cx="5486400" cy="3500825"/>
            <wp:docPr id="4" name="Picture 4"/>
            <wp:cNvGraphicFramePr>
              <a:graphicFrameLocks noChangeAspect="1"/>
            </wp:cNvGraphicFramePr>
            <a:graphic>
              <a:graphicData uri="http://schemas.openxmlformats.org/drawingml/2006/picture">
                <pic:pic>
                  <pic:nvPicPr>
                    <pic:cNvPr id="0" name="pop_trend_ci.png"/>
                    <pic:cNvPicPr/>
                  </pic:nvPicPr>
                  <pic:blipFill>
                    <a:blip r:embed="rId12"/>
                    <a:stretch>
                      <a:fillRect/>
                    </a:stretch>
                  </pic:blipFill>
                  <pic:spPr>
                    <a:xfrm>
                      <a:off x="0" y="0"/>
                      <a:ext cx="5486400" cy="3500825"/>
                    </a:xfrm>
                    <a:prstGeom prst="rect"/>
                  </pic:spPr>
                </pic:pic>
              </a:graphicData>
            </a:graphic>
          </wp:inline>
        </w:drawing>
      </w:r>
    </w:p>
    <w:p>
      <w:r>
        <w:t>The most recent comprehensive census data from WII (2025) estimates the wild population at 130 ±21 individuals. While this indicates a plateauing of the steep decline, the wild population remains below the threshold for long-term genetic viability without continuous intervention. The lack of genetic flow between the isolated Rajasthan, Gujarat, and Maharashtra populations poses a severe risk of inbreeding depression.</w:t>
      </w:r>
    </w:p>
    <w:p>
      <w:r>
        <w:t>Conversely, the ex-situ demographic trajectory offers a stark contrast and a beacon of hope. Initiated in 2019, the captive breeding program has experienced exponential growth. From a foundational stock of just a few dozen eggs, the captive population reached 70 individuals in 2025 and currently stands at 79 birds as of April 2026. This captive cohort represents an essential genetic insurance policy, ensuring that even if wild populations face stochastic extinction events, the species genome is preserved for future rewilding.</w:t>
      </w:r>
    </w:p>
    <w:p>
      <w:pPr>
        <w:jc w:val="center"/>
      </w:pPr>
      <w:r>
        <w:drawing>
          <wp:inline xmlns:a="http://schemas.openxmlformats.org/drawingml/2006/main" xmlns:pic="http://schemas.openxmlformats.org/drawingml/2006/picture">
            <wp:extent cx="5486400" cy="3411802"/>
            <wp:docPr id="5" name="Picture 5"/>
            <wp:cNvGraphicFramePr>
              <a:graphicFrameLocks noChangeAspect="1"/>
            </wp:cNvGraphicFramePr>
            <a:graphic>
              <a:graphicData uri="http://schemas.openxmlformats.org/drawingml/2006/picture">
                <pic:pic>
                  <pic:nvPicPr>
                    <pic:cNvPr id="0" name="pop_growth_stacked.png"/>
                    <pic:cNvPicPr/>
                  </pic:nvPicPr>
                  <pic:blipFill>
                    <a:blip r:embed="rId13"/>
                    <a:stretch>
                      <a:fillRect/>
                    </a:stretch>
                  </pic:blipFill>
                  <pic:spPr>
                    <a:xfrm>
                      <a:off x="0" y="0"/>
                      <a:ext cx="5486400" cy="3411802"/>
                    </a:xfrm>
                    <a:prstGeom prst="rect"/>
                  </pic:spPr>
                </pic:pic>
              </a:graphicData>
            </a:graphic>
          </wp:inline>
        </w:drawing>
      </w:r>
    </w:p>
    <w:p>
      <w:r>
        <w:br w:type="page"/>
      </w:r>
    </w:p>
    <w:p>
      <w:pPr>
        <w:pStyle w:val="Heading1"/>
      </w:pPr>
      <w:r>
        <w:t>5. The Power Line Crisis: A Quantitative Review</w:t>
      </w:r>
    </w:p>
    <w:p>
      <w:r>
        <w:t>The proliferation of high-tension power lines across the Thar Desert represents the single greatest anthropogenic threat to the survival of the Great Indian Bustard. Quantitative threat matrices and telemetry studies indicate that power line collisions account for a staggering 62% of all adult GIB mortality. In the Jaisalmer priority zone alone, estimates suggest an annual loss of 15% of the population, equating to approximately 18 to 20 birds per year.</w:t>
      </w:r>
    </w:p>
    <w:p>
      <w:r>
        <w:t>The vulnerability of the GIB to this infrastructure is rooted in its evolutionary biology. As a heavy, ground-dwelling bird, the GIB possesses limited frontal vision, evolved to scan the horizon for predators rather than looking directly ahead. Combined with their high flight inertia and slow maneuverability, the birds are physically unable to detect and evade thin, high-voltage wires, especially during low-light conditions at dawn and dusk.</w:t>
      </w:r>
    </w:p>
    <w:p>
      <w:r>
        <w:t>In response to this crisis, a landmark Supreme Court ruling was issued on December 19, 2025 (M.K. Ranjitsinh v. Union of India). The mandate requires the 100% undergrounding of all low and high-voltage power lines within a critically designated 14,013 sq km 'Priority Zone' in Rajasthan and Gujarat. Where undergrounding is technically unfeasible, the installation of bird flight diverters is mandatory.</w:t>
      </w:r>
    </w:p>
    <w:p>
      <w:r>
        <w:t>This mandate, estimated to cost upwards of $3 Billion, has triggered significant friction with India's aggressive renewable energy targets. However, the ruling firmly establishes that the constitutional right to life extends to endangered species, forcing a paradigm shift in how energy evacuation infrastructure is planned in ecologically sensitive arid landscapes.</w:t>
      </w:r>
    </w:p>
    <w:p>
      <w:pPr>
        <w:jc w:val="center"/>
      </w:pPr>
      <w:r>
        <w:drawing>
          <wp:inline xmlns:a="http://schemas.openxmlformats.org/drawingml/2006/main" xmlns:pic="http://schemas.openxmlformats.org/drawingml/2006/picture">
            <wp:extent cx="5486400" cy="5684808"/>
            <wp:docPr id="6" name="Picture 6"/>
            <wp:cNvGraphicFramePr>
              <a:graphicFrameLocks noChangeAspect="1"/>
            </wp:cNvGraphicFramePr>
            <a:graphic>
              <a:graphicData uri="http://schemas.openxmlformats.org/drawingml/2006/picture">
                <pic:pic>
                  <pic:nvPicPr>
                    <pic:cNvPr id="0" name="threat_analysis_v21.png"/>
                    <pic:cNvPicPr/>
                  </pic:nvPicPr>
                  <pic:blipFill>
                    <a:blip r:embed="rId14"/>
                    <a:stretch>
                      <a:fillRect/>
                    </a:stretch>
                  </pic:blipFill>
                  <pic:spPr>
                    <a:xfrm>
                      <a:off x="0" y="0"/>
                      <a:ext cx="5486400" cy="5684808"/>
                    </a:xfrm>
                    <a:prstGeom prst="rect"/>
                  </pic:spPr>
                </pic:pic>
              </a:graphicData>
            </a:graphic>
          </wp:inline>
        </w:drawing>
      </w:r>
    </w:p>
    <w:p>
      <w:pPr>
        <w:pStyle w:val="Caption"/>
        <w:jc w:val="center"/>
      </w:pPr>
      <w:r>
        <w:t>Figure 3: Analytical Breakdown of Mortality Drivers (2026).</w:t>
      </w:r>
    </w:p>
    <w:p>
      <w:r>
        <w:br w:type="page"/>
      </w:r>
    </w:p>
    <w:p>
      <w:pPr>
        <w:pStyle w:val="Heading1"/>
      </w:pPr>
      <w:r>
        <w:t>6. Land-Use Change &amp; Grassland Degradation</w:t>
      </w:r>
    </w:p>
    <w:p>
      <w:r>
        <w:t>Historically classified as 'wastelands' in colonial and post-colonial land registries, India's semi-arid grasslands have been disproportionately targeted for industrial and agricultural conversion. This systemic misclassification has resulted in the catastrophic degradation of the GIB's primary habitat. Over the last two decades, more than 20,000 hectares of prime bustard habitat have been fenced off for the development of utility-scale solar and wind energy parks.</w:t>
      </w:r>
    </w:p>
    <w:p>
      <w:r>
        <w:t>While renewable energy is vital for climate mitigation, the physical infrastructure of these parks—comprising vast arrays of solar panels, chain-link fences, access roads, and substations—severely fragments the landscape. This fragmentation prevents the bustards from moving freely between foraging, lekking, and nesting sites, effectively shrinking their usable habitat far beyond the actual footprint of the parks.</w:t>
      </w:r>
    </w:p>
    <w:p>
      <w:r>
        <w:t>Simultaneously, agricultural paradigms in the Thar and Deccan regions have shifted drastically. The expansion of irrigation networks, notably the Indira Gandhi Canal, has transformed traditional dryland farming. Farmers have transitioned from cultivating drought-resistant, bustard-friendly crops like sorghum, bajra, and millets, to water-intensive cash crops such as cotton, sugarcane, and grapes.</w:t>
      </w:r>
    </w:p>
    <w:p>
      <w:r>
        <w:t>This agricultural shift is accompanied by a massive increase in the use of chemical pesticides and fertilizers. These chemicals effectively sterilize the landscape of its insect biomass, destroying the primary protein source required by GIB chicks during their crucial early development stages. Furthermore, the intensification of agriculture has led to severe overgrazing by livestock in the remaining grassland patches, trampling nests and leaving eggs exposed to predators.</w:t>
      </w:r>
    </w:p>
    <w:p>
      <w:r>
        <w:br w:type="page"/>
      </w:r>
    </w:p>
    <w:p>
      <w:pPr>
        <w:pStyle w:val="Heading1"/>
      </w:pPr>
      <w:r>
        <w:t>7. Policy &amp; Legal Framework: The SC Dec 2025 Ruling</w:t>
      </w:r>
    </w:p>
    <w:p>
      <w:r>
        <w:t>The Great Indian Bustard is afforded the highest level of legal protection in India, listed under Schedule I of the Wildlife (Protection) Act, 1972. Internationally, it is classified as Critically Endangered on the IUCN Red List and is included in Appendix I of CITES and the Convention on Migratory Species (CMS). Despite this formidable legal status, enforcement on the ground has historically struggled against the pace of industrialization.</w:t>
      </w:r>
    </w:p>
    <w:p>
      <w:r>
        <w:t>In 2013, the Ministry of Environment, Forest and Climate Change (MoEFCC) launched 'Project Great Indian Bustard,' a targeted national initiative aiming to replicate the success of Project Tiger. This led to the establishment of the dedicated conservation breeding centers at Sam and Sudasari in Rajasthan, which have become the cornerstone of the species' survival strategy.</w:t>
      </w:r>
    </w:p>
    <w:p>
      <w:r>
        <w:t>The legal framework reached a watershed moment with the Supreme Court's December 19, 2025 ruling. The court not only mandated the undergrounding of power lines but also established an expert committee to oversee the implementation of 'Powerline Corridors.' These corridors are designed to safely channel renewable energy evacuation outside of the critical breeding habitats, balancing the nation's 500GW renewable energy ambitions with ecological imperatives.</w:t>
      </w:r>
    </w:p>
    <w:p>
      <w:r>
        <w:t>Furthermore, recent state-level policies have begun focusing on community integration. The 'Godawan Mitra' (Friends of the Bustard) program provides direct financial incentives and stipends to local farmers and pastoralists who locate, report, and protect GIB nests from predators and trampling, effectively turning local communities into frontline conservationists.</w:t>
      </w:r>
    </w:p>
    <w:p>
      <w:r>
        <w:br w:type="page"/>
      </w:r>
    </w:p>
    <w:p>
      <w:pPr>
        <w:pStyle w:val="Heading1"/>
      </w:pPr>
      <w:r>
        <w:t>8. Ex-Situ Milestones: AI and the 2026 "Jumpstart"</w:t>
      </w:r>
    </w:p>
    <w:p>
      <w:r>
        <w:t>Given the precarious state of the wild population, ex-situ conservation—specifically the captive breeding program managed by the Wildlife Institute of India (WII)—has become the ultimate safety net for the species. Initiated in 2019 by harvesting eggs from wild nests susceptible to predation, the program has exceeded all demographic expectations, growing the captive flock to 79 individuals by April 2026.</w:t>
      </w:r>
    </w:p>
    <w:p>
      <w:r>
        <w:t>A monumental technological breakthrough was achieved in 2025 with the successful standardization of Artificial Insemination (AI) protocols for the GIB. Overcoming immense logistical and biological hurdles, the veterinary teams produced 12 healthy chicks via AI in a single year. This achievement drastically enhances the genetic management capabilities of the captive flock, ensuring maximum heterozygosity without the risks of natural mating injuries.</w:t>
      </w:r>
    </w:p>
    <w:p>
      <w:r>
        <w:t>The program reached another historic milestone in March 2026 with the 'Jumpstart' initiative. In a highly coordinated, multi-state operation, a fertile egg was transported 770 km from the Sam breeding center in Rajasthan to the Naliya grasslands in Gujarat. The egg was successfully placed into the nest of a wild foster mother, who subsequently hatched and is currently rearing the chick.</w:t>
      </w:r>
    </w:p>
    <w:p>
      <w:r>
        <w:t>This 'Jumpstart' intervention represents a paradigm shift from pure captive rearing to active wild population augmentation. By utilizing wild foster mothers, the program circumvents the profound challenges of human-imprinting associated with hand-reared chicks. It offers a viable blueprint for repopulating the fragmented ranges in Gujarat and Maharashtra over the next decade.</w:t>
      </w:r>
    </w:p>
    <w:p>
      <w:r>
        <w:br w:type="page"/>
      </w:r>
    </w:p>
    <w:p>
      <w:pPr>
        <w:pStyle w:val="Heading1"/>
      </w:pPr>
      <w:r>
        <w:t>9. India vs. World: Global Bustard Conservation</w:t>
      </w:r>
    </w:p>
    <w:p>
      <w:r>
        <w:t>The Otididae family comprises 26 species of bustards distributed across the globe, all of which are ground-dwelling, inhabit open landscapes, and are highly vulnerable to habitat modification and hunting. Among these, the Great Indian Bustard holds the tragic distinction of being the most critically endangered, sitting at the absolute apex of the Global Bustard Vulnerability Index.</w:t>
      </w:r>
    </w:p>
    <w:p>
      <w:r>
        <w:t>A comparative analysis highlights the severity of the GIB's plight. The Great Bustard (Otis tarda) of Europe and Asia, and the Kori Bustard (Ardeotis kori) of Africa, while facing similar threats from agricultural intensification and infrastructure, maintain populations in the thousands across vast, contiguous transnational ranges. The Houbara Bustard (Chlamydotis undulata) of the Middle East has faced intense hunting pressures but benefits from massive, state-sponsored captive breeding and release programs in the UAE and Saudi Arabia.</w:t>
      </w:r>
    </w:p>
    <w:p>
      <w:r>
        <w:t>In contrast, the GIB's population is restricted to a few hundred square kilometers in the Thar Desert. However, India's recent response has positioned it as a global leader in avian conservation technology. The successful implementation of AI in a species as heavy and biologically complex as the GIB is a world-first.</w:t>
      </w:r>
    </w:p>
    <w:p>
      <w:r>
        <w:t>Furthermore, the 2026 'Jumpstart' egg translocation technique is now being closely studied by international ornithological bodies as a highly effective methodology for augmenting isolated bustard populations worldwide. The GIB recovery program, transitioning from a state of despair to one of rigorous, tech-driven intervention, represents one of the most complex and closely watched conservation projects on the planet.</w:t>
      </w:r>
    </w:p>
    <w:p>
      <w:r>
        <w:br w:type="page"/>
      </w:r>
    </w:p>
    <w:p>
      <w:pPr>
        <w:pStyle w:val="Heading1"/>
      </w:pPr>
      <w:r>
        <w:t>10. Conclusion &amp; Strategic Recommendations</w:t>
      </w:r>
    </w:p>
    <w:p>
      <w:r>
        <w:t>The Great Indian Bustard stands at a critical demographic crossroads in 2026. The catastrophic multi-decadal decline has been momentarily halted, not by natural recovery, but by an unprecedented, technology-driven ex-situ conservation effort. While the captive population of 79 birds secures the genetic legacy of the species, the wild population of 130 individuals remains precariously close to the extinction vortex.</w:t>
      </w:r>
    </w:p>
    <w:p>
      <w:r>
        <w:t>The survival of the species in its natural habitat depends entirely on the rigorous execution of several strategic pillars. First and foremost is the strict, uncompromising compliance with the Supreme Court's 2025 ruling on power line undergrounding. Without neutralizing this 62% mortality driver, any wild augmentation efforts will merely be feeding captive-bred birds into an infrastructural sink.</w:t>
      </w:r>
    </w:p>
    <w:p>
      <w:r>
        <w:t>Secondly, landscape-level habitat restoration must be prioritized. This includes the creation of protected 'Godawan Corridors' to re-establish genetic flow between the Thar Desert core and the satellite populations in Gujarat. Agricultural policies must simultaneously pivot, providing heavy subsidies to Thar farmers who return to organic, pesticide-free millet cultivation that supports the insect biomass necessary for bustard nutrition.</w:t>
      </w:r>
    </w:p>
    <w:p>
      <w:r>
        <w:t>Finally, the long-term sustainability of these efforts relies on community stewardship. Programs like the 'Godawan Mitra' must be drastically scaled up, ensuring that the economic well-being of the local pastoralists is intrinsically linked to the survival of the bustard. With these integrated strategies, the GIB can transition from the brink of extinction to becoming a symbol of resilient, landscape-level conservation.</w:t>
      </w:r>
    </w:p>
    <w:p>
      <w:pPr>
        <w:jc w:val="center"/>
      </w:pPr>
      <w:r>
        <w:drawing>
          <wp:inline xmlns:a="http://schemas.openxmlformats.org/drawingml/2006/main" xmlns:pic="http://schemas.openxmlformats.org/drawingml/2006/picture">
            <wp:extent cx="5486400" cy="6866965"/>
            <wp:docPr id="7" name="Picture 7"/>
            <wp:cNvGraphicFramePr>
              <a:graphicFrameLocks noChangeAspect="1"/>
            </wp:cNvGraphicFramePr>
            <a:graphic>
              <a:graphicData uri="http://schemas.openxmlformats.org/drawingml/2006/picture">
                <pic:pic>
                  <pic:nvPicPr>
                    <pic:cNvPr id="0" name="great indian bustard 3.jpg"/>
                    <pic:cNvPicPr/>
                  </pic:nvPicPr>
                  <pic:blipFill>
                    <a:blip r:embed="rId15"/>
                    <a:stretch>
                      <a:fillRect/>
                    </a:stretch>
                  </pic:blipFill>
                  <pic:spPr>
                    <a:xfrm>
                      <a:off x="0" y="0"/>
                      <a:ext cx="5486400" cy="6866965"/>
                    </a:xfrm>
                    <a:prstGeom prst="rect"/>
                  </pic:spPr>
                </pic:pic>
              </a:graphicData>
            </a:graphic>
          </wp:inline>
        </w:drawing>
      </w:r>
    </w:p>
    <w:p>
      <w:pPr>
        <w:pStyle w:val="Caption"/>
        <w:jc w:val="center"/>
      </w:pPr>
      <w:r>
        <w:t>Figure 4: A symbol of hope - The first 'Jumpstart' chick in Gujarat (2026). Source: WII.</w:t>
      </w:r>
    </w:p>
    <w:p>
      <w:r>
        <w:br w:type="page"/>
      </w:r>
    </w:p>
    <w:p>
      <w:pPr>
        <w:pStyle w:val="Heading1"/>
      </w:pPr>
      <w:r>
        <w:t>11. References (APA)</w:t>
      </w:r>
    </w:p>
    <w:p>
      <w:pPr>
        <w:ind w:left="720" w:hanging="720"/>
      </w:pPr>
      <w:r>
        <w:t>Dutta, S., et al. (2010). Population Viability Analysis of the Great Indian Bustard. Dehradun: WII.</w:t>
      </w:r>
    </w:p>
    <w:p>
      <w:pPr>
        <w:ind w:left="720" w:hanging="720"/>
      </w:pPr>
      <w:r>
        <w:t>MoEFCC. (2025). Annual Report on Project GIB and Habitat Restoration. New Delhi.</w:t>
      </w:r>
    </w:p>
    <w:p>
      <w:pPr>
        <w:ind w:left="720" w:hanging="720"/>
      </w:pPr>
      <w:r>
        <w:t>Supreme Court of India. (2025). M.K. Ranjitsinh v. Union of India. Dec 19, 2025.</w:t>
      </w:r>
    </w:p>
    <w:p>
      <w:pPr>
        <w:ind w:left="720" w:hanging="720"/>
      </w:pPr>
      <w:r>
        <w:t>WWF-India. (2026). Grassland Management and Community Stewardship. Mumbai.</w:t>
      </w:r>
    </w:p>
    <w:p>
      <w:pPr>
        <w:ind w:left="720" w:hanging="720"/>
      </w:pPr>
      <w:r>
        <w:t>Hindustan Times. (2026, March 21). Milestone: Successful Egg Translocation to Gujarat.</w:t>
      </w:r>
    </w:p>
    <w:p>
      <w:pPr>
        <w:ind w:left="720" w:hanging="720"/>
      </w:pPr>
      <w:r>
        <w:t>Indian Express. (2025, Dec 20). The $3 Billion Power Line Mandate.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