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r>
    </w:p>
    <w:p>
      <w:pPr>
        <w:pStyle w:val="Title"/>
        <w:jc w:val="center"/>
      </w:pPr>
      <w:r>
        <w:t>RESEARCH MONOGRAPH v2.1:</w:t>
        <w:br/>
        <w:t>THE GREAT INDIAN BUSTARD (ARDEOTIS NIGRICEPS)</w:t>
      </w:r>
    </w:p>
    <w:p>
      <w:pPr>
        <w:jc w:val="center"/>
      </w:pPr>
      <w:r>
        <w:rPr>
          <w:i/>
          <w:sz w:val="28"/>
        </w:rPr>
        <w:t>A Multi-Decadal Analysis of Demographic Stability, Anthropogenic Pressures,</w:t>
        <w:br/>
        <w:t>and the March 2026 "Jumpstart" Foster-Mother Milestone</w:t>
      </w:r>
    </w:p>
    <w:p>
      <w:r>
        <w:br/>
      </w:r>
    </w:p>
    <w:p>
      <w:pPr>
        <w:jc w:val="center"/>
      </w:pPr>
      <w:r>
        <w:drawing>
          <wp:inline xmlns:a="http://schemas.openxmlformats.org/drawingml/2006/main" xmlns:pic="http://schemas.openxmlformats.org/drawingml/2006/picture">
            <wp:extent cx="5943600" cy="9579204"/>
            <wp:docPr id="1" name="Picture 1"/>
            <wp:cNvGraphicFramePr>
              <a:graphicFrameLocks noChangeAspect="1"/>
            </wp:cNvGraphicFramePr>
            <a:graphic>
              <a:graphicData uri="http://schemas.openxmlformats.org/drawingml/2006/picture">
                <pic:pic>
                  <pic:nvPicPr>
                    <pic:cNvPr id="0" name="great indian bustard.jpg"/>
                    <pic:cNvPicPr/>
                  </pic:nvPicPr>
                  <pic:blipFill>
                    <a:blip r:embed="rId9"/>
                    <a:stretch>
                      <a:fillRect/>
                    </a:stretch>
                  </pic:blipFill>
                  <pic:spPr>
                    <a:xfrm>
                      <a:off x="0" y="0"/>
                      <a:ext cx="5943600" cy="9579204"/>
                    </a:xfrm>
                    <a:prstGeom prst="rect"/>
                  </pic:spPr>
                </pic:pic>
              </a:graphicData>
            </a:graphic>
          </wp:inline>
        </w:drawing>
      </w:r>
    </w:p>
    <w:p>
      <w:r>
        <w:br/>
        <w:br/>
      </w:r>
    </w:p>
    <w:p>
      <w:pPr>
        <w:jc w:val="center"/>
      </w:pPr>
      <w:r>
        <w:t>Report Date: April 30, 2026</w:t>
        <w:br/>
        <w:t>Version: 2.1 (Fact-Checked Update)</w:t>
        <w:br/>
        <w:t>Project: GIB-RECOVERY-2026</w:t>
      </w:r>
    </w:p>
    <w:p>
      <w:r>
        <w:br w:type="page"/>
      </w:r>
    </w:p>
    <w:p>
      <w:pPr>
        <w:pStyle w:val="Heading1"/>
      </w:pPr>
      <w:r>
        <w:t>Table of Contents</w:t>
      </w:r>
    </w:p>
    <w:p>
      <w:r>
        <w:t>1. Executive Summary ................................................................... 2</w:t>
      </w:r>
    </w:p>
    <w:p>
      <w:r>
        <w:t>2. Taxonomy and Biological Profile .................................................... 4</w:t>
      </w:r>
    </w:p>
    <w:p>
      <w:r>
        <w:t>3. Historical and Current Distribution ................................................ 7</w:t>
      </w:r>
    </w:p>
    <w:p>
      <w:r>
        <w:t>4. Demographic Analysis (1969-2026) ............................................. 10</w:t>
      </w:r>
    </w:p>
    <w:p>
      <w:r>
        <w:t>5. The Power Line Crisis: A Quantitative Review .............................. 13</w:t>
      </w:r>
    </w:p>
    <w:p>
      <w:r>
        <w:t>6. Land-Use Change &amp; Grassland Degradation ................................ 16</w:t>
      </w:r>
    </w:p>
    <w:p>
      <w:r>
        <w:t>7. Policy &amp; Legal Framework: The SC Dec 2025 Ruling .................. 19</w:t>
      </w:r>
    </w:p>
    <w:p>
      <w:r>
        <w:t>8. Ex-Situ Milestones: AI and the 2026 'Jumpstart' .......................... 22</w:t>
      </w:r>
    </w:p>
    <w:p>
      <w:r>
        <w:t>9. India vs. World: Global Bustard Conservation ............................. 24</w:t>
      </w:r>
    </w:p>
    <w:p>
      <w:r>
        <w:t>10. Conclusion &amp; Strategic Recommendations ................................. 27</w:t>
      </w:r>
    </w:p>
    <w:p>
      <w:r>
        <w:t>11. References (APA) ..................................................................... 29</w:t>
      </w:r>
    </w:p>
    <w:p>
      <w:r>
        <w:br w:type="page"/>
      </w:r>
    </w:p>
    <w:p>
      <w:pPr>
        <w:pStyle w:val="Heading1"/>
      </w:pPr>
      <w:r>
        <w:t>1. Executive Summary</w:t>
      </w:r>
    </w:p>
    <w:p>
      <w:r>
        <w:t>As of April 30, 2026, the Great Indian Bustard (Ardeotis nigriceps) maintains a fragile wild population of 130 ±21 individuals (WII 2025 Census), primarily in the Thar Desert. The captive breeding program has reached a record 79 birds. A pivotal milestone occurred in March 2026 with the successful 'Jumpstart' initiative—translocating a fertile egg 770 km from Rajasthan to a foster wild mother in Gujarat. This monograph provides a multi-dimensional review of the species' trajectory, infrastructure mitigation, and community-led stewardship models. The 2025-2026 period represents a critical inflection point, where technological interventions like Artificial Insemination (AI) and the Supreme Court's mandate for power line undergrounding are battling against 90% habitat loss and an 18-bird annual mortality rate from infrastructure collisions.</w:t>
      </w:r>
    </w:p>
    <w:p>
      <w:r>
        <w:br w:type="page"/>
      </w:r>
    </w:p>
    <w:p>
      <w:pPr>
        <w:pStyle w:val="Heading1"/>
      </w:pPr>
      <w:r>
        <w:t>2. Taxonomy and Biological Profile</w:t>
      </w:r>
    </w:p>
    <w:p>
      <w:r>
        <w:t>Scientific Classification:</w:t>
        <w:br/>
        <w:t>Kingdom: Animalia | Phylum: Chordata | Class: Aves | Order: Otidiformes | Family: Otididae | Genus: Ardeotis | Species: Ardeotis nigriceps (Vigors, 1831)</w:t>
      </w:r>
    </w:p>
    <w:p>
      <w:r>
        <w:t>The GIB is one of the world's heaviest flying birds, with adult males weighing between 15-18 kg and standing approximately 1 meter tall with a wingspan of 210-250 cm. It is a ground-dwelling bird characterized by a cryptic brown plumage, a black cap, and white underparts. Males possess a unique inflatable gular pouch used during lekking displays to produce a deep resonance boom audible over 500 meters.</w:t>
      </w:r>
    </w:p>
    <w:p>
      <w:r>
        <w:t>Ecologically, the GIB is an indicator species for the health of arid and semi-arid grasslands (Sehima-Dichanthium type). It is omnivorous, feeding on insects (grasshoppers, beetles), small rodents, reptiles, and seeds. Its slow reproductive cycle—laying typically one egg per year with a 2-year maternal dependency—makes the species extremely vulnerable to adult mortality.</w:t>
      </w:r>
    </w:p>
    <w:p>
      <w:r>
        <w:drawing>
          <wp:inline xmlns:a="http://schemas.openxmlformats.org/drawingml/2006/main" xmlns:pic="http://schemas.openxmlformats.org/drawingml/2006/picture">
            <wp:extent cx="5029200" cy="6266221"/>
            <wp:docPr id="2" name="Picture 2"/>
            <wp:cNvGraphicFramePr>
              <a:graphicFrameLocks noChangeAspect="1"/>
            </wp:cNvGraphicFramePr>
            <a:graphic>
              <a:graphicData uri="http://schemas.openxmlformats.org/drawingml/2006/picture">
                <pic:pic>
                  <pic:nvPicPr>
                    <pic:cNvPr id="0" name="great indian bustard deatils.jpg"/>
                    <pic:cNvPicPr/>
                  </pic:nvPicPr>
                  <pic:blipFill>
                    <a:blip r:embed="rId10"/>
                    <a:stretch>
                      <a:fillRect/>
                    </a:stretch>
                  </pic:blipFill>
                  <pic:spPr>
                    <a:xfrm>
                      <a:off x="0" y="0"/>
                      <a:ext cx="5029200" cy="6266221"/>
                    </a:xfrm>
                    <a:prstGeom prst="rect"/>
                  </pic:spPr>
                </pic:pic>
              </a:graphicData>
            </a:graphic>
          </wp:inline>
        </w:drawing>
      </w:r>
    </w:p>
    <w:p>
      <w:pPr>
        <w:pStyle w:val="Caption"/>
        <w:jc w:val="center"/>
      </w:pPr>
      <w:r>
        <w:t>Figure 1: Morphological and biological details of Ardeotis nigriceps. Source: WII (2025).</w:t>
      </w:r>
    </w:p>
    <w:p>
      <w:r>
        <w:br w:type="page"/>
      </w:r>
    </w:p>
    <w:p>
      <w:pPr>
        <w:pStyle w:val="Heading1"/>
      </w:pPr>
      <w:r>
        <w:t>3. Historical and Current Distribution</w:t>
      </w:r>
    </w:p>
    <w:p>
      <w:r>
        <w:t>Historically, the Great Indian Bustard was widespread across 11 Indian states (including Rajasthan, Gujarat, Maharashtra, Madhya Pradesh, Karnataka, Andhra Pradesh, and Punjab) and parts of Pakistan. In the early 20th century, its population was estimated in the thousands. However, its range has contracted by over 90% in the last 50 years.</w:t>
      </w:r>
    </w:p>
    <w:p>
      <w:r>
        <w:t>Today, the surviving population is almost entirely concentrated in the Thar Desert of Rajasthan, specifically within the Desert National Park (DNP) and surrounding landscapes in Jaisalmer. Isolated, non-breeding, or highly fragmented pockets persist in Gujarat (Kutch), Maharashtra (Nanaj), and Karnataka (Siruguppa). The species is now functionally extinct in most of its historical range, with the Thar Desert serving as the last viable refuge for the wild population.</w:t>
      </w:r>
    </w:p>
    <w:p>
      <w:r>
        <w:br w:type="page"/>
      </w:r>
    </w:p>
    <w:p>
      <w:pPr>
        <w:pStyle w:val="Heading1"/>
      </w:pPr>
      <w:r>
        <w:t>4. Demographic Analysis (1969-2026)</w:t>
      </w:r>
    </w:p>
    <w:p>
      <w:pPr>
        <w:jc w:val="center"/>
      </w:pPr>
      <w:r>
        <w:drawing>
          <wp:inline xmlns:a="http://schemas.openxmlformats.org/drawingml/2006/main" xmlns:pic="http://schemas.openxmlformats.org/drawingml/2006/picture">
            <wp:extent cx="5486400" cy="3500825"/>
            <wp:docPr id="3" name="Picture 3"/>
            <wp:cNvGraphicFramePr>
              <a:graphicFrameLocks noChangeAspect="1"/>
            </wp:cNvGraphicFramePr>
            <a:graphic>
              <a:graphicData uri="http://schemas.openxmlformats.org/drawingml/2006/picture">
                <pic:pic>
                  <pic:nvPicPr>
                    <pic:cNvPr id="0" name="pop_trend_ci.png"/>
                    <pic:cNvPicPr/>
                  </pic:nvPicPr>
                  <pic:blipFill>
                    <a:blip r:embed="rId11"/>
                    <a:stretch>
                      <a:fillRect/>
                    </a:stretch>
                  </pic:blipFill>
                  <pic:spPr>
                    <a:xfrm>
                      <a:off x="0" y="0"/>
                      <a:ext cx="5486400" cy="3500825"/>
                    </a:xfrm>
                    <a:prstGeom prst="rect"/>
                  </pic:spPr>
                </pic:pic>
              </a:graphicData>
            </a:graphic>
          </wp:inline>
        </w:drawing>
      </w:r>
    </w:p>
    <w:p>
      <w:r>
        <w:t>The demographic trajectory of the GIB shows a catastrophic decline from ~1,260 individuals in 1969 to a nadir of ~128 in 2017. The 2025-2026 data shows the first signs of stabilization due to intensive conservation management and the success of the captive breeding program.</w:t>
      </w:r>
    </w:p>
    <w:tbl>
      <w:tblPr>
        <w:tblStyle w:val="TableGrid"/>
        <w:tblW w:type="auto" w:w="0"/>
        <w:tblLook w:firstColumn="1" w:firstRow="1" w:lastColumn="0" w:lastRow="0" w:noHBand="0" w:noVBand="1" w:val="04A0"/>
      </w:tblPr>
      <w:tblGrid>
        <w:gridCol w:w="2880"/>
        <w:gridCol w:w="2880"/>
        <w:gridCol w:w="2880"/>
      </w:tblGrid>
      <w:tr>
        <w:tc>
          <w:tcPr>
            <w:tcW w:type="dxa" w:w="2880"/>
          </w:tcPr>
          <w:p>
            <w:r>
              <w:t>Year</w:t>
            </w:r>
          </w:p>
        </w:tc>
        <w:tc>
          <w:tcPr>
            <w:tcW w:type="dxa" w:w="2880"/>
          </w:tcPr>
          <w:p>
            <w:r>
              <w:t>Wild Estimate (± margin)</w:t>
            </w:r>
          </w:p>
        </w:tc>
        <w:tc>
          <w:tcPr>
            <w:tcW w:type="dxa" w:w="2880"/>
          </w:tcPr>
          <w:p>
            <w:r>
              <w:t>Captive Population</w:t>
            </w:r>
          </w:p>
        </w:tc>
      </w:tr>
      <w:tr>
        <w:tc>
          <w:tcPr>
            <w:tcW w:type="dxa" w:w="2880"/>
          </w:tcPr>
          <w:p>
            <w:r>
              <w:t>1969</w:t>
            </w:r>
          </w:p>
        </w:tc>
        <w:tc>
          <w:tcPr>
            <w:tcW w:type="dxa" w:w="2880"/>
          </w:tcPr>
          <w:p>
            <w:r>
              <w:t>1260</w:t>
            </w:r>
          </w:p>
        </w:tc>
        <w:tc>
          <w:tcPr>
            <w:tcW w:type="dxa" w:w="2880"/>
          </w:tcPr>
          <w:p>
            <w:r>
              <w:t>0</w:t>
            </w:r>
          </w:p>
        </w:tc>
      </w:tr>
      <w:tr>
        <w:tc>
          <w:tcPr>
            <w:tcW w:type="dxa" w:w="2880"/>
          </w:tcPr>
          <w:p>
            <w:r>
              <w:t>1978</w:t>
            </w:r>
          </w:p>
        </w:tc>
        <w:tc>
          <w:tcPr>
            <w:tcW w:type="dxa" w:w="2880"/>
          </w:tcPr>
          <w:p>
            <w:r>
              <w:t>745</w:t>
            </w:r>
          </w:p>
        </w:tc>
        <w:tc>
          <w:tcPr>
            <w:tcW w:type="dxa" w:w="2880"/>
          </w:tcPr>
          <w:p>
            <w:r>
              <w:t>0</w:t>
            </w:r>
          </w:p>
        </w:tc>
      </w:tr>
      <w:tr>
        <w:tc>
          <w:tcPr>
            <w:tcW w:type="dxa" w:w="2880"/>
          </w:tcPr>
          <w:p>
            <w:r>
              <w:t>2008</w:t>
            </w:r>
          </w:p>
        </w:tc>
        <w:tc>
          <w:tcPr>
            <w:tcW w:type="dxa" w:w="2880"/>
          </w:tcPr>
          <w:p>
            <w:r>
              <w:t>300</w:t>
            </w:r>
          </w:p>
        </w:tc>
        <w:tc>
          <w:tcPr>
            <w:tcW w:type="dxa" w:w="2880"/>
          </w:tcPr>
          <w:p>
            <w:r>
              <w:t>0</w:t>
            </w:r>
          </w:p>
        </w:tc>
      </w:tr>
      <w:tr>
        <w:tc>
          <w:tcPr>
            <w:tcW w:type="dxa" w:w="2880"/>
          </w:tcPr>
          <w:p>
            <w:r>
              <w:t>2017</w:t>
            </w:r>
          </w:p>
        </w:tc>
        <w:tc>
          <w:tcPr>
            <w:tcW w:type="dxa" w:w="2880"/>
          </w:tcPr>
          <w:p>
            <w:r>
              <w:t>128 (±19)</w:t>
            </w:r>
          </w:p>
        </w:tc>
        <w:tc>
          <w:tcPr>
            <w:tcW w:type="dxa" w:w="2880"/>
          </w:tcPr>
          <w:p>
            <w:r>
              <w:t>0</w:t>
            </w:r>
          </w:p>
        </w:tc>
      </w:tr>
      <w:tr>
        <w:tc>
          <w:tcPr>
            <w:tcW w:type="dxa" w:w="2880"/>
          </w:tcPr>
          <w:p>
            <w:r>
              <w:t>2025 (Census)</w:t>
            </w:r>
          </w:p>
        </w:tc>
        <w:tc>
          <w:tcPr>
            <w:tcW w:type="dxa" w:w="2880"/>
          </w:tcPr>
          <w:p>
            <w:r>
              <w:t>130 (±21)</w:t>
            </w:r>
          </w:p>
        </w:tc>
        <w:tc>
          <w:tcPr>
            <w:tcW w:type="dxa" w:w="2880"/>
          </w:tcPr>
          <w:p>
            <w:r>
              <w:t>70</w:t>
            </w:r>
          </w:p>
        </w:tc>
      </w:tr>
      <w:tr>
        <w:tc>
          <w:tcPr>
            <w:tcW w:type="dxa" w:w="2880"/>
          </w:tcPr>
          <w:p>
            <w:r>
              <w:t>2026 (April)</w:t>
            </w:r>
          </w:p>
        </w:tc>
        <w:tc>
          <w:tcPr>
            <w:tcW w:type="dxa" w:w="2880"/>
          </w:tcPr>
          <w:p>
            <w:r>
              <w:t>130 (Est)</w:t>
            </w:r>
          </w:p>
        </w:tc>
        <w:tc>
          <w:tcPr>
            <w:tcW w:type="dxa" w:w="2880"/>
          </w:tcPr>
          <w:p>
            <w:r>
              <w:t>79</w:t>
            </w:r>
          </w:p>
        </w:tc>
      </w:tr>
    </w:tbl>
    <w:p>
      <w:r>
        <w:br/>
      </w:r>
    </w:p>
    <w:p>
      <w:pPr>
        <w:jc w:val="center"/>
      </w:pPr>
      <w:r>
        <w:drawing>
          <wp:inline xmlns:a="http://schemas.openxmlformats.org/drawingml/2006/main" xmlns:pic="http://schemas.openxmlformats.org/drawingml/2006/picture">
            <wp:extent cx="5486400" cy="3411802"/>
            <wp:docPr id="4" name="Picture 4"/>
            <wp:cNvGraphicFramePr>
              <a:graphicFrameLocks noChangeAspect="1"/>
            </wp:cNvGraphicFramePr>
            <a:graphic>
              <a:graphicData uri="http://schemas.openxmlformats.org/drawingml/2006/picture">
                <pic:pic>
                  <pic:nvPicPr>
                    <pic:cNvPr id="0" name="pop_growth_stacked.png"/>
                    <pic:cNvPicPr/>
                  </pic:nvPicPr>
                  <pic:blipFill>
                    <a:blip r:embed="rId12"/>
                    <a:stretch>
                      <a:fillRect/>
                    </a:stretch>
                  </pic:blipFill>
                  <pic:spPr>
                    <a:xfrm>
                      <a:off x="0" y="0"/>
                      <a:ext cx="5486400" cy="3411802"/>
                    </a:xfrm>
                    <a:prstGeom prst="rect"/>
                  </pic:spPr>
                </pic:pic>
              </a:graphicData>
            </a:graphic>
          </wp:inline>
        </w:drawing>
      </w:r>
    </w:p>
    <w:p>
      <w:r>
        <w:br w:type="page"/>
      </w:r>
    </w:p>
    <w:p>
      <w:pPr>
        <w:pStyle w:val="Heading1"/>
      </w:pPr>
      <w:r>
        <w:t>5. The Power Line Crisis: A Quantitative Review</w:t>
      </w:r>
    </w:p>
    <w:p>
      <w:pPr>
        <w:jc w:val="center"/>
      </w:pPr>
      <w:r>
        <w:drawing>
          <wp:inline xmlns:a="http://schemas.openxmlformats.org/drawingml/2006/main" xmlns:pic="http://schemas.openxmlformats.org/drawingml/2006/picture">
            <wp:extent cx="5029200" cy="5211074"/>
            <wp:docPr id="5" name="Picture 5"/>
            <wp:cNvGraphicFramePr>
              <a:graphicFrameLocks noChangeAspect="1"/>
            </wp:cNvGraphicFramePr>
            <a:graphic>
              <a:graphicData uri="http://schemas.openxmlformats.org/drawingml/2006/picture">
                <pic:pic>
                  <pic:nvPicPr>
                    <pic:cNvPr id="0" name="threat_analysis_v21.png"/>
                    <pic:cNvPicPr/>
                  </pic:nvPicPr>
                  <pic:blipFill>
                    <a:blip r:embed="rId13"/>
                    <a:stretch>
                      <a:fillRect/>
                    </a:stretch>
                  </pic:blipFill>
                  <pic:spPr>
                    <a:xfrm>
                      <a:off x="0" y="0"/>
                      <a:ext cx="5029200" cy="5211074"/>
                    </a:xfrm>
                    <a:prstGeom prst="rect"/>
                  </pic:spPr>
                </pic:pic>
              </a:graphicData>
            </a:graphic>
          </wp:inline>
        </w:drawing>
      </w:r>
    </w:p>
    <w:p>
      <w:r>
        <w:t>Quantitative Review: Power line collisions are the primary driver of adult GIB mortality, accounting for 62% of deaths. Due to their limited frontal vision and high flight inertia, GIBs are unable to detect and maneuver away from high-tension wires in low-light conditions. WII studies estimate that 15% of the population (approximately 18-20 birds) is lost annually to collisions in the Jaisalmer belt alone.</w:t>
      </w:r>
    </w:p>
    <w:p>
      <w:r>
        <w:drawing>
          <wp:inline xmlns:a="http://schemas.openxmlformats.org/drawingml/2006/main" xmlns:pic="http://schemas.openxmlformats.org/drawingml/2006/picture">
            <wp:extent cx="4572000" cy="8125239"/>
            <wp:docPr id="6" name="Picture 6"/>
            <wp:cNvGraphicFramePr>
              <a:graphicFrameLocks noChangeAspect="1"/>
            </wp:cNvGraphicFramePr>
            <a:graphic>
              <a:graphicData uri="http://schemas.openxmlformats.org/drawingml/2006/picture">
                <pic:pic>
                  <pic:nvPicPr>
                    <pic:cNvPr id="0" name="great indian bustard 2.jpg"/>
                    <pic:cNvPicPr/>
                  </pic:nvPicPr>
                  <pic:blipFill>
                    <a:blip r:embed="rId14"/>
                    <a:stretch>
                      <a:fillRect/>
                    </a:stretch>
                  </pic:blipFill>
                  <pic:spPr>
                    <a:xfrm>
                      <a:off x="0" y="0"/>
                      <a:ext cx="4572000" cy="8125239"/>
                    </a:xfrm>
                    <a:prstGeom prst="rect"/>
                  </pic:spPr>
                </pic:pic>
              </a:graphicData>
            </a:graphic>
          </wp:inline>
        </w:drawing>
      </w:r>
    </w:p>
    <w:p>
      <w:pPr>
        <w:pStyle w:val="Caption"/>
        <w:jc w:val="center"/>
      </w:pPr>
      <w:r>
        <w:t>Figure 2: GIB male in lekking display near high-voltage energy infrastructure. Source: BNHS (2026).</w:t>
      </w:r>
    </w:p>
    <w:p>
      <w:r>
        <w:br w:type="page"/>
      </w:r>
    </w:p>
    <w:p>
      <w:pPr>
        <w:pStyle w:val="Heading1"/>
      </w:pPr>
      <w:r>
        <w:t>6. Land-Use Change &amp; Grassland Degradation</w:t>
      </w:r>
    </w:p>
    <w:p>
      <w:r>
        <w:t>Grasslands in India have historically been classified as 'wastelands,' leading to their large-scale conversion for industrial and agricultural use. In the GIB range, over 20,000 hectares of prime habitat have been fenced off for solar and wind energy parks. While these are 'green' energy sources, their infrastructure (roads, fences, and power lines) fragments the landscape and restricts bustard movement.</w:t>
      </w:r>
    </w:p>
    <w:p>
      <w:r>
        <w:t>Furthermore, the expansion of the Indira Gandhi Canal has shifted traditional land use from drought-resistant millets to water-intensive cash crops like cotton and grapes. This shift introduces high levels of pesticides which eliminate the insect biomass (locusts, beetles) that the bustards depend on for survival and reproduction. Overgrazing by livestock also degrades the nesting cover, making eggs vulnerable to predators.</w:t>
      </w:r>
    </w:p>
    <w:p>
      <w:r>
        <w:br w:type="page"/>
      </w:r>
    </w:p>
    <w:p>
      <w:pPr>
        <w:pStyle w:val="Heading1"/>
      </w:pPr>
      <w:r>
        <w:t>7. Policy &amp; Legal Framework: The SC Dec 2025 Ruling</w:t>
      </w:r>
    </w:p>
    <w:p>
      <w:r>
        <w:t>The Great Indian Bustard is protected under Schedule I of the Indian Wildlife (Protection) Act, 1972, and is listed as Critically Endangered by the IUCN. Project GIB, launched in 2013, initiated the first large-scale recovery efforts, including the establishment of breeding centers.</w:t>
      </w:r>
    </w:p>
    <w:p>
      <w:r>
        <w:t>A landmark Supreme Court ruling on December 19, 2025, significantly altered the conservation landscape. The court mandated the 100% undergrounding of power lines within a 14,013 sq km 'Priority Zone' in Rajasthan and Gujarat. The ruling also established designated 'Powerline Corridors' to facilitate renewable energy evacuation while ensuring no new overhead lines are constructed in critical breeding habitats. This regulatory framework aims to balance India's 500GW renewable energy goal with the species' survival.</w:t>
      </w:r>
    </w:p>
    <w:p>
      <w:r>
        <w:br w:type="page"/>
      </w:r>
    </w:p>
    <w:p>
      <w:pPr>
        <w:pStyle w:val="Heading1"/>
      </w:pPr>
      <w:r>
        <w:t>8. Ex-Situ Milestones: AI and the 2026 'Jumpstart'</w:t>
      </w:r>
    </w:p>
    <w:p>
      <w:r>
        <w:t>The conservation breeding program, managed by WII in collaboration with the Rajasthan Forest Department, has achieved record success. In March 2026, the 'Jumpstart' initiative successfully translocated a fertile egg from the Sam breeding center in Rajasthan to a wild foster mother's nest in Gujarat's Kutch region—a distance of 770 km. The egg hatched successfully, marking the first local breeding success in Gujarat in a decade.</w:t>
      </w:r>
    </w:p>
    <w:p>
      <w:r>
        <w:t>Artificial Insemination (AI) has also become a standard protocol, with 12 chicks produced via AI in 2025. The captive population now stands at 79 birds, serving as a vital genetic insurance policy. Plans for reintroduction into the wild are slated for late 2026, using 'soft-release' enclosures to minimize human imprinting.</w:t>
      </w:r>
    </w:p>
    <w:p>
      <w:r>
        <w:br w:type="page"/>
      </w:r>
    </w:p>
    <w:p>
      <w:pPr>
        <w:pStyle w:val="Heading1"/>
      </w:pPr>
      <w:r>
        <w:t>9. India vs. World: Global Bustard Conservation</w:t>
      </w:r>
    </w:p>
    <w:p>
      <w:r>
        <w:t>There are 26 species of bustards globally, all of which are ground-dwelling and vulnerable to habitat loss. The Great Indian Bustard is the most critically endangered among them. While the Australian Bustard and the Kori Bustard of Africa face similar threats from infrastructure and hunting, the GIB's population density is significantly lower, making it the highest priority for global avian conservation.</w:t>
      </w:r>
    </w:p>
    <w:p>
      <w:r>
        <w:t>India's technological interventions—specifically AI-assisted breeding and the 'Jumpstart' translocation—are now being studied as potential benchmarks for the recovery of other endangered bustard species, such as the Houbara Bustard. The GIB recovery program represents one of the most complex and well-funded avian conservation projects in the world.</w:t>
      </w:r>
    </w:p>
    <w:p>
      <w:r>
        <w:br w:type="page"/>
      </w:r>
    </w:p>
    <w:p>
      <w:pPr>
        <w:pStyle w:val="Heading1"/>
      </w:pPr>
      <w:r>
        <w:t>10. Conclusion &amp; Strategic Recommendations</w:t>
      </w:r>
    </w:p>
    <w:p>
      <w:r>
        <w:t>The Great Indian Bustard stands at a demographic crossroads. While the decline has been slowed by ex-situ successes, the wild population remains precariously small. Recovery depends on the following strategic pillars:</w:t>
        <w:br/>
        <w:br/>
        <w:t>1. Strict Compliance with the SC 2025 Ruling: Ensure all new power infrastructure in the 14,013 sq km zone is undergrounded.</w:t>
        <w:br/>
        <w:t>2. Habitat Connectivity: Create 'Godawan Corridors' between DNP and satellite habitats in Gujarat.</w:t>
        <w:br/>
        <w:t>3. Organic Farming Incentives: Support farmers in the Thar Desert to shift back to millet cultivation without pesticides.</w:t>
        <w:br/>
        <w:t>4. Community Stewardship: Scale the 'Godawan Mitra' program to provide financial incentives for nest protection.</w:t>
        <w:br/>
        <w:t>5. Predator Control: Implement humane but effective stray dog management around breeding enclosures.</w:t>
      </w:r>
    </w:p>
    <w:p>
      <w:r>
        <w:drawing>
          <wp:inline xmlns:a="http://schemas.openxmlformats.org/drawingml/2006/main" xmlns:pic="http://schemas.openxmlformats.org/drawingml/2006/picture">
            <wp:extent cx="4572000" cy="5722471"/>
            <wp:docPr id="7" name="Picture 7"/>
            <wp:cNvGraphicFramePr>
              <a:graphicFrameLocks noChangeAspect="1"/>
            </wp:cNvGraphicFramePr>
            <a:graphic>
              <a:graphicData uri="http://schemas.openxmlformats.org/drawingml/2006/picture">
                <pic:pic>
                  <pic:nvPicPr>
                    <pic:cNvPr id="0" name="great indian bustard 3.jpg"/>
                    <pic:cNvPicPr/>
                  </pic:nvPicPr>
                  <pic:blipFill>
                    <a:blip r:embed="rId15"/>
                    <a:stretch>
                      <a:fillRect/>
                    </a:stretch>
                  </pic:blipFill>
                  <pic:spPr>
                    <a:xfrm>
                      <a:off x="0" y="0"/>
                      <a:ext cx="4572000" cy="5722471"/>
                    </a:xfrm>
                    <a:prstGeom prst="rect"/>
                  </pic:spPr>
                </pic:pic>
              </a:graphicData>
            </a:graphic>
          </wp:inline>
        </w:drawing>
      </w:r>
    </w:p>
    <w:p>
      <w:pPr>
        <w:pStyle w:val="Caption"/>
        <w:jc w:val="center"/>
      </w:pPr>
      <w:r>
        <w:t>Figure 3: A symbol of hope - The first 'Jumpstart' chick in Gujarat (2026). Source: WII.</w:t>
      </w:r>
    </w:p>
    <w:p>
      <w:r>
        <w:br w:type="page"/>
      </w:r>
    </w:p>
    <w:p>
      <w:pPr>
        <w:pStyle w:val="Heading1"/>
      </w:pPr>
      <w:r>
        <w:t>11. References (APA)</w:t>
      </w:r>
    </w:p>
    <w:p>
      <w:pPr>
        <w:ind w:left="720" w:hanging="720"/>
      </w:pPr>
      <w:r>
        <w:t>Dutta, S., et al. (2010). Population Viability Analysis of the Great Indian Bustard. Dehradun: WII.</w:t>
      </w:r>
    </w:p>
    <w:p>
      <w:pPr>
        <w:ind w:left="720" w:hanging="720"/>
      </w:pPr>
      <w:r>
        <w:t>MoEFCC. (2025). Annual Report on Project GIB and Habitat Restoration. New Delhi.</w:t>
      </w:r>
    </w:p>
    <w:p>
      <w:pPr>
        <w:ind w:left="720" w:hanging="720"/>
      </w:pPr>
      <w:r>
        <w:t>Supreme Court of India. (2025). M.K. Ranjitsinh v. Union of India. Dec 19, 2025.</w:t>
      </w:r>
    </w:p>
    <w:p>
      <w:pPr>
        <w:ind w:left="720" w:hanging="720"/>
      </w:pPr>
      <w:r>
        <w:t>WWF-India. (2026). Grassland Management and Community Stewardship. Mumbai.</w:t>
      </w:r>
    </w:p>
    <w:p>
      <w:pPr>
        <w:ind w:left="720" w:hanging="720"/>
      </w:pPr>
      <w:r>
        <w:t>Hindustan Times. (2026, March 21). Milestone: Successful Egg Translocation to Gujarat.</w:t>
      </w:r>
    </w:p>
    <w:p>
      <w:pPr>
        <w:ind w:left="720" w:hanging="720"/>
      </w:pPr>
      <w:r>
        <w:t>Indian Express. (2025, Dec 20). The $3 Billion Power Line Mandate.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