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Revised Preadmission Assessment Guidelines for the Planned Surgical Patient</w:t>
      </w:r>
    </w:p>
    <w:p>
      <w:r>
        <w:t>Author: Anaesthesia Nurse Consultant (Updated under direction of Department Director of Anaesthesia)</w:t>
      </w:r>
    </w:p>
    <w:p>
      <w:r>
        <w:t>Date: July 2025</w:t>
      </w:r>
    </w:p>
    <w:p>
      <w:pPr>
        <w:pStyle w:val="Heading1"/>
      </w:pPr>
      <w:r>
        <w:t>1. Purpose</w:t>
      </w:r>
    </w:p>
    <w:p>
      <w:r>
        <w:t>To provide a contemporary, evidence-based framework for the preadmission assessment of elective surgical patients that ensures safety, optimised perioperative outcomes, and efficient use of resources.</w:t>
      </w:r>
    </w:p>
    <w:p>
      <w:pPr>
        <w:pStyle w:val="Heading1"/>
      </w:pPr>
      <w:r>
        <w:t>2. Scope</w:t>
      </w:r>
    </w:p>
    <w:p>
      <w:r>
        <w:t>Applicable to all elective surgical patients undergoing preadmission at Austin Health. This guideline is multidisciplinary and nurse-led with escalation pathways for anaesthetic and physician input.</w:t>
      </w:r>
    </w:p>
    <w:p>
      <w:pPr>
        <w:pStyle w:val="Heading1"/>
      </w:pPr>
      <w:r>
        <w:t>3. Assessment Domains and Pathway Allocation</w:t>
      </w:r>
    </w:p>
    <w:p>
      <w:pPr>
        <w:pStyle w:val="Heading2"/>
      </w:pPr>
      <w:r>
        <w:t>3.1 Risk Stratification (Mandatory)</w:t>
      </w:r>
    </w:p>
    <w:p>
      <w:r>
        <w:t>Each patient must be assessed using the following validated tools:</w:t>
        <w:br/>
        <w:t>- Cardiac Risk: Revised Cardiac Risk Index (RCRI)</w:t>
        <w:br/>
        <w:t>- Functional Status: Duke Activity Status Index (DASI)</w:t>
        <w:br/>
        <w:t>- Pulmonary Risk: ARISCAT Score</w:t>
        <w:br/>
        <w:t>- Frailty: Clinical Frailty Scale (for age &gt; 65)</w:t>
        <w:br/>
        <w:t>- Obstructive Sleep Apnoea (OSA): STOP-BANG Questionnaire</w:t>
        <w:br/>
      </w:r>
    </w:p>
    <w:p>
      <w:r>
        <w:t>Escalation Criteria:</w:t>
        <w:br/>
        <w:t>- RCRI ≥1</w:t>
        <w:br/>
        <w:t>- DASI &lt; 4 METs</w:t>
        <w:br/>
        <w:t>- ARISCAT ≥70</w:t>
        <w:br/>
        <w:t>- Frailty score ≥4</w:t>
        <w:br/>
        <w:t>- STOP-BANG ≥5</w:t>
        <w:br/>
        <w:br/>
        <w:t>Trigger anaesthetist/physician review and optimisation if thresholds met.</w:t>
      </w:r>
    </w:p>
    <w:p>
      <w:pPr>
        <w:pStyle w:val="Heading1"/>
      </w:pPr>
      <w:r>
        <w:t>4. Investigations and Biomarkers</w:t>
      </w:r>
    </w:p>
    <w:p>
      <w:r>
        <w:t>Routine testing is not recommended. Testing should be guided by risk score thresholds and surgical severity.</w:t>
        <w:br/>
        <w:t>- NT-proBNP or BNP: All patients ≥65 years undergoing intermediate- or high-risk surgery.</w:t>
        <w:br/>
        <w:t>- High-sensitivity Troponin: In patients with known CAD, CKD, or RCRI ≥1.</w:t>
        <w:br/>
        <w:t>- ECG/Echo: Only if warranted by new symptoms or abnormal biomarkers.</w:t>
        <w:br/>
        <w:t>- Chest Imaging: Only in patients with active respiratory symptoms or ARISCAT &gt;70.</w:t>
      </w:r>
    </w:p>
    <w:p>
      <w:pPr>
        <w:pStyle w:val="Heading1"/>
      </w:pPr>
      <w:r>
        <w:t>5. Medication Reconciliation and Optimisation</w:t>
      </w:r>
    </w:p>
    <w:p>
      <w:r>
        <w:t>- Diabetes:</w:t>
        <w:br/>
        <w:t xml:space="preserve">  - SGLT2 inhibitors: Stop 3 days prior</w:t>
        <w:br/>
        <w:t xml:space="preserve">  - Individualise insulin adjustment based on ADA perioperative protocols.</w:t>
        <w:br/>
        <w:t>- Anticoagulants/Antiplatelets:</w:t>
        <w:br/>
        <w:t xml:space="preserve">  - Follow ASH 2023 guidelines for DOACs, warfarin, LMWH</w:t>
        <w:br/>
        <w:t xml:space="preserve">  - Escalate to anaesthetist if recent stent (&lt;6 months) or high thrombotic risk</w:t>
        <w:br/>
        <w:t>- ACEi/ARBs: Hold morning of surgery for intermediate- or high-risk patients</w:t>
        <w:br/>
        <w:t>- Biologics/Immunosuppressants: Individualised plan in liaison with surgical and medical teams.</w:t>
      </w:r>
    </w:p>
    <w:p>
      <w:pPr>
        <w:pStyle w:val="Heading1"/>
      </w:pPr>
      <w:r>
        <w:t>6. Perioperative Optimisation Triggers</w:t>
      </w:r>
    </w:p>
    <w:p>
      <w:r>
        <w:t>Refer to Anaesthesia/Perioperative Clinic if:</w:t>
        <w:br/>
        <w:t>- Any score exceeds cut-offs (see Section 3)</w:t>
        <w:br/>
        <w:t>- HbA1c &gt; 8.5% or BSL &gt;15 mmol/L</w:t>
        <w:br/>
        <w:t>- NT-proBNP &gt;300 pg/mL or abnormal troponin</w:t>
        <w:br/>
        <w:t>- Home oxygen use, or FEV1 &lt;50% predicted</w:t>
        <w:br/>
        <w:t>- eGFR &lt;30 or dialysis</w:t>
        <w:br/>
        <w:t>- BMI &gt;40 with known OSA or METs &lt;4</w:t>
        <w:br/>
        <w:t>- Multiple medications &gt;8 (polypharmacy risk)</w:t>
      </w:r>
    </w:p>
    <w:p>
      <w:pPr>
        <w:pStyle w:val="Heading1"/>
      </w:pPr>
      <w:r>
        <w:t>7. Shared Decision-Making and Informed Consent</w:t>
      </w:r>
    </w:p>
    <w:p>
      <w:r>
        <w:t>Patients identified as high risk should receive goal-concordant care planning, including:</w:t>
        <w:br/>
        <w:t>- Multidisciplinary case review</w:t>
        <w:br/>
        <w:t>- Advance Care Planning if appropriate</w:t>
        <w:br/>
        <w:t>- Documentation of perioperative resuscitation and ventilation preferences</w:t>
        <w:br/>
        <w:br/>
        <w:t>Use language access services for all non-English-speaking patients.</w:t>
      </w:r>
    </w:p>
    <w:p>
      <w:pPr>
        <w:pStyle w:val="Heading1"/>
      </w:pPr>
      <w:r>
        <w:t>8. Workflow and Documentation</w:t>
      </w:r>
    </w:p>
    <w:p>
      <w:pPr>
        <w:pStyle w:val="Heading2"/>
      </w:pPr>
      <w:r>
        <w:t>8.1 Digital Risk Calculator Tool</w:t>
      </w:r>
    </w:p>
    <w:p>
      <w:r>
        <w:t>- Deploy AI-enabled risk stratification dashboard (e.g., PreOpNet)</w:t>
        <w:br/>
        <w:t>- Auto-populate EHR data where available (medications, history, METs)</w:t>
      </w:r>
    </w:p>
    <w:p>
      <w:pPr>
        <w:pStyle w:val="Heading2"/>
      </w:pPr>
      <w:r>
        <w:t>8.2 Preassessment Pathways</w:t>
      </w:r>
    </w:p>
    <w:p>
      <w:r>
        <w:t>Risk Level | Assessor | Additional Steps</w:t>
        <w:br/>
        <w:t>------------|----------|------------------</w:t>
        <w:br/>
        <w:t>Low Risk   | Nurse Consultant | Routine advice + checklist</w:t>
        <w:br/>
        <w:t>Intermediate Risk | Nurse + Anaesthetist Telehealth | Labs/imaging + optimisation</w:t>
        <w:br/>
        <w:t>High Risk | In-person Anaesthetist/Physician | MDT prehab + shared decision-making</w:t>
      </w:r>
    </w:p>
    <w:p>
      <w:pPr>
        <w:pStyle w:val="Heading1"/>
      </w:pPr>
      <w:r>
        <w:t>9. Checklist (Updated)</w:t>
      </w:r>
    </w:p>
    <w:p>
      <w:r>
        <w:t>- [ ] Identify procedure type and surgical severity</w:t>
        <w:br/>
        <w:t>- [ ] Assign METs (subjective or DASI)</w:t>
        <w:br/>
        <w:t>- [ ] Complete STOP-BANG and Frailty screening</w:t>
        <w:br/>
        <w:t>- [ ] Reconcile medications (anticoagulants, insulin, etc.)</w:t>
        <w:br/>
        <w:t>- [ ] Apply RCRI and ARISCAT scores</w:t>
        <w:br/>
        <w:t>- [ ] Trigger biomarker tests if indicated</w:t>
        <w:br/>
        <w:t>- [ ] Allocate to appropriate preop stream</w:t>
        <w:br/>
        <w:t>- [ ] Refer to interpreter services where needed</w:t>
        <w:br/>
        <w:t>- [ ] Schedule follow-up or escalate as per pathway</w:t>
      </w:r>
    </w:p>
    <w:p>
      <w:pPr>
        <w:pStyle w:val="Heading1"/>
      </w:pPr>
      <w:r>
        <w:t>10. References (Vancouver Style)</w:t>
      </w:r>
    </w:p>
    <w:p>
      <w:pPr>
        <w:pStyle w:val="ListNumber"/>
      </w:pPr>
      <w:r>
        <w:t>1. Fleisher LA, et al. 2024 AHA/ACC Guideline for Perioperative Cardiovascular Evaluation. J Am Coll Cardiol. 2024;83(4):e100–e142.</w:t>
      </w:r>
    </w:p>
    <w:p>
      <w:pPr>
        <w:pStyle w:val="ListNumber"/>
      </w:pPr>
      <w:r>
        <w:t>2. Kristensen SD, et al. 2022 ESC/ESAIC Guidelines on Non-Cardiac Surgery. Eur Heart J. 2022;43(19):1803–67.</w:t>
      </w:r>
    </w:p>
    <w:p>
      <w:pPr>
        <w:pStyle w:val="ListNumber"/>
      </w:pPr>
      <w:r>
        <w:t>3. McIsaac DI, et al. Frailty and Surgical Outcomes. Br J Anaesth. 2020;125(5):716–25.</w:t>
      </w:r>
    </w:p>
    <w:p>
      <w:pPr>
        <w:pStyle w:val="ListNumber"/>
      </w:pPr>
      <w:r>
        <w:t>4. American Diabetes Association. Standards of Medical Care in Diabetes 2022. Diabetes Care. 2022;45(Suppl 1):S187–S194.</w:t>
      </w:r>
    </w:p>
    <w:p>
      <w:pPr>
        <w:pStyle w:val="ListNumber"/>
      </w:pPr>
      <w:r>
        <w:t>5. Maheshwari K, et al. Preoperative troponins and BNP: Role and Evidence. Anesth Analg. 2023;137(1):1–10.</w:t>
      </w:r>
    </w:p>
    <w:p>
      <w:pPr>
        <w:pStyle w:val="ListNumber"/>
      </w:pPr>
      <w:r>
        <w:t>6. Liu Y, et al. Deep Learning ECG Risk Prediction. Lancet Digit Health. 2024;6:e210–e220.</w:t>
      </w:r>
    </w:p>
    <w:p>
      <w:pPr>
        <w:pStyle w:val="ListNumber"/>
      </w:pPr>
      <w:r>
        <w:t>7. Wijeysundera DN, et al. Incorporating Risk Prediction into Preoperative Assessment. Anesthesiology. 2022;136(4):639–53.</w:t>
      </w:r>
    </w:p>
    <w:p>
      <w:pPr>
        <w:pStyle w:val="ListNumber"/>
      </w:pPr>
      <w:r>
        <w:t>8. Poldermans D, et al. ARISCAT Score for Pulmonary Risk. Chest. 2010;138(5):1200–9.</w:t>
      </w:r>
    </w:p>
    <w:p>
      <w:pPr>
        <w:pStyle w:val="ListNumber"/>
      </w:pPr>
      <w:r>
        <w:t>9. Douketis JD, et al. Perioperative Anticoagulant Management. ASH Clinical Guidelines. 2023.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