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Calibri" w:hAnsi="Calibri"/>
          <w:b/>
          <w:color w:val="1B365D"/>
          <w:sz w:val="36"/>
        </w:rPr>
        <w:t>Fraud Detection Notebook - Detailed Summary</w:t>
      </w:r>
    </w:p>
    <w:p>
      <w:pPr>
        <w:spacing w:before="240" w:after="120"/>
      </w:pPr>
      <w:r>
        <w:rPr>
          <w:rFonts w:ascii="Calibri" w:hAnsi="Calibri"/>
          <w:b/>
          <w:color w:val="1B365D"/>
          <w:sz w:val="28"/>
        </w:rPr>
        <w:t>Detailed Summary — Production-Grade Fraud Detection System</w:t>
      </w:r>
    </w:p>
    <w:p>
      <w:pPr>
        <w:spacing w:before="160" w:after="80"/>
      </w:pPr>
      <w:r>
        <w:rPr>
          <w:rFonts w:ascii="Calibri" w:hAnsi="Calibri"/>
          <w:b/>
          <w:color w:val="008080"/>
          <w:sz w:val="24"/>
        </w:rPr>
        <w:t>Project Overview</w:t>
      </w:r>
    </w:p>
    <w:p>
      <w:pPr>
        <w:spacing w:after="120"/>
      </w:pPr>
      <w:r>
        <w:t>This notebook implements an end-to-end machine learning fraud detection pipeline using the IEEE-CIS Fraud Detection dataset. The workflow goes beyond basic classification and attempts to simulate a production-grade fraud monitoring system.</w:t>
      </w:r>
    </w:p>
    <w:p>
      <w:pPr>
        <w:spacing w:after="120"/>
      </w:pPr>
      <w:r>
        <w:t>The project covers:</w:t>
      </w:r>
    </w:p>
    <w:p>
      <w:pPr>
        <w:pStyle w:val="ListBullet"/>
        <w:spacing w:after="60"/>
      </w:pPr>
      <w:r>
        <w:t>Data ingestion and merging</w:t>
      </w:r>
    </w:p>
    <w:p>
      <w:pPr>
        <w:pStyle w:val="ListBullet"/>
        <w:spacing w:after="60"/>
      </w:pPr>
      <w:r>
        <w:t>Exploratory data analysis (EDA)</w:t>
      </w:r>
    </w:p>
    <w:p>
      <w:pPr>
        <w:pStyle w:val="ListBullet"/>
        <w:spacing w:after="60"/>
      </w:pPr>
      <w:r>
        <w:t>Missing value treatment</w:t>
      </w:r>
    </w:p>
    <w:p>
      <w:pPr>
        <w:pStyle w:val="ListBullet"/>
        <w:spacing w:after="60"/>
      </w:pPr>
      <w:r>
        <w:t>Feature engineering</w:t>
      </w:r>
    </w:p>
    <w:p>
      <w:pPr>
        <w:pStyle w:val="ListBullet"/>
        <w:spacing w:after="60"/>
      </w:pPr>
      <w:r>
        <w:t>Class imbalance handling</w:t>
      </w:r>
    </w:p>
    <w:p>
      <w:pPr>
        <w:pStyle w:val="ListBullet"/>
        <w:spacing w:after="60"/>
      </w:pPr>
      <w:r>
        <w:t>Model training and comparison</w:t>
      </w:r>
    </w:p>
    <w:p>
      <w:pPr>
        <w:pStyle w:val="ListBullet"/>
        <w:spacing w:after="60"/>
      </w:pPr>
      <w:r>
        <w:t>Threshold optimization</w:t>
      </w:r>
    </w:p>
    <w:p>
      <w:pPr>
        <w:pStyle w:val="ListBullet"/>
        <w:spacing w:after="60"/>
      </w:pPr>
      <w:r>
        <w:t>Explainable AI using SHAP</w:t>
      </w:r>
    </w:p>
    <w:p>
      <w:pPr>
        <w:pStyle w:val="ListBullet"/>
        <w:spacing w:after="60"/>
      </w:pPr>
      <w:r>
        <w:t>Risk segmentation</w:t>
      </w:r>
    </w:p>
    <w:p>
      <w:pPr>
        <w:pStyle w:val="ListBullet"/>
        <w:spacing w:after="60"/>
      </w:pPr>
      <w:r>
        <w:t>Fraud pattern analysis</w:t>
      </w:r>
    </w:p>
    <w:p>
      <w:pPr>
        <w:pStyle w:val="ListBullet"/>
        <w:spacing w:after="60"/>
      </w:pPr>
      <w:r>
        <w:t>Streamlit dashboard deployment concepts</w:t>
      </w:r>
    </w:p>
    <w:p>
      <w:pPr>
        <w:pStyle w:val="ListBullet"/>
        <w:spacing w:after="60"/>
      </w:pPr>
      <w:r>
        <w:t>Business recommendations</w:t>
      </w:r>
    </w:p>
    <w:p>
      <w:pPr>
        <w:pStyle w:val="ListBullet"/>
        <w:spacing w:after="60"/>
      </w:pPr>
      <w:r>
        <w:t>Drift monitoring considerations</w:t>
      </w:r>
    </w:p>
    <w:p>
      <w:pPr>
        <w:spacing w:before="160" w:after="80"/>
      </w:pPr>
      <w:r>
        <w:rPr>
          <w:rFonts w:ascii="Calibri" w:hAnsi="Calibri"/>
          <w:b/>
          <w:color w:val="008080"/>
          <w:sz w:val="24"/>
        </w:rPr>
        <w:t>1. Setup and Imports</w:t>
      </w:r>
    </w:p>
    <w:p>
      <w:pPr>
        <w:spacing w:after="120"/>
      </w:pPr>
      <w:r>
        <w:t>The notebook imports libraries including pandas, numpy, matplotlib, seaborn, scikit-learn, XGBoost, LightGBM, SHAP, and joblib.</w:t>
      </w:r>
    </w:p>
    <w:p>
      <w:pPr>
        <w:spacing w:after="120"/>
      </w:pPr>
      <w:r/>
      <w:r>
        <w:rPr>
          <w:b/>
        </w:rPr>
        <w:t>Purpose</w:t>
      </w:r>
      <w:r>
        <w:t>:</w:t>
      </w:r>
    </w:p>
    <w:p>
      <w:pPr>
        <w:pStyle w:val="ListBullet"/>
        <w:spacing w:after="60"/>
      </w:pPr>
      <w:r>
        <w:t>visualization-heavy analysis</w:t>
      </w:r>
    </w:p>
    <w:p>
      <w:pPr>
        <w:pStyle w:val="ListBullet"/>
        <w:spacing w:after="60"/>
      </w:pPr>
      <w:r>
        <w:t>imbalanced classification</w:t>
      </w:r>
    </w:p>
    <w:p>
      <w:pPr>
        <w:pStyle w:val="ListBullet"/>
        <w:spacing w:after="60"/>
      </w:pPr>
      <w:r>
        <w:t>explainability</w:t>
      </w:r>
    </w:p>
    <w:p>
      <w:pPr>
        <w:pStyle w:val="ListBullet"/>
        <w:spacing w:after="60"/>
      </w:pPr>
      <w:r>
        <w:t>production artifact persistence</w:t>
      </w:r>
    </w:p>
    <w:p>
      <w:pPr>
        <w:spacing w:before="160" w:after="80"/>
      </w:pPr>
      <w:r>
        <w:rPr>
          <w:rFonts w:ascii="Calibri" w:hAnsi="Calibri"/>
          <w:b/>
          <w:color w:val="008080"/>
          <w:sz w:val="24"/>
        </w:rPr>
        <w:t>2. Data Loading and Merging</w:t>
      </w:r>
    </w:p>
    <w:p>
      <w:pPr>
        <w:spacing w:after="120"/>
      </w:pPr>
      <w:r>
        <w:t xml:space="preserve">The notebook loads </w:t>
      </w:r>
      <w:r>
        <w:rPr>
          <w:rFonts w:ascii="Courier New" w:hAnsi="Courier New"/>
          <w:color w:val="9E2A2B"/>
          <w:sz w:val="21"/>
        </w:rPr>
        <w:t>train_transaction.csv</w:t>
      </w:r>
      <w:r>
        <w:t xml:space="preserve"> and </w:t>
      </w:r>
      <w:r>
        <w:rPr>
          <w:rFonts w:ascii="Courier New" w:hAnsi="Courier New"/>
          <w:color w:val="9E2A2B"/>
          <w:sz w:val="21"/>
        </w:rPr>
        <w:t>train_identity.csv</w:t>
      </w:r>
      <w:r>
        <w:t xml:space="preserve"> datasets and merges them using </w:t>
      </w:r>
      <w:r>
        <w:rPr>
          <w:rFonts w:ascii="Courier New" w:hAnsi="Courier New"/>
          <w:color w:val="9E2A2B"/>
          <w:sz w:val="21"/>
        </w:rPr>
        <w:t>TransactionID</w:t>
      </w:r>
      <w:r>
        <w:t>.</w:t>
      </w:r>
    </w:p>
    <w:p>
      <w:pPr>
        <w:spacing w:after="120"/>
      </w:pPr>
      <w:r/>
      <w:r>
        <w:rPr>
          <w:b/>
        </w:rPr>
        <w:t>Objective</w:t>
      </w:r>
      <w:r>
        <w:t>:</w:t>
      </w:r>
    </w:p>
    <w:p>
      <w:pPr>
        <w:spacing w:after="120"/>
      </w:pPr>
      <w:r>
        <w:t>Combine transactional behavior with identity metadata to improve fraud detection quality.</w:t>
      </w:r>
    </w:p>
    <w:p>
      <w:pPr>
        <w:spacing w:before="160" w:after="80"/>
      </w:pPr>
      <w:r>
        <w:rPr>
          <w:rFonts w:ascii="Calibri" w:hAnsi="Calibri"/>
          <w:b/>
          <w:color w:val="008080"/>
          <w:sz w:val="24"/>
        </w:rPr>
        <w:t>3. Exploratory Data Analysis (EDA)</w:t>
      </w:r>
    </w:p>
    <w:p>
      <w:pPr>
        <w:pStyle w:val="ListBullet"/>
        <w:spacing w:after="60"/>
      </w:pPr>
      <w:r/>
      <w:r>
        <w:rPr>
          <w:b/>
        </w:rPr>
        <w:t>Target Variable Analysis</w:t>
      </w:r>
      <w:r>
        <w:t>: The notebook identifies severe class imbalance between fraud and legitimate transactions.</w:t>
      </w:r>
    </w:p>
    <w:p>
      <w:pPr>
        <w:pStyle w:val="ListBullet"/>
        <w:spacing w:after="60"/>
      </w:pPr>
      <w:r/>
      <w:r>
        <w:rPr>
          <w:b/>
        </w:rPr>
        <w:t>Missing Value Analysis</w:t>
      </w:r>
      <w:r>
        <w:t>: Columns with large missingness ratios are analyzed to decide feature removal and imputation strategies.</w:t>
      </w:r>
    </w:p>
    <w:p>
      <w:pPr>
        <w:pStyle w:val="ListBullet"/>
        <w:spacing w:after="60"/>
      </w:pPr>
      <w:r/>
      <w:r>
        <w:rPr>
          <w:b/>
        </w:rPr>
        <w:t>Feature Distribution Analysis</w:t>
      </w:r>
      <w:r>
        <w:t>: Transaction amount distributions and outliers are visualized using log transformations.</w:t>
      </w:r>
    </w:p>
    <w:p>
      <w:pPr>
        <w:pStyle w:val="ListBullet"/>
        <w:spacing w:after="60"/>
      </w:pPr>
      <w:r/>
      <w:r>
        <w:rPr>
          <w:b/>
        </w:rPr>
        <w:t>Correlation Analysis</w:t>
      </w:r>
      <w:r>
        <w:t>: Correlation heatmaps are used to identify predictive relationships and multicollinearity.</w:t>
      </w:r>
    </w:p>
    <w:p>
      <w:pPr>
        <w:spacing w:before="160" w:after="80"/>
      </w:pPr>
      <w:r>
        <w:rPr>
          <w:rFonts w:ascii="Calibri" w:hAnsi="Calibri"/>
          <w:b/>
          <w:color w:val="008080"/>
          <w:sz w:val="24"/>
        </w:rPr>
        <w:t>4. Preprocessing and Feature Engineering</w:t>
      </w:r>
    </w:p>
    <w:p>
      <w:pPr>
        <w:spacing w:after="120"/>
      </w:pPr>
      <w:r>
        <w:t>Missing values are treated using imputation techniques.</w:t>
      </w:r>
    </w:p>
    <w:p>
      <w:pPr>
        <w:spacing w:after="120"/>
      </w:pPr>
      <w:r>
        <w:t>Categorical encoding methods are applied to convert text-based data into machine-readable formats.</w:t>
      </w:r>
    </w:p>
    <w:p>
      <w:pPr>
        <w:spacing w:after="120"/>
      </w:pPr>
      <w:r/>
      <w:r>
        <w:rPr>
          <w:b/>
        </w:rPr>
        <w:t>Behavioral feature engineering includes</w:t>
      </w:r>
      <w:r>
        <w:t>:</w:t>
      </w:r>
    </w:p>
    <w:p>
      <w:pPr>
        <w:pStyle w:val="ListBullet"/>
        <w:spacing w:after="60"/>
      </w:pPr>
      <w:r>
        <w:t>transaction frequency</w:t>
      </w:r>
    </w:p>
    <w:p>
      <w:pPr>
        <w:pStyle w:val="ListBullet"/>
        <w:spacing w:after="60"/>
      </w:pPr>
      <w:r>
        <w:t>velocity analysis</w:t>
      </w:r>
    </w:p>
    <w:p>
      <w:pPr>
        <w:pStyle w:val="ListBullet"/>
        <w:spacing w:after="60"/>
      </w:pPr>
      <w:r>
        <w:t>anomaly patterns</w:t>
      </w:r>
    </w:p>
    <w:p>
      <w:pPr>
        <w:pStyle w:val="ListBullet"/>
        <w:spacing w:after="60"/>
      </w:pPr>
      <w:r>
        <w:t>device consistency</w:t>
      </w:r>
    </w:p>
    <w:p>
      <w:pPr>
        <w:pStyle w:val="ListBullet"/>
        <w:spacing w:after="60"/>
      </w:pPr>
      <w:r>
        <w:t>behavioral trends</w:t>
      </w:r>
    </w:p>
    <w:p>
      <w:pPr>
        <w:spacing w:after="120"/>
      </w:pPr>
      <w:r>
        <w:t>Class imbalance is handled using SMOTE.</w:t>
      </w:r>
    </w:p>
    <w:p>
      <w:pPr>
        <w:spacing w:before="160" w:after="80"/>
      </w:pPr>
      <w:r>
        <w:rPr>
          <w:rFonts w:ascii="Calibri" w:hAnsi="Calibri"/>
          <w:b/>
          <w:color w:val="008080"/>
          <w:sz w:val="24"/>
        </w:rPr>
        <w:t>5. Model Training and Evaluation</w:t>
      </w:r>
    </w:p>
    <w:p>
      <w:pPr>
        <w:spacing w:after="120"/>
      </w:pPr>
      <w:r>
        <w:t>Multiple models are trained and evaluated:</w:t>
      </w:r>
    </w:p>
    <w:p>
      <w:pPr>
        <w:pStyle w:val="ListBullet"/>
        <w:spacing w:after="60"/>
      </w:pPr>
      <w:r>
        <w:t>Random Forest</w:t>
      </w:r>
    </w:p>
    <w:p>
      <w:pPr>
        <w:pStyle w:val="ListBullet"/>
        <w:spacing w:after="60"/>
      </w:pPr>
      <w:r>
        <w:t>XGBoost</w:t>
      </w:r>
    </w:p>
    <w:p>
      <w:pPr>
        <w:pStyle w:val="ListBullet"/>
        <w:spacing w:after="60"/>
      </w:pPr>
      <w:r>
        <w:t>LightGBM</w:t>
      </w:r>
    </w:p>
    <w:p>
      <w:pPr>
        <w:pStyle w:val="ListBullet"/>
        <w:spacing w:after="60"/>
      </w:pPr>
      <w:r>
        <w:t>Logistic Regression</w:t>
      </w:r>
    </w:p>
    <w:p>
      <w:pPr>
        <w:spacing w:after="120"/>
      </w:pPr>
      <w:r/>
      <w:r>
        <w:rPr>
          <w:b/>
        </w:rPr>
        <w:t>Evaluation Metrics</w:t>
      </w:r>
      <w:r>
        <w:t>:</w:t>
      </w:r>
    </w:p>
    <w:p>
      <w:pPr>
        <w:pStyle w:val="ListBullet"/>
        <w:spacing w:after="60"/>
      </w:pPr>
      <w:r>
        <w:t>Accuracy</w:t>
      </w:r>
    </w:p>
    <w:p>
      <w:pPr>
        <w:pStyle w:val="ListBullet"/>
        <w:spacing w:after="60"/>
      </w:pPr>
      <w:r>
        <w:t>Precision</w:t>
      </w:r>
    </w:p>
    <w:p>
      <w:pPr>
        <w:pStyle w:val="ListBullet"/>
        <w:spacing w:after="60"/>
      </w:pPr>
      <w:r>
        <w:t>Recall</w:t>
      </w:r>
    </w:p>
    <w:p>
      <w:pPr>
        <w:pStyle w:val="ListBullet"/>
        <w:spacing w:after="60"/>
      </w:pPr>
      <w:r>
        <w:t>F1-score</w:t>
      </w:r>
    </w:p>
    <w:p>
      <w:pPr>
        <w:pStyle w:val="ListBullet"/>
        <w:spacing w:after="60"/>
      </w:pPr>
      <w:r>
        <w:t>ROC-AUC</w:t>
      </w:r>
    </w:p>
    <w:p>
      <w:pPr>
        <w:pStyle w:val="ListBullet"/>
        <w:spacing w:after="60"/>
      </w:pPr>
      <w:r>
        <w:t>Average Precision</w:t>
      </w:r>
    </w:p>
    <w:p>
      <w:pPr>
        <w:spacing w:after="120"/>
      </w:pPr>
      <w:r>
        <w:t>Threshold optimization is performed using precision-recall analysis.</w:t>
      </w:r>
    </w:p>
    <w:p>
      <w:pPr>
        <w:spacing w:before="160" w:after="80"/>
      </w:pPr>
      <w:r>
        <w:rPr>
          <w:rFonts w:ascii="Calibri" w:hAnsi="Calibri"/>
          <w:b/>
          <w:color w:val="008080"/>
          <w:sz w:val="24"/>
        </w:rPr>
        <w:t>6. Explainable AI with SHAP</w:t>
      </w:r>
    </w:p>
    <w:p>
      <w:pPr>
        <w:spacing w:after="120"/>
      </w:pPr>
      <w:r>
        <w:t>SHAP is used to:</w:t>
      </w:r>
    </w:p>
    <w:p>
      <w:pPr>
        <w:pStyle w:val="ListBullet"/>
        <w:spacing w:after="60"/>
      </w:pPr>
      <w:r>
        <w:t>explain prediction decisions</w:t>
      </w:r>
    </w:p>
    <w:p>
      <w:pPr>
        <w:pStyle w:val="ListBullet"/>
        <w:spacing w:after="60"/>
      </w:pPr>
      <w:r>
        <w:t>identify important features</w:t>
      </w:r>
    </w:p>
    <w:p>
      <w:pPr>
        <w:pStyle w:val="ListBullet"/>
        <w:spacing w:after="60"/>
      </w:pPr>
      <w:r>
        <w:t>generate summary plots</w:t>
      </w:r>
    </w:p>
    <w:p>
      <w:pPr>
        <w:pStyle w:val="ListBullet"/>
        <w:spacing w:after="60"/>
      </w:pPr>
      <w:r>
        <w:t>create transaction-level explanations</w:t>
      </w:r>
    </w:p>
    <w:p>
      <w:pPr>
        <w:spacing w:after="120"/>
      </w:pPr>
      <w:r>
        <w:t>Waterfall plots visualize how features influence fraud predictions.</w:t>
      </w:r>
    </w:p>
    <w:p>
      <w:pPr>
        <w:spacing w:before="160" w:after="80"/>
      </w:pPr>
      <w:r>
        <w:rPr>
          <w:rFonts w:ascii="Calibri" w:hAnsi="Calibri"/>
          <w:b/>
          <w:color w:val="008080"/>
          <w:sz w:val="24"/>
        </w:rPr>
        <w:t>7. Risk Segmentation and Fraud Pattern Analysis</w:t>
      </w:r>
    </w:p>
    <w:p>
      <w:pPr>
        <w:spacing w:after="120"/>
      </w:pPr>
      <w:r>
        <w:t>Transactions are categorized into:</w:t>
      </w:r>
    </w:p>
    <w:p>
      <w:pPr>
        <w:pStyle w:val="ListBullet"/>
        <w:spacing w:after="60"/>
      </w:pPr>
      <w:r>
        <w:t>Low Risk</w:t>
      </w:r>
    </w:p>
    <w:p>
      <w:pPr>
        <w:pStyle w:val="ListBullet"/>
        <w:spacing w:after="60"/>
      </w:pPr>
      <w:r>
        <w:t>Medium Risk</w:t>
      </w:r>
    </w:p>
    <w:p>
      <w:pPr>
        <w:pStyle w:val="ListBullet"/>
        <w:spacing w:after="60"/>
      </w:pPr>
      <w:r>
        <w:t>High Risk</w:t>
      </w:r>
    </w:p>
    <w:p>
      <w:pPr>
        <w:spacing w:after="120"/>
      </w:pPr>
      <w:r>
        <w:t>Fraud patterns such as:</w:t>
      </w:r>
    </w:p>
    <w:p>
      <w:pPr>
        <w:pStyle w:val="ListBullet"/>
        <w:spacing w:after="60"/>
      </w:pPr>
      <w:r>
        <w:t>abnormal amounts</w:t>
      </w:r>
    </w:p>
    <w:p>
      <w:pPr>
        <w:pStyle w:val="ListBullet"/>
        <w:spacing w:after="60"/>
      </w:pPr>
      <w:r>
        <w:t>suspicious timing</w:t>
      </w:r>
    </w:p>
    <w:p>
      <w:pPr>
        <w:pStyle w:val="ListBullet"/>
        <w:spacing w:after="60"/>
      </w:pPr>
      <w:r>
        <w:t>inconsistent device usage</w:t>
      </w:r>
    </w:p>
    <w:p>
      <w:pPr>
        <w:spacing w:after="120"/>
      </w:pPr>
      <w:r>
        <w:t>are analyzed for operational insights.</w:t>
      </w:r>
    </w:p>
    <w:p>
      <w:pPr>
        <w:spacing w:before="160" w:after="80"/>
      </w:pPr>
      <w:r>
        <w:rPr>
          <w:rFonts w:ascii="Calibri" w:hAnsi="Calibri"/>
          <w:b/>
          <w:color w:val="008080"/>
          <w:sz w:val="24"/>
        </w:rPr>
        <w:t>8. Streamlit Fraud Dashboard</w:t>
      </w:r>
    </w:p>
    <w:p>
      <w:pPr>
        <w:spacing w:after="120"/>
      </w:pPr>
      <w:r>
        <w:t>Dashboard modules include:</w:t>
      </w:r>
    </w:p>
    <w:p>
      <w:pPr>
        <w:pStyle w:val="ListBullet"/>
        <w:spacing w:after="60"/>
      </w:pPr>
      <w:r>
        <w:t>System Performance Overview</w:t>
      </w:r>
    </w:p>
    <w:p>
      <w:pPr>
        <w:pStyle w:val="ListBullet"/>
        <w:spacing w:after="60"/>
      </w:pPr>
      <w:r>
        <w:t>Transaction Explorer</w:t>
      </w:r>
    </w:p>
    <w:p>
      <w:pPr>
        <w:pStyle w:val="ListBullet"/>
        <w:spacing w:after="60"/>
      </w:pPr>
      <w:r>
        <w:t>SHAP Explainability Panel</w:t>
      </w:r>
    </w:p>
    <w:p>
      <w:pPr>
        <w:pStyle w:val="ListBullet"/>
        <w:spacing w:after="60"/>
      </w:pPr>
      <w:r>
        <w:t>Risk Analysis Dashboard</w:t>
      </w:r>
    </w:p>
    <w:p>
      <w:pPr>
        <w:pStyle w:val="ListBullet"/>
        <w:spacing w:after="60"/>
      </w:pPr>
      <w:r>
        <w:t>Drift Monitoring</w:t>
      </w:r>
    </w:p>
    <w:p>
      <w:pPr>
        <w:spacing w:before="160" w:after="80"/>
      </w:pPr>
      <w:r>
        <w:rPr>
          <w:rFonts w:ascii="Calibri" w:hAnsi="Calibri"/>
          <w:b/>
          <w:color w:val="008080"/>
          <w:sz w:val="24"/>
        </w:rPr>
        <w:t>9. Business Recommendations</w:t>
      </w:r>
    </w:p>
    <w:p>
      <w:pPr>
        <w:spacing w:after="120"/>
      </w:pPr>
      <w:r>
        <w:t>Recommendations include:</w:t>
      </w:r>
    </w:p>
    <w:p>
      <w:pPr>
        <w:pStyle w:val="ListBullet"/>
        <w:spacing w:after="60"/>
      </w:pPr>
      <w:r>
        <w:t>real-time fraud monitoring</w:t>
      </w:r>
    </w:p>
    <w:p>
      <w:pPr>
        <w:pStyle w:val="ListBullet"/>
        <w:spacing w:after="60"/>
      </w:pPr>
      <w:r>
        <w:t>adaptive thresholds</w:t>
      </w:r>
    </w:p>
    <w:p>
      <w:pPr>
        <w:pStyle w:val="ListBullet"/>
        <w:spacing w:after="60"/>
      </w:pPr>
      <w:r>
        <w:t>continuous retraining</w:t>
      </w:r>
    </w:p>
    <w:p>
      <w:pPr>
        <w:pStyle w:val="ListBullet"/>
        <w:spacing w:after="60"/>
      </w:pPr>
      <w:r>
        <w:t>drift monitoring</w:t>
      </w:r>
    </w:p>
    <w:p>
      <w:pPr>
        <w:pStyle w:val="ListBullet"/>
        <w:spacing w:after="60"/>
      </w:pPr>
      <w:r>
        <w:t>explainability governance</w:t>
      </w:r>
    </w:p>
    <w:p>
      <w:pPr>
        <w:spacing w:before="160" w:after="80"/>
      </w:pPr>
      <w:r>
        <w:rPr>
          <w:rFonts w:ascii="Calibri" w:hAnsi="Calibri"/>
          <w:b/>
          <w:color w:val="008080"/>
          <w:sz w:val="24"/>
        </w:rPr>
        <w:t>10. Strengths</w:t>
      </w:r>
    </w:p>
    <w:p>
      <w:pPr>
        <w:pStyle w:val="ListBullet"/>
        <w:spacing w:after="60"/>
      </w:pPr>
      <w:r>
        <w:t>production-oriented architecture</w:t>
      </w:r>
    </w:p>
    <w:p>
      <w:pPr>
        <w:pStyle w:val="ListBullet"/>
        <w:spacing w:after="60"/>
      </w:pPr>
      <w:r>
        <w:t>explainable AI integration</w:t>
      </w:r>
    </w:p>
    <w:p>
      <w:pPr>
        <w:pStyle w:val="ListBullet"/>
        <w:spacing w:after="60"/>
      </w:pPr>
      <w:r>
        <w:t>threshold optimization</w:t>
      </w:r>
    </w:p>
    <w:p>
      <w:pPr>
        <w:pStyle w:val="ListBullet"/>
        <w:spacing w:after="60"/>
      </w:pPr>
      <w:r>
        <w:t>operational risk segmentation</w:t>
      </w:r>
    </w:p>
    <w:p>
      <w:pPr>
        <w:pStyle w:val="ListBullet"/>
        <w:spacing w:after="60"/>
      </w:pPr>
      <w:r>
        <w:t>dashboard deployment awareness</w:t>
      </w:r>
    </w:p>
    <w:p>
      <w:pPr>
        <w:spacing w:before="160" w:after="80"/>
      </w:pPr>
      <w:r>
        <w:rPr>
          <w:rFonts w:ascii="Calibri" w:hAnsi="Calibri"/>
          <w:b/>
          <w:color w:val="008080"/>
          <w:sz w:val="24"/>
        </w:rPr>
        <w:t>11. Weaknesses</w:t>
      </w:r>
    </w:p>
    <w:p>
      <w:pPr>
        <w:pStyle w:val="ListBullet"/>
        <w:spacing w:after="60"/>
      </w:pPr>
      <w:r>
        <w:t>possible temporal leakage risk</w:t>
      </w:r>
    </w:p>
    <w:p>
      <w:pPr>
        <w:pStyle w:val="ListBullet"/>
        <w:spacing w:after="60"/>
      </w:pPr>
      <w:r>
        <w:t>SMOTE limitations</w:t>
      </w:r>
    </w:p>
    <w:p>
      <w:pPr>
        <w:pStyle w:val="ListBullet"/>
        <w:spacing w:after="60"/>
      </w:pPr>
      <w:r>
        <w:t>deployment artifact dependency</w:t>
      </w:r>
    </w:p>
    <w:p>
      <w:pPr>
        <w:pStyle w:val="ListBullet"/>
        <w:spacing w:after="60"/>
      </w:pPr>
      <w:r>
        <w:t>incomplete drift monitoring setup</w:t>
      </w:r>
    </w:p>
    <w:p>
      <w:pPr>
        <w:spacing w:before="160" w:after="80"/>
      </w:pPr>
      <w:r>
        <w:rPr>
          <w:rFonts w:ascii="Calibri" w:hAnsi="Calibri"/>
          <w:b/>
          <w:color w:val="008080"/>
          <w:sz w:val="24"/>
        </w:rPr>
        <w:t>12. Deployment Issue Insight</w:t>
      </w:r>
    </w:p>
    <w:p>
      <w:pPr>
        <w:spacing w:after="120"/>
      </w:pPr>
      <w:r>
        <w:t>The Streamlit deployment depends on required columns:</w:t>
      </w:r>
    </w:p>
    <w:p>
      <w:pPr>
        <w:pStyle w:val="ListBullet"/>
        <w:spacing w:after="60"/>
      </w:pPr>
      <w:r/>
      <w:r>
        <w:rPr>
          <w:rFonts w:ascii="Courier New" w:hAnsi="Courier New"/>
          <w:color w:val="9E2A2B"/>
          <w:sz w:val="21"/>
        </w:rPr>
        <w:t>prediction_probability</w:t>
      </w:r>
      <w:r/>
    </w:p>
    <w:p>
      <w:pPr>
        <w:pStyle w:val="ListBullet"/>
        <w:spacing w:after="60"/>
      </w:pPr>
      <w:r/>
      <w:r>
        <w:rPr>
          <w:rFonts w:ascii="Courier New" w:hAnsi="Courier New"/>
          <w:color w:val="9E2A2B"/>
          <w:sz w:val="21"/>
        </w:rPr>
        <w:t>Risk_Tier</w:t>
      </w:r>
      <w:r/>
    </w:p>
    <w:p>
      <w:pPr>
        <w:spacing w:after="120"/>
      </w:pPr>
      <w:r>
        <w:t>If these columns are missing in deployment artifacts, multiple dashboard modules fail simultaneously.</w:t>
      </w:r>
    </w:p>
    <w:p>
      <w:pPr>
        <w:spacing w:before="160" w:after="80"/>
      </w:pPr>
      <w:r>
        <w:rPr>
          <w:rFonts w:ascii="Calibri" w:hAnsi="Calibri"/>
          <w:b/>
          <w:color w:val="008080"/>
          <w:sz w:val="24"/>
        </w:rPr>
        <w:t>Final Conclusion</w:t>
      </w:r>
    </w:p>
    <w:p>
      <w:pPr>
        <w:spacing w:after="120"/>
      </w:pPr>
      <w:r>
        <w:t>The notebook demonstrates a comprehensive fraud detection ecosystem integrating machine learning, explainability, analytics, and deployment concepts. The strongest area is the connection between prediction systems, explainable AI, analyst workflows, and operational dashboards. The main weakness lies in deployment robustness and artifact dependency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