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50"/>
        <w:jc w:val="center"/>
      </w:pPr>
      <w:r>
        <w:t xml:space="preserve">Data Science with Python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4-Week Internship Report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Rohan Kumar  |  MCA, Sage University, Indore</w:t>
      </w:r>
    </w:p>
    <w:p>
      <w:pPr>
        <w:pStyle w:val="Heading1"/>
        <w:spacing w:after="150" w:before="300"/>
      </w:pPr>
      <w:r>
        <w:t xml:space="preserve">1. Internship Overview</w:t>
      </w:r>
    </w:p>
    <w:p>
      <w:pPr>
        <w:spacing w:after="150"/>
      </w:pPr>
      <w:r>
        <w:t xml:space="preserve">This report summarizes a 1-month Data Science with Python internship, structured into four weekly milestones. Each week built on the previous one — starting with core Python data-handling libraries, moving into data visualization, then a basic machine learning model, and finishing with a self-directed capstone project applying the complete workflow end-to-end on a real-world dataset.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6800"/>
          </w:tcPr>
          <w:p>
            <w:r>
              <w:t xml:space="preserve">Python for Data Science Basics — Pandas &amp; NumPy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6800"/>
          </w:tcPr>
          <w:p>
            <w:r>
              <w:t xml:space="preserve">Data Visualization — Matplotlib &amp; Seaborn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6800"/>
          </w:tcPr>
          <w:p>
            <w:r>
              <w:t xml:space="preserve">Machine Learning Introduction — Regression (Scikit-Learn)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6800"/>
          </w:tcPr>
          <w:p>
            <w:r>
              <w:t xml:space="preserve">Capstone Project — End-to-end EDA &amp; Reporting</w:t>
            </w:r>
          </w:p>
        </w:tc>
      </w:tr>
    </w:tbl>
    <w:p>
      <w:pPr>
        <w:pStyle w:val="Heading1"/>
        <w:spacing w:after="150" w:before="300"/>
      </w:pPr>
      <w:r>
        <w:t xml:space="preserve">2. Week 1 — Python for Data Science Basics</w:t>
      </w:r>
    </w:p>
    <w:p>
      <w:pPr>
        <w:pStyle w:val="Heading2"/>
        <w:spacing w:after="100" w:before="200"/>
      </w:pPr>
      <w:r>
        <w:t xml:space="preserve">Objective</w:t>
      </w:r>
    </w:p>
    <w:p>
      <w:pPr>
        <w:spacing w:after="150"/>
      </w:pPr>
      <w:r>
        <w:t xml:space="preserve">Learn Pandas and NumPy fundamentals through basic data cleaning.</w:t>
      </w:r>
    </w:p>
    <w:p>
      <w:pPr>
        <w:pStyle w:val="Heading2"/>
        <w:spacing w:after="100" w:before="200"/>
      </w:pPr>
      <w:r>
        <w:t xml:space="preserve">Dataset</w:t>
      </w:r>
    </w:p>
    <w:p>
      <w:pPr>
        <w:spacing w:after="150"/>
      </w:pPr>
      <w:r>
        <w:t xml:space="preserve">Student Marks Dataset (Kaggle) — 1,000 student records across 8 columns: gender, race/ethnicity, parental level of education, lunch type, test preparation course, and math/reading/writing scores.</w:t>
      </w:r>
    </w:p>
    <w:p>
      <w:pPr>
        <w:pStyle w:val="Heading2"/>
        <w:spacing w:after="100" w:before="200"/>
      </w:pPr>
      <w:r>
        <w:t xml:space="preserve">Work Completed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Loaded the dataset and inspected its structure (1,000 rows × 8 columns) using Pandas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Checked for missing values and duplicate records — the dataset was found to be fully clean (0 missing values, 0 duplicates)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Calculated average, maximum, and minimum scores across all three subjects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Generated full descriptive statistics (mean, std, quartiles) using df.describe()</w:t>
      </w:r>
    </w:p>
    <w:p>
      <w:pPr>
        <w:pStyle w:val="Heading2"/>
        <w:spacing w:after="100" w:before="200"/>
      </w:pPr>
      <w:r>
        <w:t xml:space="preserve">Key Result</w:t>
      </w:r>
    </w:p>
    <w:p>
      <w:pPr>
        <w:spacing w:after="150"/>
      </w:pPr>
      <w:r>
        <w:t xml:space="preserve">Average scores came out to 66.1 (Math), 69.2 (Reading), and 68.1 (Writing) out of 100. Reading was the highest-scoring subject on average, while Math showed the widest spread (std ≈ 15.2) and was the only subject where a student scored a 0. Minimum scores were 0 (Math), 17 (Reading), and 10 (Writing), with all three subjects having at least one student score a perfect 100.</w:t>
      </w:r>
    </w:p>
    <w:p>
      <w:pPr>
        <w:pStyle w:val="Heading1"/>
        <w:spacing w:after="150" w:before="300"/>
      </w:pPr>
      <w:r>
        <w:t xml:space="preserve">3. Week 2 — Data Visualization</w:t>
      </w:r>
    </w:p>
    <w:p>
      <w:pPr>
        <w:pStyle w:val="Heading2"/>
        <w:spacing w:after="100" w:before="200"/>
      </w:pPr>
      <w:r>
        <w:t xml:space="preserve">Objective</w:t>
      </w:r>
    </w:p>
    <w:p>
      <w:pPr>
        <w:spacing w:after="150"/>
      </w:pPr>
      <w:r>
        <w:t xml:space="preserve">Practice Matplotlib and Seaborn visualizations through an exploratory analysis of COVID-19 data.</w:t>
      </w:r>
    </w:p>
    <w:p>
      <w:pPr>
        <w:pStyle w:val="Heading2"/>
        <w:spacing w:after="100" w:before="200"/>
      </w:pPr>
      <w:r>
        <w:t xml:space="preserve">Dataset</w:t>
      </w:r>
    </w:p>
    <w:p>
      <w:pPr>
        <w:spacing w:after="150"/>
      </w:pPr>
      <w:r>
        <w:t xml:space="preserve">COVID-19 Clean Complete Dataset — 49,068 records across 10 columns, covering country/region, date, and daily Confirmed, Deaths, Recovered, and Active case counts.</w:t>
      </w:r>
    </w:p>
    <w:p>
      <w:pPr>
        <w:pStyle w:val="Heading2"/>
        <w:spacing w:after="100" w:before="200"/>
      </w:pPr>
      <w:r>
        <w:t xml:space="preserve">Work Completed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Checked data quality — no missing values in the core case/death/recovery columns (Province/State had 34,404 nulls, which is expected since not all countries report state-level data)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Converted the Date column to proper datetime format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Plotted a confirmed-cases trend line over time for India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Compared the top 5 countries by confirmed cases using a bar chart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Built a correlation heatmap across Confirmed, Deaths, Recovered, and Active cases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Created a scatter plot of confirmed cases vs. deaths</w:t>
      </w:r>
    </w:p>
    <w:p>
      <w:pPr>
        <w:pStyle w:val="Heading2"/>
        <w:spacing w:after="100" w:before="200"/>
      </w:pPr>
      <w:r>
        <w:t xml:space="preserve">Key Results</w:t>
      </w:r>
    </w:p>
    <w:p>
      <w:pPr>
        <w:spacing w:after="150"/>
      </w:pPr>
      <w:r>
        <w:t xml:space="preserve">India's confirmed cases stayed nearly flat until around April 2020, then rose sharply through mid-2020. The US led global confirmed cases (4,290,259), followed by Brazil (2,442,375), India (1,480,073), Russia (816,680), and South Africa (452,529) — with a steep drop-off after the US, showing cases were concentrated in a handful of countries rather than evenly spread.</w:t>
      </w:r>
    </w:p>
    <w:p>
      <w:pPr>
        <w:spacing w:after="150"/>
      </w:pPr>
      <w:r>
        <w:t xml:space="preserve">The correlation heatmap showed Confirmed cases correlate most strongly with Active cases (0.950), followed by Deaths (0.912) and Recovered cases (0.896) — confirming the scatter plot's positive cases-vs-deaths relationship, while also showing the relationship isn't perfectly uniform across countries.</w:t>
      </w:r>
    </w:p>
    <w:p>
      <w:pPr>
        <w:pStyle w:val="Heading1"/>
        <w:spacing w:after="150" w:before="300"/>
      </w:pPr>
      <w:r>
        <w:t xml:space="preserve">4. Week 3 — Machine Learning Introduction</w:t>
      </w:r>
    </w:p>
    <w:p>
      <w:pPr>
        <w:pStyle w:val="Heading2"/>
        <w:spacing w:after="100" w:before="200"/>
      </w:pPr>
      <w:r>
        <w:t xml:space="preserve">Objective</w:t>
      </w:r>
    </w:p>
    <w:p>
      <w:pPr>
        <w:spacing w:after="150"/>
      </w:pPr>
      <w:r>
        <w:t xml:space="preserve">Learn and apply a regression model using Scikit-Learn.</w:t>
      </w:r>
    </w:p>
    <w:p>
      <w:pPr>
        <w:pStyle w:val="Heading2"/>
        <w:spacing w:after="100" w:before="200"/>
      </w:pPr>
      <w:r>
        <w:t xml:space="preserve">Dataset</w:t>
      </w:r>
    </w:p>
    <w:p>
      <w:pPr>
        <w:spacing w:after="150"/>
      </w:pPr>
      <w:r>
        <w:t xml:space="preserve">Student Performance Dataset (Kaggle) — originally 10,000 rows across 6 columns (hours studied, previous scores, sleep hours, sample papers practiced, extracurricular activities, and a target performance index); 9,873 rows remained after removing duplicates.</w:t>
      </w:r>
    </w:p>
    <w:p>
      <w:pPr>
        <w:pStyle w:val="Heading2"/>
        <w:spacing w:after="100" w:before="200"/>
      </w:pPr>
      <w:r>
        <w:t xml:space="preserve">Work Completed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Cleaned the data (dropped 127 duplicate rows) and encoded the categorical “Extracurricular Activities” column into binary form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Split the data into training and test sets (80/20)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Trained a Linear Regression model to predict the performance index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Evaluated the model using R² and Mean Absolute Error (MAE)</w:t>
      </w:r>
    </w:p>
    <w:p>
      <w:pPr>
        <w:pStyle w:val="Heading2"/>
        <w:spacing w:after="100" w:before="200"/>
      </w:pPr>
      <w:r>
        <w:t xml:space="preserve">Key Result</w:t>
      </w:r>
    </w:p>
    <w:p>
      <w:pPr>
        <w:spacing w:after="150"/>
      </w:pPr>
      <w:r>
        <w:t xml:space="preserve">The model achieved an R² of 0.9884 and an MAE of 1.65 — indicating the linear model explains almost all the variance in student performance, with predictions typically within about 1.65 points of the actual value.</w:t>
      </w:r>
    </w:p>
    <w:p>
      <w:pPr>
        <w:pStyle w:val="Heading1"/>
        <w:spacing w:after="150" w:before="300"/>
      </w:pPr>
      <w:r>
        <w:t xml:space="preserve">5. Week 4 — Capstone Project: IPL Data Analysis</w:t>
      </w:r>
    </w:p>
    <w:p>
      <w:pPr>
        <w:pStyle w:val="Heading2"/>
        <w:spacing w:after="100" w:before="200"/>
      </w:pPr>
      <w:r>
        <w:t xml:space="preserve">Objective</w:t>
      </w:r>
    </w:p>
    <w:p>
      <w:pPr>
        <w:spacing w:after="150"/>
      </w:pPr>
      <w:r>
        <w:t xml:space="preserve">Apply the complete skillset — cleaning, visualization, and statistical reasoning — to a self-chosen, real-world dataset, and produce a portfolio-ready analysis and report.</w:t>
      </w:r>
    </w:p>
    <w:p>
      <w:pPr>
        <w:pStyle w:val="Heading2"/>
        <w:spacing w:after="100" w:before="200"/>
      </w:pPr>
      <w:r>
        <w:t xml:space="preserve">Dataset</w:t>
      </w:r>
    </w:p>
    <w:p>
      <w:pPr>
        <w:spacing w:after="150"/>
      </w:pPr>
      <w:r>
        <w:t xml:space="preserve">A comprehensive IPL match dataset (2008–2026) covering teams, toss details, venues, scores, results, and player-of-the-match records.</w:t>
      </w:r>
    </w:p>
    <w:p>
      <w:pPr>
        <w:pStyle w:val="Heading2"/>
        <w:spacing w:after="100" w:before="200"/>
      </w:pPr>
      <w:r>
        <w:t xml:space="preserve">Work Completed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Cleaned the data and standardized inconsistent team names (e.g., the RCB rebrand)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Analyzed team-wise wins and win percentage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Investigated toss impact and toss-decision success rate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Compared winning methods (by runs vs. by wickets) across seasons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Analyzed venue-wise match distribution and scoring patterns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Identified the top Player of the Match award holders</w:t>
      </w:r>
    </w:p>
    <w:p>
      <w:pPr>
        <w:pStyle w:val="Heading2"/>
        <w:spacing w:after="100" w:before="200"/>
      </w:pPr>
      <w:r>
        <w:t xml:space="preserve">Key Insights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Mumbai Indians lead all-time with 155 wins, but win percentage is a fairer consistency measure — CSK (55.6%) and MI (53.3%) rank highest among long-history teams.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Toss outcome barely matters (51.56% win rate for toss winners), but the toss decision does — fielding first wins 53.7% of matches vs. 44.3% for batting first, independently confirmed by the overall runs-vs-wickets split (660 vs. 558).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top 10 venues host 45.45% of all matches ever played, showing IPL cricket is heavily venue-concentrated.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“normal” competitive score falls between 141–184 runs (league average: 161.6).</w:t>
      </w:r>
    </w:p>
    <w:p>
      <w:pPr>
        <w:pStyle w:val="Heading2"/>
        <w:spacing w:after="100" w:before="200"/>
      </w:pPr>
      <w:r>
        <w:t xml:space="preserve">Deliverables</w:t>
      </w:r>
    </w:p>
    <w:p>
      <w:pPr>
        <w:spacing w:after="150"/>
      </w:pPr>
      <w:r>
        <w:t xml:space="preserve">A full analysis notebook (IPLanalysis.ipynb) and a standalone 2-page summary report (IPL_Analysis_Report.pdf) were produced for this capstone project.</w:t>
      </w:r>
    </w:p>
    <w:p>
      <w:pPr>
        <w:pStyle w:val="Heading1"/>
        <w:spacing w:after="150" w:before="300"/>
      </w:pPr>
      <w:r>
        <w:t xml:space="preserve">6. Overall Learning Outcomes</w:t>
      </w:r>
    </w:p>
    <w:p>
      <w:pPr>
        <w:spacing w:after="150"/>
      </w:pPr>
      <w:r>
        <w:t xml:space="preserve">Across the four weeks, this internship built a complete, practical data science workflow: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Data handling and cleaning with Pandas and NumPy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Exploratory data visualization with Matplotlib and Seaborn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Statistical reasoning — correlation, distribution analysis, and percentage-based comparison rather than relying on raw counts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working introduction to supervised machine learning (Linear Regression) with proper train/test evaluation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Independently scoping, analyzing, and reporting on a self-chosen real-world dataset (the IPL capstone)</w:t>
      </w:r>
    </w:p>
    <w:p>
      <w:pPr>
        <w:pStyle w:val="Heading1"/>
        <w:spacing w:after="150" w:before="300"/>
      </w:pPr>
      <w:r>
        <w:t xml:space="preserve">7. Tools &amp; Technologies Used</w:t>
      </w:r>
    </w:p>
    <w:p>
      <w:pPr>
        <w:spacing w:after="150"/>
      </w:pPr>
      <w:r>
        <w:t xml:space="preserve">Python, Pandas, NumPy, Matplotlib, Seaborn, Scikit-Learn, and Google Colab were used consistently across all four weeks of the internship.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50"/>
      </w:pPr>
      <w:r>
        <w:t xml:space="preserve">This internship provided hands-on, progressively deeper exposure to the data science workflow — from basic data cleaning to visualization to machine learning — culminating in an independent capstone project that mirrors real analytics work: exploring an unfamiliar dataset, validating findings through multiple independent angles, and communicating results clearly through both notebooks and a written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2026-08-30T19:17:34.302Z</dcterms:created>
  <dcterms:modified xsi:type="dcterms:W3CDTF">2026-08-30T19:17:34.314Z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