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41AF" w14:textId="77777777" w:rsidR="00EE11D1" w:rsidRDefault="00000000">
      <w:pPr>
        <w:rPr>
          <w:rFonts w:ascii="Garamond" w:hAnsi="Garamond"/>
          <w:b/>
          <w:bCs/>
          <w:sz w:val="36"/>
          <w:szCs w:val="36"/>
        </w:rPr>
      </w:pPr>
      <w:r>
        <w:rPr>
          <w:rFonts w:ascii="Garamond" w:hAnsi="Garamond"/>
          <w:b/>
          <w:bCs/>
          <w:sz w:val="36"/>
          <w:szCs w:val="36"/>
        </w:rPr>
        <w:t>Discrete Semantic State Representations for Efficient Policy Learning</w:t>
      </w:r>
    </w:p>
    <w:p w14:paraId="207BAADF" w14:textId="77777777" w:rsidR="00EE11D1" w:rsidRDefault="00000000">
      <w:pPr>
        <w:pStyle w:val="Heading1"/>
      </w:pPr>
      <w:r>
        <w:t>Abstract</w:t>
      </w:r>
    </w:p>
    <w:p w14:paraId="4356EDC0" w14:textId="77777777" w:rsidR="00EE11D1" w:rsidRDefault="00000000">
      <w:pPr>
        <w:pStyle w:val="Heading1"/>
      </w:pPr>
      <w:r>
        <w:t>1. Introduction</w:t>
      </w:r>
    </w:p>
    <w:p w14:paraId="78EBB630" w14:textId="77777777" w:rsidR="00EE11D1" w:rsidRDefault="00000000">
      <w:pPr>
        <w:pStyle w:val="Heading2"/>
      </w:pPr>
      <w:r>
        <w:t>1.1 Context and motivation</w:t>
      </w:r>
    </w:p>
    <w:p w14:paraId="05B94EAB" w14:textId="77777777" w:rsidR="00EE11D1" w:rsidRDefault="00000000">
      <w:pPr>
        <w:spacing w:after="160" w:line="360" w:lineRule="auto"/>
      </w:pPr>
      <w:r>
        <w:t>Deep reinforcement learning (RL) has produced agents capable of strong performance across a range of challenging domains, from Atari games (</w:t>
      </w:r>
      <w:proofErr w:type="spellStart"/>
      <w:r>
        <w:t>Mnih</w:t>
      </w:r>
      <w:proofErr w:type="spellEnd"/>
      <w:r>
        <w:t xml:space="preserve"> et al., 2015) to complex robotic manipulation (Levine et al., 2016). However, this performance comes with the consequence that agents trained directly from high-level observations require millions of interactions with the environment to learn reliable structure and encode knowledge of their environment. This well-documented sample-inefficiency poses a serious challenge to applying deep RL in practical settings where data collection is either expensive, unsafe or dangerous.</w:t>
      </w:r>
    </w:p>
    <w:p w14:paraId="310BB9EF" w14:textId="77777777" w:rsidR="00EE11D1" w:rsidRDefault="00EE11D1">
      <w:pPr>
        <w:spacing w:after="160" w:line="360" w:lineRule="auto"/>
      </w:pPr>
    </w:p>
    <w:p w14:paraId="29E8C810" w14:textId="77777777" w:rsidR="00EE11D1" w:rsidRDefault="00000000">
      <w:pPr>
        <w:spacing w:after="160" w:line="360" w:lineRule="auto"/>
      </w:pPr>
      <w:r>
        <w:t>A parallel research line proposes to address this sample inefficiency by first learning a compact latent representation of the environment, over which a policy can be trained more efficiently. Hafner et al. (2019, 2020) introduced the Dreamer family of world models, which learn in continuous latent spaces and use simulated future experience to significantly improve sample efficiency over model-free methods, establishing latent-space planning as a compelling alternative to traditional RL.</w:t>
      </w:r>
    </w:p>
    <w:p w14:paraId="624FD72A" w14:textId="77777777" w:rsidR="00EE11D1" w:rsidRDefault="00EE11D1">
      <w:pPr>
        <w:spacing w:after="160" w:line="360" w:lineRule="auto"/>
      </w:pPr>
    </w:p>
    <w:p w14:paraId="2BFE5FCB" w14:textId="77777777" w:rsidR="00EE11D1" w:rsidRDefault="00000000">
      <w:pPr>
        <w:spacing w:after="160" w:line="360" w:lineRule="auto"/>
      </w:pPr>
      <w:r>
        <w:t xml:space="preserve">Additionally, humans </w:t>
      </w:r>
      <w:proofErr w:type="gramStart"/>
      <w:r>
        <w:t>are able to</w:t>
      </w:r>
      <w:proofErr w:type="gramEnd"/>
      <w:r>
        <w:t xml:space="preserve"> generalize to new situations remarkably well in highly complex environments with much better sample efficiency. Research has shown that humans </w:t>
      </w:r>
      <w:proofErr w:type="gramStart"/>
      <w:r>
        <w:t>have the ability to</w:t>
      </w:r>
      <w:proofErr w:type="gramEnd"/>
      <w:r>
        <w:t xml:space="preserve"> distill continuous observations in the world into discrete representations in the brain very efficiently (Fang &amp; Sims, 2025).</w:t>
      </w:r>
    </w:p>
    <w:p w14:paraId="58ADBA0C" w14:textId="77777777" w:rsidR="00EE11D1" w:rsidRDefault="00EE11D1">
      <w:pPr>
        <w:spacing w:after="160" w:line="360" w:lineRule="auto"/>
      </w:pPr>
    </w:p>
    <w:p w14:paraId="1BC74D41" w14:textId="77777777" w:rsidR="00EE11D1" w:rsidRDefault="00000000">
      <w:pPr>
        <w:spacing w:after="160" w:line="360" w:lineRule="auto"/>
      </w:pPr>
      <w:r>
        <w:t>Therefore, combining these two observations may offer a way to build more robust RL systems that generalize more broadly and are more sample efficient — properties that may be complementary rather than coincidental, if efficient discrete internal coding underlies both.</w:t>
      </w:r>
    </w:p>
    <w:p w14:paraId="59C63593" w14:textId="77777777" w:rsidR="00EE11D1" w:rsidRDefault="00000000">
      <w:pPr>
        <w:spacing w:after="160" w:line="360" w:lineRule="auto"/>
      </w:pPr>
      <w:r>
        <w:lastRenderedPageBreak/>
        <w:t xml:space="preserve">Despite this progress, an important dimension of discrete representations in RL remains largely unexamined: the degree to which learned tokens encode semantically meaningful environment states. Existing discrete world models are evaluated exclusively on downstream performance metrics — reward and sample efficiency — and the content of the learned codebooks is rarely analyzed. The question of whether a token reliably corresponds to an interpretable state concept, such as “the door is open” or “the agent is carrying the key”, is left open. This research gap is relevant for several reasons. Firstly, the interpretability of discrete representations is a primary motivation for their use in high-level reasoning; tokens that do not align with semantic concepts offer no advantage over opaque continuous representations. Secondly, the growing requirement for trustworthy and explainable AI (Doshi-Velez &amp; Kim, 2017) makes representation interpretability an important design criterion. Furthermore, semantically grounded discrete tokens may facilitate integration with </w:t>
      </w:r>
      <w:proofErr w:type="spellStart"/>
      <w:r>
        <w:t>neurosymbolic</w:t>
      </w:r>
      <w:proofErr w:type="spellEnd"/>
      <w:r>
        <w:t xml:space="preserve"> approaches, where tokens could serve as primitives for downstream logical reasoning or planning. The convergence of expanding discretization techniques, powerful Transformer architectures, and established interpretability methodology creates an opportunity to investigate whether semantically aligned discrete representations can be learned from RL observations without explicit supervision.</w:t>
      </w:r>
    </w:p>
    <w:p w14:paraId="47EB89DC" w14:textId="77777777" w:rsidR="00EE11D1" w:rsidRDefault="00000000">
      <w:pPr>
        <w:spacing w:after="160" w:line="360" w:lineRule="auto"/>
      </w:pPr>
      <w:r w:rsidRPr="002B3916">
        <w:rPr>
          <w:lang w:val="nl-NL"/>
          <w:rPrChange w:id="0" w:author="Menon, R.S. (Rohan)" w:date="2026-06-01T10:54:00Z" w16du:dateUtc="2026-06-01T08:54:00Z">
            <w:rPr/>
          </w:rPrChange>
        </w:rPr>
        <w:t xml:space="preserve">Van den Oord et al. </w:t>
      </w:r>
      <w:r>
        <w:t>(2017) introduced the Vector-</w:t>
      </w:r>
      <w:proofErr w:type="spellStart"/>
      <w:r>
        <w:t>Quantised</w:t>
      </w:r>
      <w:proofErr w:type="spellEnd"/>
      <w:r>
        <w:t xml:space="preserve"> Variational Autoencoder (VQ-VAE), demonstrating that neural networks can learn finite, discrete codebooks that reliably compress complex visual inputs. This technique has since been applied directly to RL environments through world models. Micheli et al. (2023) showed that a Transformer world model operating over discrete observation tokens (IRIS) achieves better sample efficiency on the Atari 100k benchmark, requiring only 100,000 real environment steps. These results demonstrate that discretization may provide benefits arising from the structured nature of the vocabulary.</w:t>
      </w:r>
    </w:p>
    <w:p w14:paraId="24021C06" w14:textId="77777777" w:rsidR="00EE11D1" w:rsidRDefault="00EE11D1">
      <w:pPr>
        <w:spacing w:after="80"/>
      </w:pPr>
    </w:p>
    <w:p w14:paraId="7FF9E0ED" w14:textId="77777777" w:rsidR="00EE11D1" w:rsidRDefault="00000000">
      <w:pPr>
        <w:pStyle w:val="Heading2"/>
      </w:pPr>
      <w:r>
        <w:t>1.2 This thesis</w:t>
      </w:r>
    </w:p>
    <w:p w14:paraId="3036E0A1" w14:textId="77777777" w:rsidR="00EE11D1" w:rsidRDefault="00000000">
      <w:pPr>
        <w:spacing w:after="160" w:line="360" w:lineRule="auto"/>
      </w:pPr>
      <w:r>
        <w:t xml:space="preserve">This thesis investigates how a Transformer-based encoder can be trained to build a structured, discrete latent space from continuous RL observations, and examines the extent to which these learned representations align with semantically meaningful environment states without explicit label supervision. The encoder is trained purely on reconstruction and receives no </w:t>
      </w:r>
      <w:r>
        <w:lastRenderedPageBreak/>
        <w:t>reward signal or semantic labels; any semantic alignment must therefore emerge from the structure of the task observations alone.</w:t>
      </w:r>
    </w:p>
    <w:p w14:paraId="4F777F2B" w14:textId="77777777" w:rsidR="00EE11D1" w:rsidRDefault="00EE11D1">
      <w:pPr>
        <w:spacing w:after="80"/>
      </w:pPr>
    </w:p>
    <w:p w14:paraId="2D9BEDBF" w14:textId="77777777" w:rsidR="00EE11D1" w:rsidRDefault="00000000">
      <w:pPr>
        <w:spacing w:after="160" w:line="360" w:lineRule="auto"/>
      </w:pPr>
      <w:r>
        <w:rPr>
          <w:b/>
          <w:bCs/>
        </w:rPr>
        <w:t>Main research question:</w:t>
      </w:r>
    </w:p>
    <w:p w14:paraId="51FC8616" w14:textId="77777777" w:rsidR="00EE11D1" w:rsidRDefault="00000000">
      <w:pPr>
        <w:spacing w:after="80"/>
      </w:pPr>
      <w:r>
        <w:t>To what degree can discrete, transformer-based state encoders learn semantically meaningful abstractions that improve sample efficiency and generalizability in reinforcement learning environments?</w:t>
      </w:r>
    </w:p>
    <w:p w14:paraId="5FB0E1B1" w14:textId="77777777" w:rsidR="00EE11D1" w:rsidRDefault="00EE11D1">
      <w:pPr>
        <w:spacing w:after="80"/>
      </w:pPr>
    </w:p>
    <w:p w14:paraId="1FCF2C21" w14:textId="77777777" w:rsidR="00EE11D1" w:rsidRDefault="00000000">
      <w:pPr>
        <w:spacing w:after="160" w:line="360" w:lineRule="auto"/>
      </w:pPr>
      <w:r>
        <w:rPr>
          <w:b/>
          <w:bCs/>
        </w:rPr>
        <w:t>Sub-questions:</w:t>
      </w:r>
    </w:p>
    <w:p w14:paraId="69DCA5E2" w14:textId="77777777" w:rsidR="00EE11D1" w:rsidRDefault="00000000">
      <w:pPr>
        <w:pStyle w:val="ListParagraph"/>
        <w:numPr>
          <w:ilvl w:val="0"/>
          <w:numId w:val="1"/>
        </w:numPr>
      </w:pPr>
      <w:r>
        <w:t>To what degree does a VQ-style Transformer encoder learn stable, reusable discrete tokens from continuous visual input?</w:t>
      </w:r>
    </w:p>
    <w:p w14:paraId="50D4BC45" w14:textId="77777777" w:rsidR="00EE11D1" w:rsidRDefault="00000000">
      <w:pPr>
        <w:pStyle w:val="ListParagraph"/>
        <w:numPr>
          <w:ilvl w:val="0"/>
          <w:numId w:val="1"/>
        </w:numPr>
      </w:pPr>
      <w:r>
        <w:t>To what extent do these tokens correspond to semantically meaningful environment states?</w:t>
      </w:r>
    </w:p>
    <w:p w14:paraId="314CD6E4" w14:textId="77777777" w:rsidR="00EE11D1" w:rsidRDefault="00000000">
      <w:pPr>
        <w:pStyle w:val="ListParagraph"/>
        <w:numPr>
          <w:ilvl w:val="0"/>
          <w:numId w:val="1"/>
        </w:numPr>
      </w:pPr>
      <w:r>
        <w:t>To what extent does planning over discrete tokens reduce sample complexity compared to planning in continuous latent space?</w:t>
      </w:r>
    </w:p>
    <w:p w14:paraId="6BDCA49E" w14:textId="77777777" w:rsidR="00EE11D1" w:rsidRDefault="00000000">
      <w:pPr>
        <w:pStyle w:val="ListParagraph"/>
        <w:numPr>
          <w:ilvl w:val="0"/>
          <w:numId w:val="1"/>
        </w:numPr>
      </w:pPr>
      <w:r>
        <w:t>To what extent does tokenization reduce planning horizon complexity or support generalization?</w:t>
      </w:r>
    </w:p>
    <w:p w14:paraId="5A2AC60E" w14:textId="77777777" w:rsidR="00EE11D1" w:rsidRDefault="00000000">
      <w:pPr>
        <w:pStyle w:val="ListParagraph"/>
        <w:numPr>
          <w:ilvl w:val="0"/>
          <w:numId w:val="1"/>
        </w:numPr>
      </w:pPr>
      <w:r>
        <w:t>How interpretable are the learned tokens?</w:t>
      </w:r>
    </w:p>
    <w:p w14:paraId="35FCDF81" w14:textId="77777777" w:rsidR="00EE11D1" w:rsidRDefault="00EE11D1">
      <w:pPr>
        <w:spacing w:after="80"/>
      </w:pPr>
    </w:p>
    <w:p w14:paraId="4117183A" w14:textId="77777777" w:rsidR="00EE11D1" w:rsidRDefault="00000000">
      <w:r>
        <w:br w:type="page"/>
      </w:r>
    </w:p>
    <w:p w14:paraId="2E094409" w14:textId="77777777" w:rsidR="00EE11D1" w:rsidRDefault="00000000">
      <w:pPr>
        <w:pStyle w:val="Heading1"/>
      </w:pPr>
      <w:r>
        <w:lastRenderedPageBreak/>
        <w:t>2. Related Work</w:t>
      </w:r>
    </w:p>
    <w:p w14:paraId="3483D461" w14:textId="77777777" w:rsidR="00EE11D1" w:rsidRDefault="00EE11D1">
      <w:pPr>
        <w:spacing w:after="80"/>
      </w:pPr>
    </w:p>
    <w:p w14:paraId="40774F2D" w14:textId="77777777" w:rsidR="00EE11D1" w:rsidRDefault="00000000">
      <w:pPr>
        <w:pStyle w:val="Heading2"/>
      </w:pPr>
      <w:r>
        <w:t>2.1 Discrete Representation Learning</w:t>
      </w:r>
    </w:p>
    <w:p w14:paraId="3C254531" w14:textId="77777777" w:rsidR="00EE11D1" w:rsidRDefault="00000000">
      <w:pPr>
        <w:pStyle w:val="Heading2"/>
        <w:numPr>
          <w:ilvl w:val="0"/>
          <w:numId w:val="2"/>
        </w:numPr>
        <w:rPr>
          <w:b w:val="0"/>
          <w:bCs w:val="0"/>
          <w:sz w:val="24"/>
          <w:szCs w:val="24"/>
        </w:rPr>
      </w:pPr>
      <w:r>
        <w:rPr>
          <w:b w:val="0"/>
          <w:bCs w:val="0"/>
          <w:sz w:val="24"/>
          <w:szCs w:val="24"/>
        </w:rPr>
        <w:t>VQ-VAE, VQ-VAE2</w:t>
      </w:r>
    </w:p>
    <w:p w14:paraId="7CDC4C74" w14:textId="77777777" w:rsidR="00EE11D1" w:rsidRDefault="00000000">
      <w:pPr>
        <w:pStyle w:val="Heading2"/>
        <w:numPr>
          <w:ilvl w:val="0"/>
          <w:numId w:val="2"/>
        </w:numPr>
        <w:rPr>
          <w:b w:val="0"/>
          <w:bCs w:val="0"/>
          <w:sz w:val="24"/>
          <w:szCs w:val="24"/>
        </w:rPr>
      </w:pPr>
      <w:r>
        <w:rPr>
          <w:b w:val="0"/>
          <w:bCs w:val="0"/>
          <w:sz w:val="24"/>
          <w:szCs w:val="24"/>
        </w:rPr>
        <w:t>FSQ</w:t>
      </w:r>
    </w:p>
    <w:p w14:paraId="2A6DEE4F" w14:textId="77777777" w:rsidR="00EE11D1" w:rsidRDefault="00000000">
      <w:pPr>
        <w:pStyle w:val="Heading2"/>
        <w:numPr>
          <w:ilvl w:val="0"/>
          <w:numId w:val="2"/>
        </w:numPr>
        <w:rPr>
          <w:b w:val="0"/>
          <w:bCs w:val="0"/>
          <w:sz w:val="24"/>
          <w:szCs w:val="24"/>
        </w:rPr>
      </w:pPr>
      <w:r>
        <w:rPr>
          <w:b w:val="0"/>
          <w:bCs w:val="0"/>
          <w:sz w:val="24"/>
          <w:szCs w:val="24"/>
        </w:rPr>
        <w:t>Straight through estimator, codebook collapse EMA updates</w:t>
      </w:r>
    </w:p>
    <w:p w14:paraId="565C2364" w14:textId="77777777" w:rsidR="00EE11D1" w:rsidRDefault="00000000">
      <w:pPr>
        <w:pStyle w:val="Heading2"/>
      </w:pPr>
      <w:r>
        <w:t>2.2 World Models and Latent-Space Policy Learning</w:t>
      </w:r>
    </w:p>
    <w:p w14:paraId="27C6933D" w14:textId="77777777" w:rsidR="00EE11D1" w:rsidRDefault="00000000">
      <w:pPr>
        <w:pStyle w:val="Heading2"/>
        <w:numPr>
          <w:ilvl w:val="0"/>
          <w:numId w:val="2"/>
        </w:numPr>
        <w:rPr>
          <w:b w:val="0"/>
          <w:bCs w:val="0"/>
          <w:sz w:val="24"/>
          <w:szCs w:val="24"/>
        </w:rPr>
      </w:pPr>
      <w:r>
        <w:rPr>
          <w:b w:val="0"/>
          <w:bCs w:val="0"/>
          <w:sz w:val="24"/>
          <w:szCs w:val="24"/>
        </w:rPr>
        <w:t>Dreamer Variants</w:t>
      </w:r>
    </w:p>
    <w:p w14:paraId="080B51D2" w14:textId="77777777" w:rsidR="00EE11D1" w:rsidRDefault="00000000">
      <w:pPr>
        <w:pStyle w:val="Heading2"/>
        <w:numPr>
          <w:ilvl w:val="0"/>
          <w:numId w:val="2"/>
        </w:numPr>
        <w:rPr>
          <w:b w:val="0"/>
          <w:bCs w:val="0"/>
          <w:sz w:val="24"/>
          <w:szCs w:val="24"/>
        </w:rPr>
      </w:pPr>
      <w:r>
        <w:rPr>
          <w:b w:val="0"/>
          <w:bCs w:val="0"/>
          <w:sz w:val="24"/>
          <w:szCs w:val="24"/>
        </w:rPr>
        <w:t>IRIS</w:t>
      </w:r>
    </w:p>
    <w:p w14:paraId="354EA3C8" w14:textId="77777777" w:rsidR="00EE11D1" w:rsidRDefault="00000000">
      <w:pPr>
        <w:pStyle w:val="Heading2"/>
        <w:numPr>
          <w:ilvl w:val="0"/>
          <w:numId w:val="2"/>
        </w:numPr>
        <w:rPr>
          <w:b w:val="0"/>
          <w:bCs w:val="0"/>
          <w:sz w:val="24"/>
          <w:szCs w:val="24"/>
        </w:rPr>
      </w:pPr>
      <w:r>
        <w:rPr>
          <w:b w:val="0"/>
          <w:bCs w:val="0"/>
          <w:sz w:val="24"/>
          <w:szCs w:val="24"/>
        </w:rPr>
        <w:t>TDMPC2</w:t>
      </w:r>
    </w:p>
    <w:p w14:paraId="24EDF5DE" w14:textId="77777777" w:rsidR="00EE11D1" w:rsidRDefault="00000000">
      <w:pPr>
        <w:pStyle w:val="Heading2"/>
        <w:numPr>
          <w:ilvl w:val="0"/>
          <w:numId w:val="2"/>
        </w:numPr>
        <w:rPr>
          <w:b w:val="0"/>
          <w:bCs w:val="0"/>
          <w:sz w:val="24"/>
          <w:szCs w:val="24"/>
        </w:rPr>
      </w:pPr>
      <w:proofErr w:type="spellStart"/>
      <w:r>
        <w:rPr>
          <w:b w:val="0"/>
          <w:bCs w:val="0"/>
          <w:sz w:val="24"/>
          <w:szCs w:val="24"/>
        </w:rPr>
        <w:t>PlaNet</w:t>
      </w:r>
      <w:proofErr w:type="spellEnd"/>
    </w:p>
    <w:p w14:paraId="57FE00B1" w14:textId="77777777" w:rsidR="00EE11D1" w:rsidRDefault="00000000">
      <w:pPr>
        <w:pStyle w:val="Heading2"/>
        <w:numPr>
          <w:ilvl w:val="0"/>
          <w:numId w:val="2"/>
        </w:numPr>
        <w:rPr>
          <w:b w:val="0"/>
          <w:bCs w:val="0"/>
          <w:sz w:val="24"/>
          <w:szCs w:val="24"/>
        </w:rPr>
      </w:pPr>
      <w:r>
        <w:rPr>
          <w:b w:val="0"/>
          <w:bCs w:val="0"/>
          <w:sz w:val="24"/>
          <w:szCs w:val="24"/>
        </w:rPr>
        <w:t>Continuous vs Latent</w:t>
      </w:r>
    </w:p>
    <w:p w14:paraId="466D653C" w14:textId="77777777" w:rsidR="00EE11D1" w:rsidRDefault="00EE11D1">
      <w:pPr>
        <w:spacing w:after="80"/>
      </w:pPr>
    </w:p>
    <w:p w14:paraId="6DD18DF4" w14:textId="77777777" w:rsidR="00EE11D1" w:rsidRDefault="00000000">
      <w:pPr>
        <w:pStyle w:val="Heading2"/>
      </w:pPr>
      <w:r>
        <w:t>2.3 Transformer Architectures in Reinforcement Learning</w:t>
      </w:r>
    </w:p>
    <w:p w14:paraId="1B3FBDB5" w14:textId="77777777" w:rsidR="00EE11D1" w:rsidRDefault="00EE11D1">
      <w:pPr>
        <w:spacing w:after="80"/>
      </w:pPr>
    </w:p>
    <w:p w14:paraId="775D8A2A" w14:textId="77777777" w:rsidR="00EE11D1" w:rsidRDefault="00000000">
      <w:pPr>
        <w:pStyle w:val="Heading2"/>
      </w:pPr>
      <w:r>
        <w:t>2.4 Interpretability of Learned Representations</w:t>
      </w:r>
    </w:p>
    <w:p w14:paraId="5A8A5D0D" w14:textId="77777777" w:rsidR="00EE11D1" w:rsidRDefault="00EE11D1">
      <w:pPr>
        <w:spacing w:after="80"/>
      </w:pPr>
    </w:p>
    <w:p w14:paraId="092095DD" w14:textId="77777777" w:rsidR="00EE11D1" w:rsidRDefault="00000000">
      <w:r>
        <w:br w:type="page"/>
      </w:r>
    </w:p>
    <w:p w14:paraId="42220678" w14:textId="77777777" w:rsidR="00EE11D1" w:rsidRDefault="00000000">
      <w:pPr>
        <w:pStyle w:val="Heading1"/>
      </w:pPr>
      <w:r>
        <w:lastRenderedPageBreak/>
        <w:t>3. Methodology</w:t>
      </w:r>
    </w:p>
    <w:p w14:paraId="2E5EF280" w14:textId="77777777" w:rsidR="00EE11D1" w:rsidRDefault="00000000">
      <w:pPr>
        <w:pStyle w:val="Heading2"/>
      </w:pPr>
      <w:r>
        <w:t>3.1 Environment and data</w:t>
      </w:r>
    </w:p>
    <w:p w14:paraId="0B89E83A" w14:textId="77777777" w:rsidR="00EE11D1" w:rsidRDefault="00EE11D1">
      <w:pPr>
        <w:spacing w:after="80"/>
      </w:pPr>
    </w:p>
    <w:p w14:paraId="449EB6BD" w14:textId="77777777" w:rsidR="00EE11D1" w:rsidRDefault="00000000">
      <w:pPr>
        <w:pStyle w:val="Heading2"/>
      </w:pPr>
      <w:r>
        <w:t>3.2 Encoder architecture</w:t>
      </w:r>
    </w:p>
    <w:p w14:paraId="17D536F2" w14:textId="77777777" w:rsidR="00EE11D1" w:rsidRDefault="00EE11D1">
      <w:pPr>
        <w:spacing w:after="80"/>
      </w:pPr>
    </w:p>
    <w:p w14:paraId="69A9A3EC" w14:textId="77777777" w:rsidR="00EE11D1" w:rsidRDefault="00000000">
      <w:pPr>
        <w:pStyle w:val="Heading2"/>
      </w:pPr>
      <w:r>
        <w:t>3.3 Encoder pre-training</w:t>
      </w:r>
    </w:p>
    <w:p w14:paraId="2C0295EA" w14:textId="77777777" w:rsidR="00EE11D1" w:rsidRDefault="00EE11D1">
      <w:pPr>
        <w:spacing w:after="80"/>
      </w:pPr>
    </w:p>
    <w:p w14:paraId="7A3DEB2D" w14:textId="77777777" w:rsidR="00EE11D1" w:rsidRDefault="00000000">
      <w:pPr>
        <w:pStyle w:val="Heading2"/>
      </w:pPr>
      <w:r>
        <w:t>3.4 Policy conditions</w:t>
      </w:r>
    </w:p>
    <w:p w14:paraId="34740DE4" w14:textId="77777777" w:rsidR="00EE11D1" w:rsidRDefault="00000000">
      <w:pPr>
        <w:spacing w:after="160" w:line="360" w:lineRule="auto"/>
      </w:pPr>
      <w:r>
        <w:t>This section describes the policy conditions evaluated in this study. Detailed hyperparameters for reproducibility are provided in Appendix A.</w:t>
      </w:r>
    </w:p>
    <w:p w14:paraId="6345B6EC" w14:textId="77777777" w:rsidR="00EE11D1" w:rsidRDefault="00000000">
      <w:pPr>
        <w:pStyle w:val="Heading2"/>
      </w:pPr>
      <w:r>
        <w:t>3.5 Evaluation</w:t>
      </w:r>
    </w:p>
    <w:p w14:paraId="04876670" w14:textId="77777777" w:rsidR="00EE11D1" w:rsidRDefault="00000000">
      <w:pPr>
        <w:spacing w:after="160" w:line="360" w:lineRule="auto"/>
      </w:pPr>
      <w:r>
        <w:t>Policy learning performance is measured as mean episodic return averaged across evaluation episodes and seeds, reported as a function of environment steps. Three baselines are included: (1) a raw-observation MLP (Condition A), which receives the flattened 7×7×3 observation directly; (2) a continuous-encoder MLP (Condition B), which uses a trained convolutional encoder without quantization; and (3) a fully random agent. Conditions C–I each add a specific representational or architectural variation on top of the frozen VQ encoder. Codebook quality is measured by the proportion of active codes (usage &gt; 1 per batch), EMA commitment loss, and reconstruction accuracy. Semantic alignment is quantified via linear probe accuracy on held-out ground-truth state labels (door status, key possession, agent position).</w:t>
      </w:r>
    </w:p>
    <w:p w14:paraId="59717CFA" w14:textId="77777777" w:rsidR="00EE11D1" w:rsidRDefault="00000000">
      <w:r>
        <w:br w:type="page"/>
      </w:r>
    </w:p>
    <w:p w14:paraId="71D455B0" w14:textId="77777777" w:rsidR="00EE11D1" w:rsidRDefault="00000000">
      <w:pPr>
        <w:pStyle w:val="Heading1"/>
      </w:pPr>
      <w:r>
        <w:lastRenderedPageBreak/>
        <w:t>4. Results</w:t>
      </w:r>
    </w:p>
    <w:p w14:paraId="79E83D17" w14:textId="77777777" w:rsidR="00EE11D1" w:rsidRDefault="00EE11D1">
      <w:pPr>
        <w:spacing w:after="80"/>
      </w:pPr>
    </w:p>
    <w:p w14:paraId="5D7C9ACF" w14:textId="77777777" w:rsidR="00EE11D1" w:rsidRDefault="00000000">
      <w:pPr>
        <w:pStyle w:val="Heading2"/>
      </w:pPr>
      <w:r>
        <w:t>4.1 Encoder pre-training</w:t>
      </w:r>
    </w:p>
    <w:p w14:paraId="104BCFFE" w14:textId="77777777" w:rsidR="00EE11D1" w:rsidRDefault="00EE11D1">
      <w:pPr>
        <w:spacing w:after="80"/>
      </w:pPr>
    </w:p>
    <w:p w14:paraId="4777001D" w14:textId="77777777" w:rsidR="00EE11D1" w:rsidRDefault="00000000">
      <w:pPr>
        <w:pStyle w:val="Heading2"/>
      </w:pPr>
      <w:r>
        <w:t>4.2 Semantic alignment</w:t>
      </w:r>
    </w:p>
    <w:p w14:paraId="3B4C4542" w14:textId="77777777" w:rsidR="00EE11D1" w:rsidRDefault="00EE11D1">
      <w:pPr>
        <w:spacing w:after="80"/>
      </w:pPr>
    </w:p>
    <w:p w14:paraId="7809BDF4" w14:textId="77777777" w:rsidR="00EE11D1" w:rsidRDefault="00000000">
      <w:pPr>
        <w:pStyle w:val="Heading2"/>
      </w:pPr>
      <w:r>
        <w:t>4.3 Policy learning efficiency</w:t>
      </w:r>
    </w:p>
    <w:p w14:paraId="28C936B3" w14:textId="77777777" w:rsidR="00EE11D1" w:rsidRDefault="00EE11D1">
      <w:pPr>
        <w:spacing w:after="80"/>
      </w:pPr>
    </w:p>
    <w:p w14:paraId="4A442AA6" w14:textId="77777777" w:rsidR="00EE11D1" w:rsidRDefault="00000000">
      <w:r>
        <w:br w:type="page"/>
      </w:r>
    </w:p>
    <w:p w14:paraId="3424EFEE" w14:textId="77777777" w:rsidR="00EE11D1" w:rsidRDefault="00000000">
      <w:pPr>
        <w:pStyle w:val="Heading1"/>
      </w:pPr>
      <w:r>
        <w:lastRenderedPageBreak/>
        <w:t>5. Discussion</w:t>
      </w:r>
    </w:p>
    <w:p w14:paraId="08155E32" w14:textId="77777777" w:rsidR="00EE11D1" w:rsidRDefault="00000000">
      <w:pPr>
        <w:spacing w:after="80"/>
      </w:pPr>
      <w:r>
        <w:t>Findings in relation to each research question</w:t>
      </w:r>
    </w:p>
    <w:p w14:paraId="36CB6ABF" w14:textId="77777777" w:rsidR="00EE11D1" w:rsidRDefault="00000000">
      <w:pPr>
        <w:pStyle w:val="Heading2"/>
      </w:pPr>
      <w:r>
        <w:t>5.1 Codebook quality and the EMA fix</w:t>
      </w:r>
    </w:p>
    <w:p w14:paraId="34CAFF46" w14:textId="77777777" w:rsidR="00EE11D1" w:rsidRDefault="00000000">
      <w:pPr>
        <w:spacing w:after="80"/>
      </w:pPr>
      <w:r>
        <w:t>Discuss Initial codebook collapse (11/32 active), why gradient-based updates caused it (positive feedback loop + skewed data distribution), how EMA + dead-code update works</w:t>
      </w:r>
    </w:p>
    <w:p w14:paraId="6AAFEAC2" w14:textId="77777777" w:rsidR="00EE11D1" w:rsidRDefault="00000000">
      <w:pPr>
        <w:pStyle w:val="Heading2"/>
      </w:pPr>
      <w:r>
        <w:t xml:space="preserve">5.2 Semantic alignment </w:t>
      </w:r>
    </w:p>
    <w:p w14:paraId="79CDF581" w14:textId="77777777" w:rsidR="00EE11D1" w:rsidRDefault="00000000">
      <w:pPr>
        <w:pStyle w:val="Heading2"/>
      </w:pPr>
      <w:r>
        <w:t xml:space="preserve">5.3 Policy learning </w:t>
      </w:r>
    </w:p>
    <w:p w14:paraId="6D505EAE" w14:textId="77777777" w:rsidR="00EE11D1" w:rsidRDefault="00EE11D1">
      <w:pPr>
        <w:spacing w:after="80"/>
      </w:pPr>
    </w:p>
    <w:p w14:paraId="3F4D2CFA" w14:textId="77777777" w:rsidR="00EE11D1" w:rsidRDefault="00000000">
      <w:pPr>
        <w:pStyle w:val="Heading2"/>
      </w:pPr>
      <w:r>
        <w:t xml:space="preserve">5.4 Architecture progression </w:t>
      </w:r>
    </w:p>
    <w:p w14:paraId="0EC33EBA" w14:textId="77777777" w:rsidR="00EE11D1" w:rsidRDefault="00EE11D1">
      <w:pPr>
        <w:spacing w:after="80"/>
      </w:pPr>
    </w:p>
    <w:p w14:paraId="734A191E" w14:textId="77777777" w:rsidR="00EE11D1" w:rsidRDefault="00000000">
      <w:pPr>
        <w:pStyle w:val="Heading2"/>
      </w:pPr>
      <w:r>
        <w:t>5.5 Limitations</w:t>
      </w:r>
    </w:p>
    <w:p w14:paraId="7CB292E6" w14:textId="77777777" w:rsidR="00EE11D1" w:rsidRDefault="00EE11D1">
      <w:pPr>
        <w:spacing w:after="80"/>
      </w:pPr>
    </w:p>
    <w:p w14:paraId="69BA7D42" w14:textId="77777777" w:rsidR="00EE11D1" w:rsidRDefault="00000000">
      <w:pPr>
        <w:pStyle w:val="Heading2"/>
      </w:pPr>
      <w:r>
        <w:t>5.6 Future work</w:t>
      </w:r>
    </w:p>
    <w:p w14:paraId="326448FC" w14:textId="77777777" w:rsidR="00EE11D1" w:rsidRDefault="00EE11D1">
      <w:pPr>
        <w:spacing w:after="80"/>
      </w:pPr>
    </w:p>
    <w:p w14:paraId="4C50B6A0" w14:textId="77777777" w:rsidR="00EE11D1" w:rsidRDefault="00000000">
      <w:pPr>
        <w:pStyle w:val="Heading1"/>
      </w:pPr>
      <w:r>
        <w:t>6. Conclusion</w:t>
      </w:r>
    </w:p>
    <w:p w14:paraId="4F7AF21D" w14:textId="77777777" w:rsidR="00EE11D1" w:rsidRDefault="00000000">
      <w:pPr>
        <w:pStyle w:val="Heading1"/>
      </w:pPr>
      <w:r>
        <w:t>References</w:t>
      </w:r>
    </w:p>
    <w:p w14:paraId="3AA72225" w14:textId="77777777" w:rsidR="00EE11D1" w:rsidRDefault="00EE11D1">
      <w:pPr>
        <w:spacing w:after="80"/>
      </w:pPr>
    </w:p>
    <w:p w14:paraId="38D5B697" w14:textId="77777777" w:rsidR="00EE11D1" w:rsidRDefault="00000000">
      <w:pPr>
        <w:spacing w:after="160" w:line="360" w:lineRule="auto"/>
      </w:pPr>
      <w:r>
        <w:t>Alain, G., &amp; Bengio, Y. (2017). Understanding intermediate layers using linear classifier probes. ICLR Workshop.</w:t>
      </w:r>
    </w:p>
    <w:p w14:paraId="79CA8DD4" w14:textId="77777777" w:rsidR="00EE11D1" w:rsidRDefault="00000000">
      <w:pPr>
        <w:spacing w:after="160" w:line="360" w:lineRule="auto"/>
        <w:rPr>
          <w:lang w:val="nl-NL"/>
        </w:rPr>
      </w:pPr>
      <w:r>
        <w:t xml:space="preserve">Agarwal, R., Schwarzer, M., Castro, P. S., Courville, A., &amp; Bellemare, M. G. (2021). Deep reinforcement learning at the edge of the statistical precipice. </w:t>
      </w:r>
      <w:proofErr w:type="spellStart"/>
      <w:r>
        <w:rPr>
          <w:lang w:val="nl-NL"/>
        </w:rPr>
        <w:t>NeurIPS</w:t>
      </w:r>
      <w:proofErr w:type="spellEnd"/>
      <w:r>
        <w:rPr>
          <w:lang w:val="nl-NL"/>
        </w:rPr>
        <w:t>.</w:t>
      </w:r>
    </w:p>
    <w:p w14:paraId="6AAFE916" w14:textId="77777777" w:rsidR="00EE11D1" w:rsidRDefault="00000000">
      <w:pPr>
        <w:spacing w:after="160" w:line="360" w:lineRule="auto"/>
      </w:pPr>
      <w:proofErr w:type="spellStart"/>
      <w:r>
        <w:rPr>
          <w:lang w:val="nl-NL"/>
        </w:rPr>
        <w:t>Chevalier-Boisvert</w:t>
      </w:r>
      <w:proofErr w:type="spellEnd"/>
      <w:r>
        <w:rPr>
          <w:lang w:val="nl-NL"/>
        </w:rPr>
        <w:t xml:space="preserve">, M., Dai, B., Towers, M., et al. </w:t>
      </w:r>
      <w:r>
        <w:t xml:space="preserve">(2023). </w:t>
      </w:r>
      <w:proofErr w:type="spellStart"/>
      <w:r>
        <w:t>Minigrid</w:t>
      </w:r>
      <w:proofErr w:type="spellEnd"/>
      <w:r>
        <w:t xml:space="preserve"> &amp; </w:t>
      </w:r>
      <w:proofErr w:type="spellStart"/>
      <w:r>
        <w:t>miniworld</w:t>
      </w:r>
      <w:proofErr w:type="spellEnd"/>
      <w:r>
        <w:t xml:space="preserve">: Modular &amp; customizable reinforcement learning environments for goal-oriented tasks. </w:t>
      </w:r>
      <w:proofErr w:type="spellStart"/>
      <w:r>
        <w:t>NeurIPS</w:t>
      </w:r>
      <w:proofErr w:type="spellEnd"/>
      <w:r>
        <w:t xml:space="preserve"> Datasets and Benchmarks.</w:t>
      </w:r>
    </w:p>
    <w:p w14:paraId="798DE08F" w14:textId="77777777" w:rsidR="00EE11D1" w:rsidRDefault="00000000">
      <w:pPr>
        <w:spacing w:after="160" w:line="360" w:lineRule="auto"/>
      </w:pPr>
      <w:r>
        <w:t>Doshi-Velez, F., &amp; Kim, B. (2017). Towards a rigorous science of interpretable machine learning. arXiv:1702.08608.</w:t>
      </w:r>
    </w:p>
    <w:p w14:paraId="52ECB98C" w14:textId="77777777" w:rsidR="00EE11D1" w:rsidRDefault="00000000">
      <w:pPr>
        <w:spacing w:after="160" w:line="360" w:lineRule="auto"/>
      </w:pPr>
      <w:r>
        <w:lastRenderedPageBreak/>
        <w:t xml:space="preserve">Hafner, D., </w:t>
      </w:r>
      <w:proofErr w:type="spellStart"/>
      <w:r>
        <w:t>Lillicrap</w:t>
      </w:r>
      <w:proofErr w:type="spellEnd"/>
      <w:r>
        <w:t>, T., Fischer, I., Villegas, R., Ha, D., Lee, H., &amp; Davidson, J. (2019). Learning latent dynamics for planning from pixels. ICML.</w:t>
      </w:r>
    </w:p>
    <w:p w14:paraId="5E970367" w14:textId="77777777" w:rsidR="00EE11D1" w:rsidRDefault="00000000">
      <w:pPr>
        <w:spacing w:after="160" w:line="360" w:lineRule="auto"/>
      </w:pPr>
      <w:r>
        <w:t xml:space="preserve">Hafner, D., </w:t>
      </w:r>
      <w:proofErr w:type="spellStart"/>
      <w:r>
        <w:t>Lillicrap</w:t>
      </w:r>
      <w:proofErr w:type="spellEnd"/>
      <w:r>
        <w:t xml:space="preserve">, T., </w:t>
      </w:r>
      <w:proofErr w:type="spellStart"/>
      <w:r>
        <w:t>Norouzi</w:t>
      </w:r>
      <w:proofErr w:type="spellEnd"/>
      <w:r>
        <w:t>, M., &amp; Ba, J. (2020). Dream to control: Learning behaviors by latent imagination. ICLR.</w:t>
      </w:r>
    </w:p>
    <w:p w14:paraId="626A7490" w14:textId="77777777" w:rsidR="00EE11D1" w:rsidRDefault="00000000">
      <w:pPr>
        <w:spacing w:after="160" w:line="360" w:lineRule="auto"/>
      </w:pPr>
      <w:r>
        <w:t xml:space="preserve">Hafner, D., </w:t>
      </w:r>
      <w:proofErr w:type="spellStart"/>
      <w:r>
        <w:t>Pasukonis</w:t>
      </w:r>
      <w:proofErr w:type="spellEnd"/>
      <w:r>
        <w:t xml:space="preserve">, J., Ba, J., &amp; </w:t>
      </w:r>
      <w:proofErr w:type="spellStart"/>
      <w:r>
        <w:t>Lillicrap</w:t>
      </w:r>
      <w:proofErr w:type="spellEnd"/>
      <w:r>
        <w:t>, T. (2023). Mastering diverse domains through world models. arXiv:2301.04104.</w:t>
      </w:r>
    </w:p>
    <w:p w14:paraId="2906929A" w14:textId="77777777" w:rsidR="00EE11D1" w:rsidRDefault="00000000">
      <w:pPr>
        <w:spacing w:after="160" w:line="360" w:lineRule="auto"/>
      </w:pPr>
      <w:r>
        <w:rPr>
          <w:lang w:val="nl-NL"/>
        </w:rPr>
        <w:t xml:space="preserve">Hansen, N., </w:t>
      </w:r>
      <w:proofErr w:type="spellStart"/>
      <w:r>
        <w:rPr>
          <w:lang w:val="nl-NL"/>
        </w:rPr>
        <w:t>Su</w:t>
      </w:r>
      <w:proofErr w:type="spellEnd"/>
      <w:r>
        <w:rPr>
          <w:lang w:val="nl-NL"/>
        </w:rPr>
        <w:t xml:space="preserve">, H., &amp; Wang, X. (2024). </w:t>
      </w:r>
      <w:r>
        <w:t>TD-MPC2: Scalable, robust world models for continuous control. ICLR.</w:t>
      </w:r>
    </w:p>
    <w:p w14:paraId="7C32F30F" w14:textId="77777777" w:rsidR="00EE11D1" w:rsidRDefault="00000000">
      <w:pPr>
        <w:spacing w:after="160" w:line="360" w:lineRule="auto"/>
      </w:pPr>
      <w:r>
        <w:t xml:space="preserve">Higgins, I., Matthey, L., Pal, A., Burgess, C., </w:t>
      </w:r>
      <w:proofErr w:type="spellStart"/>
      <w:r>
        <w:t>Glorot</w:t>
      </w:r>
      <w:proofErr w:type="spellEnd"/>
      <w:r>
        <w:t xml:space="preserve">, X., </w:t>
      </w:r>
      <w:proofErr w:type="spellStart"/>
      <w:r>
        <w:t>Botvinick</w:t>
      </w:r>
      <w:proofErr w:type="spellEnd"/>
      <w:r>
        <w:t xml:space="preserve">, M., Mohamed, S., &amp; </w:t>
      </w:r>
      <w:proofErr w:type="spellStart"/>
      <w:r>
        <w:t>Lerchner</w:t>
      </w:r>
      <w:proofErr w:type="spellEnd"/>
      <w:r>
        <w:t>, A. (2017). beta-VAE: Learning basic visual concepts with a constrained variational framework. ICLR.</w:t>
      </w:r>
    </w:p>
    <w:p w14:paraId="49A393D7" w14:textId="77777777" w:rsidR="00EE11D1" w:rsidRDefault="00000000">
      <w:pPr>
        <w:spacing w:after="160" w:line="360" w:lineRule="auto"/>
      </w:pPr>
      <w:r>
        <w:t xml:space="preserve">Janner, M., Li, Q., &amp; Levine, S. (2021). Offline reinforcement learning as one big sequence modeling problem. </w:t>
      </w:r>
      <w:proofErr w:type="spellStart"/>
      <w:r>
        <w:t>NeurIPS</w:t>
      </w:r>
      <w:proofErr w:type="spellEnd"/>
      <w:r>
        <w:t>.</w:t>
      </w:r>
    </w:p>
    <w:p w14:paraId="236B6FA8" w14:textId="77777777" w:rsidR="00EE11D1" w:rsidRDefault="00000000">
      <w:pPr>
        <w:spacing w:after="160" w:line="360" w:lineRule="auto"/>
      </w:pPr>
      <w:r>
        <w:t xml:space="preserve">Kaiser, L., </w:t>
      </w:r>
      <w:proofErr w:type="spellStart"/>
      <w:r>
        <w:t>Babaeizadeh</w:t>
      </w:r>
      <w:proofErr w:type="spellEnd"/>
      <w:r>
        <w:t xml:space="preserve">, M., Milos, P., Osinski, B., Campbell, R. H., </w:t>
      </w:r>
      <w:proofErr w:type="spellStart"/>
      <w:r>
        <w:t>Czechowski</w:t>
      </w:r>
      <w:proofErr w:type="spellEnd"/>
      <w:r>
        <w:t xml:space="preserve">, K., Erhan, D., Finn, C., </w:t>
      </w:r>
      <w:proofErr w:type="spellStart"/>
      <w:r>
        <w:t>Kozakowski</w:t>
      </w:r>
      <w:proofErr w:type="spellEnd"/>
      <w:r>
        <w:t xml:space="preserve">, P., Levine, S., Mohiuddin, A., </w:t>
      </w:r>
      <w:proofErr w:type="spellStart"/>
      <w:r>
        <w:t>Sepassi</w:t>
      </w:r>
      <w:proofErr w:type="spellEnd"/>
      <w:r>
        <w:t xml:space="preserve">, R., Tucker, G., &amp; </w:t>
      </w:r>
      <w:proofErr w:type="spellStart"/>
      <w:r>
        <w:t>Michalewski</w:t>
      </w:r>
      <w:proofErr w:type="spellEnd"/>
      <w:r>
        <w:t>, H. (2019). Model-based reinforcement learning for Atari. ICLR.</w:t>
      </w:r>
    </w:p>
    <w:p w14:paraId="6BA73D9F" w14:textId="77777777" w:rsidR="00EE11D1" w:rsidRDefault="00000000">
      <w:pPr>
        <w:spacing w:after="160" w:line="360" w:lineRule="auto"/>
      </w:pPr>
      <w:r>
        <w:t xml:space="preserve">Koh, P. W., Nguyen, T., Tang, Y. S., </w:t>
      </w:r>
      <w:proofErr w:type="spellStart"/>
      <w:r>
        <w:t>Mussmann</w:t>
      </w:r>
      <w:proofErr w:type="spellEnd"/>
      <w:r>
        <w:t>, S., Pierson, E., Kim, B., &amp; Liang, P. (2020). Concept bottleneck models. ICML.</w:t>
      </w:r>
    </w:p>
    <w:p w14:paraId="09F3E271" w14:textId="77777777" w:rsidR="00EE11D1" w:rsidRDefault="00000000">
      <w:pPr>
        <w:spacing w:after="160" w:line="360" w:lineRule="auto"/>
      </w:pPr>
      <w:r>
        <w:t xml:space="preserve">Levine, S., Finn, C., Darrell, T., &amp; </w:t>
      </w:r>
      <w:proofErr w:type="spellStart"/>
      <w:r>
        <w:t>Abbeel</w:t>
      </w:r>
      <w:proofErr w:type="spellEnd"/>
      <w:r>
        <w:t>, P. (2016). End-to-end training of deep visuomotor policies. JMLR.</w:t>
      </w:r>
    </w:p>
    <w:p w14:paraId="6C42CF42" w14:textId="77777777" w:rsidR="00EE11D1" w:rsidRDefault="00000000">
      <w:pPr>
        <w:spacing w:after="160" w:line="360" w:lineRule="auto"/>
      </w:pPr>
      <w:r>
        <w:t xml:space="preserve">Mentzer, F., Foster, D., </w:t>
      </w:r>
      <w:proofErr w:type="spellStart"/>
      <w:r>
        <w:t>Minnen</w:t>
      </w:r>
      <w:proofErr w:type="spellEnd"/>
      <w:r>
        <w:t xml:space="preserve">, D., </w:t>
      </w:r>
      <w:proofErr w:type="spellStart"/>
      <w:r>
        <w:t>Agustsson</w:t>
      </w:r>
      <w:proofErr w:type="spellEnd"/>
      <w:r>
        <w:t xml:space="preserve">, E., &amp; </w:t>
      </w:r>
      <w:proofErr w:type="spellStart"/>
      <w:r>
        <w:t>Toderici</w:t>
      </w:r>
      <w:proofErr w:type="spellEnd"/>
      <w:r>
        <w:t>, G. (2023). Finite scalar quantization: VQ-VAE made simple. arXiv:2309.15505.</w:t>
      </w:r>
    </w:p>
    <w:p w14:paraId="5A15F862" w14:textId="77777777" w:rsidR="00EE11D1" w:rsidRDefault="00000000">
      <w:pPr>
        <w:spacing w:after="160" w:line="360" w:lineRule="auto"/>
      </w:pPr>
      <w:r>
        <w:t>Micheli, V., Alonso, E., &amp; Fleuret, F. (2023). Transformers are sample-efficient world models. ICLR.</w:t>
      </w:r>
    </w:p>
    <w:p w14:paraId="17E6A68A" w14:textId="77777777" w:rsidR="00EE11D1" w:rsidRDefault="00000000">
      <w:pPr>
        <w:spacing w:after="160" w:line="360" w:lineRule="auto"/>
      </w:pPr>
      <w:proofErr w:type="spellStart"/>
      <w:r>
        <w:t>Mnih</w:t>
      </w:r>
      <w:proofErr w:type="spellEnd"/>
      <w:r>
        <w:t xml:space="preserve">, V., </w:t>
      </w:r>
      <w:proofErr w:type="spellStart"/>
      <w:r>
        <w:t>Kavukcuoglu</w:t>
      </w:r>
      <w:proofErr w:type="spellEnd"/>
      <w:r>
        <w:t xml:space="preserve">, K., Silver, D., </w:t>
      </w:r>
      <w:proofErr w:type="spellStart"/>
      <w:r>
        <w:t>Rusu</w:t>
      </w:r>
      <w:proofErr w:type="spellEnd"/>
      <w:r>
        <w:t xml:space="preserve">, A. A., </w:t>
      </w:r>
      <w:proofErr w:type="spellStart"/>
      <w:r>
        <w:t>Veness</w:t>
      </w:r>
      <w:proofErr w:type="spellEnd"/>
      <w:r>
        <w:t xml:space="preserve">, J., Bellemare, M. G., Graves, A., </w:t>
      </w:r>
      <w:proofErr w:type="spellStart"/>
      <w:r>
        <w:t>Riedmiller</w:t>
      </w:r>
      <w:proofErr w:type="spellEnd"/>
      <w:r>
        <w:t xml:space="preserve">, M., </w:t>
      </w:r>
      <w:proofErr w:type="spellStart"/>
      <w:r>
        <w:t>Fidjeland</w:t>
      </w:r>
      <w:proofErr w:type="spellEnd"/>
      <w:r>
        <w:t xml:space="preserve">, A. K., </w:t>
      </w:r>
      <w:proofErr w:type="spellStart"/>
      <w:r>
        <w:t>Ostrovski</w:t>
      </w:r>
      <w:proofErr w:type="spellEnd"/>
      <w:r>
        <w:t xml:space="preserve">, G., Petersen, S., Beattie, C., Sadik, A., </w:t>
      </w:r>
      <w:proofErr w:type="spellStart"/>
      <w:r>
        <w:t>Antonoglou</w:t>
      </w:r>
      <w:proofErr w:type="spellEnd"/>
      <w:r>
        <w:t xml:space="preserve">, I., King, H., Kumaran, D., </w:t>
      </w:r>
      <w:proofErr w:type="spellStart"/>
      <w:r>
        <w:t>Wierstra</w:t>
      </w:r>
      <w:proofErr w:type="spellEnd"/>
      <w:r>
        <w:t>, D., Legg, S., &amp; Hassabis, D. (2015). Human-level control through deep reinforcement learning. Nature, 518, 529-533.</w:t>
      </w:r>
    </w:p>
    <w:p w14:paraId="068FB4EF" w14:textId="77777777" w:rsidR="00EE11D1" w:rsidRDefault="00000000">
      <w:pPr>
        <w:spacing w:after="160" w:line="360" w:lineRule="auto"/>
      </w:pPr>
      <w:r>
        <w:lastRenderedPageBreak/>
        <w:t xml:space="preserve">Ramesh, A., Pavlov, M., Goh, G., Gray, S., Voss, C., Radford, A., Chen, M., &amp; </w:t>
      </w:r>
      <w:proofErr w:type="spellStart"/>
      <w:r>
        <w:t>Sutskever</w:t>
      </w:r>
      <w:proofErr w:type="spellEnd"/>
      <w:r>
        <w:t>, I. (2021). Zero-shot text-to-image generation. ICML.</w:t>
      </w:r>
    </w:p>
    <w:p w14:paraId="521CDC29" w14:textId="77777777" w:rsidR="00EE11D1" w:rsidRDefault="00000000">
      <w:pPr>
        <w:spacing w:after="160" w:line="360" w:lineRule="auto"/>
      </w:pPr>
      <w:r>
        <w:t xml:space="preserve">Razavi, A., van den Oord, A., &amp; </w:t>
      </w:r>
      <w:proofErr w:type="spellStart"/>
      <w:r>
        <w:t>Vinyals</w:t>
      </w:r>
      <w:proofErr w:type="spellEnd"/>
      <w:r>
        <w:t xml:space="preserve">, O. (2019). Generating diverse high-fidelity images with VQ-VAE-2. </w:t>
      </w:r>
      <w:proofErr w:type="spellStart"/>
      <w:r>
        <w:t>NeurIPS</w:t>
      </w:r>
      <w:proofErr w:type="spellEnd"/>
      <w:r>
        <w:t>.</w:t>
      </w:r>
    </w:p>
    <w:p w14:paraId="3836F899" w14:textId="77777777" w:rsidR="00EE11D1" w:rsidRDefault="00000000">
      <w:pPr>
        <w:spacing w:after="160" w:line="360" w:lineRule="auto"/>
      </w:pPr>
      <w:r>
        <w:t xml:space="preserve">Reed, S., </w:t>
      </w:r>
      <w:proofErr w:type="spellStart"/>
      <w:r>
        <w:t>Zolna</w:t>
      </w:r>
      <w:proofErr w:type="spellEnd"/>
      <w:r>
        <w:t xml:space="preserve">, K., </w:t>
      </w:r>
      <w:proofErr w:type="spellStart"/>
      <w:r>
        <w:t>Parisotto</w:t>
      </w:r>
      <w:proofErr w:type="spellEnd"/>
      <w:r>
        <w:t xml:space="preserve">, E., </w:t>
      </w:r>
      <w:proofErr w:type="spellStart"/>
      <w:r>
        <w:t>Colmenarejo</w:t>
      </w:r>
      <w:proofErr w:type="spellEnd"/>
      <w:r>
        <w:t xml:space="preserve">, S. G., Novikov, A., Barth-Maron, G., Gimenez, M., </w:t>
      </w:r>
      <w:proofErr w:type="spellStart"/>
      <w:r>
        <w:t>Sulsky</w:t>
      </w:r>
      <w:proofErr w:type="spellEnd"/>
      <w:r>
        <w:t xml:space="preserve">, Y., Kay, J., </w:t>
      </w:r>
      <w:proofErr w:type="spellStart"/>
      <w:r>
        <w:t>Springenberg</w:t>
      </w:r>
      <w:proofErr w:type="spellEnd"/>
      <w:r>
        <w:t xml:space="preserve">, J. T., Eccles, T., Bruce, J., Razavi, A., Edwards, A., </w:t>
      </w:r>
      <w:proofErr w:type="spellStart"/>
      <w:r>
        <w:t>Heess</w:t>
      </w:r>
      <w:proofErr w:type="spellEnd"/>
      <w:r>
        <w:t xml:space="preserve">, N., Chen, Y., Hadsell, R., </w:t>
      </w:r>
      <w:proofErr w:type="spellStart"/>
      <w:r>
        <w:t>Vinyals</w:t>
      </w:r>
      <w:proofErr w:type="spellEnd"/>
      <w:r>
        <w:t>, O., Cabi, S., &amp; de Freitas, N. (2022). A generalist agent. TMLR.</w:t>
      </w:r>
    </w:p>
    <w:p w14:paraId="2FEBC80B" w14:textId="77777777" w:rsidR="00EE11D1" w:rsidRDefault="00000000">
      <w:pPr>
        <w:spacing w:after="160" w:line="360" w:lineRule="auto"/>
      </w:pPr>
      <w:r>
        <w:t xml:space="preserve">Schulman, J., Wolski, F., </w:t>
      </w:r>
      <w:proofErr w:type="spellStart"/>
      <w:r>
        <w:t>Dhariwal</w:t>
      </w:r>
      <w:proofErr w:type="spellEnd"/>
      <w:r>
        <w:t>, P., Radford, A., &amp; Klimov, O. (2017). Proximal policy optimization algorithms. arXiv:1707.06347.</w:t>
      </w:r>
    </w:p>
    <w:p w14:paraId="03662C43" w14:textId="77777777" w:rsidR="00EE11D1" w:rsidRDefault="00000000">
      <w:pPr>
        <w:spacing w:after="160" w:line="360" w:lineRule="auto"/>
      </w:pPr>
      <w:proofErr w:type="gramStart"/>
      <w:r>
        <w:rPr>
          <w:lang w:val="nl-NL"/>
        </w:rPr>
        <w:t>van</w:t>
      </w:r>
      <w:proofErr w:type="gramEnd"/>
      <w:r>
        <w:rPr>
          <w:lang w:val="nl-NL"/>
        </w:rPr>
        <w:t xml:space="preserve"> den Oord, A., </w:t>
      </w:r>
      <w:proofErr w:type="spellStart"/>
      <w:r>
        <w:rPr>
          <w:lang w:val="nl-NL"/>
        </w:rPr>
        <w:t>Vinyals</w:t>
      </w:r>
      <w:proofErr w:type="spellEnd"/>
      <w:r>
        <w:rPr>
          <w:lang w:val="nl-NL"/>
        </w:rPr>
        <w:t xml:space="preserve">, O., &amp; </w:t>
      </w:r>
      <w:proofErr w:type="spellStart"/>
      <w:r>
        <w:rPr>
          <w:lang w:val="nl-NL"/>
        </w:rPr>
        <w:t>Kavukcuoglu</w:t>
      </w:r>
      <w:proofErr w:type="spellEnd"/>
      <w:r>
        <w:rPr>
          <w:lang w:val="nl-NL"/>
        </w:rPr>
        <w:t xml:space="preserve">, K. (2017). </w:t>
      </w:r>
      <w:r>
        <w:t xml:space="preserve">Neural discrete representation learning. </w:t>
      </w:r>
      <w:proofErr w:type="spellStart"/>
      <w:r>
        <w:t>NeurIPS</w:t>
      </w:r>
      <w:proofErr w:type="spellEnd"/>
      <w:r>
        <w:t>.</w:t>
      </w:r>
    </w:p>
    <w:p w14:paraId="01BCA6CA" w14:textId="77777777" w:rsidR="00EE11D1" w:rsidRDefault="00000000">
      <w:pPr>
        <w:spacing w:after="160" w:line="360" w:lineRule="auto"/>
      </w:pPr>
      <w:r>
        <w:t>Fang, Z., &amp; Sims, C. R. (2025). Humans learn generalizable representations through efficient coding. Nature communications, 16(1), 3989. https://doi.org/10.1038/s41467-025-58848-6</w:t>
      </w:r>
    </w:p>
    <w:p w14:paraId="3D573972" w14:textId="77777777" w:rsidR="00EE11D1" w:rsidRDefault="00EE11D1">
      <w:pPr>
        <w:spacing w:after="80"/>
      </w:pPr>
    </w:p>
    <w:p w14:paraId="5643AEBF" w14:textId="77777777" w:rsidR="00EE11D1" w:rsidRDefault="00000000">
      <w:r>
        <w:br w:type="page"/>
      </w:r>
    </w:p>
    <w:p w14:paraId="7D93A82E" w14:textId="77777777" w:rsidR="00EE11D1" w:rsidRDefault="00000000">
      <w:pPr>
        <w:pStyle w:val="Heading1"/>
      </w:pPr>
      <w:r>
        <w:lastRenderedPageBreak/>
        <w:t>Appendix A: Hyperparameter Tables</w:t>
      </w:r>
    </w:p>
    <w:p w14:paraId="24A7E1E7" w14:textId="77777777" w:rsidR="00EE11D1" w:rsidRDefault="00000000">
      <w:pPr>
        <w:shd w:val="clear" w:color="auto" w:fill="FFF3CD"/>
        <w:spacing w:after="100"/>
        <w:ind w:left="360"/>
      </w:pPr>
      <w:r>
        <w:rPr>
          <w:i/>
          <w:iCs/>
          <w:color w:val="856404"/>
          <w:sz w:val="20"/>
          <w:szCs w:val="20"/>
        </w:rPr>
        <w:t>[SCAFFOLD: Add full hyperparameter tables for encoder training, PPO conditions, LSTM, Sentence Transformer.]</w:t>
      </w:r>
    </w:p>
    <w:p w14:paraId="579211B0" w14:textId="77777777" w:rsidR="00EE11D1" w:rsidRDefault="00EE11D1">
      <w:pPr>
        <w:spacing w:after="80"/>
      </w:pPr>
    </w:p>
    <w:p w14:paraId="19BD84AD" w14:textId="77777777" w:rsidR="00EE11D1" w:rsidRDefault="00000000">
      <w:pPr>
        <w:pStyle w:val="Heading1"/>
      </w:pPr>
      <w:r>
        <w:t>Appendix B: Additional Figures</w:t>
      </w:r>
    </w:p>
    <w:p w14:paraId="16979E5E" w14:textId="77777777" w:rsidR="00EE11D1" w:rsidRDefault="00000000">
      <w:pPr>
        <w:shd w:val="clear" w:color="auto" w:fill="FFF3CD"/>
        <w:spacing w:after="100"/>
        <w:ind w:left="360"/>
      </w:pPr>
      <w:r>
        <w:rPr>
          <w:i/>
          <w:iCs/>
          <w:color w:val="856404"/>
          <w:sz w:val="20"/>
          <w:szCs w:val="20"/>
        </w:rPr>
        <w:t>[SCAFFOLD: Add: token gallery (full, plots/edits01/token_gallery.png), semantic heatmap, PPO learning curves for all conditions, encoder training curves v1 vs v2.]</w:t>
      </w:r>
    </w:p>
    <w:sectPr w:rsidR="00EE11D1">
      <w:headerReference w:type="default" r:id="rId7"/>
      <w:footerReference w:type="default" r:id="rId8"/>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57FA8" w14:textId="77777777" w:rsidR="00AC374B" w:rsidRDefault="00AC374B">
      <w:r>
        <w:separator/>
      </w:r>
    </w:p>
  </w:endnote>
  <w:endnote w:type="continuationSeparator" w:id="0">
    <w:p w14:paraId="397FB5CD" w14:textId="77777777" w:rsidR="00AC374B" w:rsidRDefault="00AC3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E09A" w14:textId="77777777" w:rsidR="00EE11D1" w:rsidRDefault="00000000">
    <w:pPr>
      <w:pBdr>
        <w:top w:val="single" w:sz="2" w:space="4" w:color="AAAAAA"/>
      </w:pBdr>
      <w:jc w:val="center"/>
    </w:pPr>
    <w:r>
      <w:rPr>
        <w:color w:val="666666"/>
        <w:sz w:val="20"/>
        <w:szCs w:val="20"/>
      </w:rPr>
      <w:fldChar w:fldCharType="begin"/>
    </w:r>
    <w:r>
      <w:rPr>
        <w:color w:val="666666"/>
        <w:sz w:val="20"/>
        <w:szCs w:val="20"/>
      </w:rPr>
      <w:instrText xml:space="preserve"> PAGE </w:instrText>
    </w:r>
    <w:r>
      <w:rPr>
        <w:color w:val="666666"/>
        <w:sz w:val="20"/>
        <w:szCs w:val="20"/>
      </w:rPr>
      <w:fldChar w:fldCharType="separate"/>
    </w:r>
    <w:r>
      <w:rPr>
        <w:color w:val="666666"/>
        <w:sz w:val="20"/>
        <w:szCs w:val="20"/>
      </w:rPr>
      <w:t>10</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E8963" w14:textId="77777777" w:rsidR="00AC374B" w:rsidRDefault="00AC374B">
      <w:r>
        <w:separator/>
      </w:r>
    </w:p>
  </w:footnote>
  <w:footnote w:type="continuationSeparator" w:id="0">
    <w:p w14:paraId="60E215FD" w14:textId="77777777" w:rsidR="00AC374B" w:rsidRDefault="00AC3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8B97" w14:textId="77777777" w:rsidR="00EE11D1" w:rsidRDefault="00EE11D1">
    <w:pPr>
      <w:pBdr>
        <w:bottom w:val="single" w:sz="2" w:space="4" w:color="AAAAAA"/>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69C"/>
    <w:multiLevelType w:val="multilevel"/>
    <w:tmpl w:val="0324FE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AE109B"/>
    <w:multiLevelType w:val="multilevel"/>
    <w:tmpl w:val="55E812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79140BE"/>
    <w:multiLevelType w:val="multilevel"/>
    <w:tmpl w:val="02C45E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460340686">
    <w:abstractNumId w:val="1"/>
  </w:num>
  <w:num w:numId="2" w16cid:durableId="1927376944">
    <w:abstractNumId w:val="2"/>
  </w:num>
  <w:num w:numId="3" w16cid:durableId="4078462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non, R.S. (Rohan)">
    <w15:presenceInfo w15:providerId="AD" w15:userId="S::r.s.menon@student.vu.nl::940bba22-5336-4acb-8f03-8442c228eb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1"/>
    <w:rsid w:val="002A0215"/>
    <w:rsid w:val="002B3916"/>
    <w:rsid w:val="00AC374B"/>
    <w:rsid w:val="00D9601E"/>
    <w:rsid w:val="00E67709"/>
    <w:rsid w:val="00EE11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C0B5492"/>
  <w15:docId w15:val="{466F0FA6-F025-F648-B53F-964099A7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888888"/>
      </w:pBdr>
      <w:spacing w:before="480" w:after="160"/>
      <w:outlineLvl w:val="0"/>
    </w:pPr>
    <w:rPr>
      <w:b/>
      <w:bCs/>
      <w:sz w:val="32"/>
      <w:szCs w:val="32"/>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semiHidden/>
    <w:unhideWhenUsed/>
    <w:qFormat/>
    <w:pPr>
      <w:spacing w:before="2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HeaderChar">
    <w:name w:val="Header Char"/>
    <w:basedOn w:val="DefaultParagraphFont"/>
    <w:link w:val="Header"/>
    <w:uiPriority w:val="99"/>
    <w:qFormat/>
    <w:rsid w:val="00983428"/>
  </w:style>
  <w:style w:type="character" w:customStyle="1" w:styleId="FooterChar">
    <w:name w:val="Footer Char"/>
    <w:basedOn w:val="DefaultParagraphFont"/>
    <w:link w:val="Footer"/>
    <w:uiPriority w:val="99"/>
    <w:qFormat/>
    <w:rsid w:val="00983428"/>
  </w:style>
  <w:style w:type="character" w:styleId="CommentReference">
    <w:name w:val="annotation reference"/>
    <w:basedOn w:val="DefaultParagraphFont"/>
    <w:uiPriority w:val="99"/>
    <w:semiHidden/>
    <w:unhideWhenUsed/>
    <w:qFormat/>
    <w:rsid w:val="004327CE"/>
    <w:rPr>
      <w:sz w:val="16"/>
      <w:szCs w:val="16"/>
    </w:rPr>
  </w:style>
  <w:style w:type="character" w:customStyle="1" w:styleId="CommentTextChar">
    <w:name w:val="Comment Text Char"/>
    <w:basedOn w:val="DefaultParagraphFont"/>
    <w:link w:val="CommentText"/>
    <w:uiPriority w:val="99"/>
    <w:semiHidden/>
    <w:qFormat/>
    <w:rsid w:val="004327CE"/>
    <w:rPr>
      <w:sz w:val="20"/>
      <w:szCs w:val="20"/>
    </w:rPr>
  </w:style>
  <w:style w:type="character" w:customStyle="1" w:styleId="CommentSubjectChar">
    <w:name w:val="Comment Subject Char"/>
    <w:basedOn w:val="CommentTextChar"/>
    <w:link w:val="CommentSubject"/>
    <w:uiPriority w:val="99"/>
    <w:semiHidden/>
    <w:qFormat/>
    <w:rsid w:val="004327CE"/>
    <w:rPr>
      <w:b/>
      <w:bCs/>
      <w:sz w:val="20"/>
      <w:szCs w:val="20"/>
    </w:rPr>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83428"/>
    <w:pPr>
      <w:tabs>
        <w:tab w:val="center" w:pos="4680"/>
        <w:tab w:val="right" w:pos="9360"/>
      </w:tabs>
    </w:pPr>
  </w:style>
  <w:style w:type="paragraph" w:styleId="Footer">
    <w:name w:val="footer"/>
    <w:basedOn w:val="Normal"/>
    <w:link w:val="FooterChar"/>
    <w:uiPriority w:val="99"/>
    <w:unhideWhenUsed/>
    <w:rsid w:val="00983428"/>
    <w:pPr>
      <w:tabs>
        <w:tab w:val="center" w:pos="4680"/>
        <w:tab w:val="right" w:pos="9360"/>
      </w:tabs>
    </w:pPr>
  </w:style>
  <w:style w:type="paragraph" w:styleId="CommentText">
    <w:name w:val="annotation text"/>
    <w:basedOn w:val="Normal"/>
    <w:link w:val="CommentTextChar"/>
    <w:uiPriority w:val="99"/>
    <w:semiHidden/>
    <w:unhideWhenUsed/>
    <w:qFormat/>
    <w:rsid w:val="004327CE"/>
    <w:rPr>
      <w:sz w:val="20"/>
      <w:szCs w:val="20"/>
    </w:rPr>
  </w:style>
  <w:style w:type="paragraph" w:styleId="CommentSubject">
    <w:name w:val="annotation subject"/>
    <w:basedOn w:val="CommentText"/>
    <w:next w:val="CommentText"/>
    <w:link w:val="CommentSubjectChar"/>
    <w:uiPriority w:val="99"/>
    <w:semiHidden/>
    <w:unhideWhenUsed/>
    <w:qFormat/>
    <w:rsid w:val="004327CE"/>
    <w:rPr>
      <w:b/>
      <w:bCs/>
    </w:rPr>
  </w:style>
  <w:style w:type="paragraph" w:styleId="Revision">
    <w:name w:val="Revision"/>
    <w:hidden/>
    <w:uiPriority w:val="99"/>
    <w:semiHidden/>
    <w:rsid w:val="00D9601E"/>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1631</Words>
  <Characters>9297</Characters>
  <Application>Microsoft Office Word</Application>
  <DocSecurity>0</DocSecurity>
  <Lines>77</Lines>
  <Paragraphs>21</Paragraphs>
  <ScaleCrop>false</ScaleCrop>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Menon, R.S. (Rohan)</cp:lastModifiedBy>
  <cp:revision>3</cp:revision>
  <dcterms:created xsi:type="dcterms:W3CDTF">2026-05-31T20:40:00Z</dcterms:created>
  <dcterms:modified xsi:type="dcterms:W3CDTF">2026-06-09T13:17:00Z</dcterms:modified>
  <dc:language>en-US</dc:language>
</cp:coreProperties>
</file>