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9B60B" w14:textId="0B45F3C4" w:rsidR="0096517D" w:rsidRDefault="00000000">
      <w:pPr>
        <w:spacing w:after="60"/>
      </w:pPr>
      <w:r>
        <w:rPr>
          <w:rFonts w:ascii="Calibri" w:eastAsia="Calibri" w:hAnsi="Calibri" w:cs="Calibri"/>
          <w:b/>
          <w:bCs/>
          <w:sz w:val="32"/>
          <w:szCs w:val="32"/>
        </w:rPr>
        <w:t>Methods Section Draft Skeleton</w:t>
      </w:r>
    </w:p>
    <w:p w14:paraId="10551362" w14:textId="77777777" w:rsidR="0096517D" w:rsidRDefault="00000000">
      <w:pPr>
        <w:pStyle w:val="Heading1"/>
      </w:pPr>
      <w:r>
        <w:t>1. Sample</w:t>
      </w:r>
    </w:p>
    <w:p w14:paraId="2AD547E8" w14:textId="77777777" w:rsidR="0096517D" w:rsidRDefault="00000000">
      <w:pPr>
        <w:pStyle w:val="Heading2"/>
      </w:pPr>
      <w:r>
        <w:t>1.1 What the sample consists of</w:t>
      </w:r>
    </w:p>
    <w:p w14:paraId="533456B0" w14:textId="77777777" w:rsidR="0096517D" w:rsidRDefault="00000000">
      <w:pPr>
        <w:spacing w:after="140"/>
      </w:pPr>
      <w:r>
        <w:rPr>
          <w:rFonts w:ascii="Calibri" w:eastAsia="Calibri" w:hAnsi="Calibri" w:cs="Calibri"/>
          <w:sz w:val="22"/>
          <w:szCs w:val="22"/>
        </w:rPr>
        <w:t xml:space="preserve">The sample in this project is not a population of human participants but a set of environment trajectories — sequences of (observation, action, reward) tuples — collected from simulated reinforcement learning environments. The primary environment is </w:t>
      </w:r>
      <w:proofErr w:type="spellStart"/>
      <w:r>
        <w:rPr>
          <w:rFonts w:ascii="Calibri" w:eastAsia="Calibri" w:hAnsi="Calibri" w:cs="Calibri"/>
          <w:sz w:val="22"/>
          <w:szCs w:val="22"/>
        </w:rPr>
        <w:t>MiniGrid</w:t>
      </w:r>
      <w:proofErr w:type="spellEnd"/>
      <w:r>
        <w:rPr>
          <w:rFonts w:ascii="Calibri" w:eastAsia="Calibri" w:hAnsi="Calibri" w:cs="Calibri"/>
          <w:sz w:val="22"/>
          <w:szCs w:val="22"/>
        </w:rPr>
        <w:t xml:space="preserve"> (Chevalier-Boisvert et al., 2023), a lightweight </w:t>
      </w:r>
      <w:proofErr w:type="gramStart"/>
      <w:r>
        <w:rPr>
          <w:rFonts w:ascii="Calibri" w:eastAsia="Calibri" w:hAnsi="Calibri" w:cs="Calibri"/>
          <w:sz w:val="22"/>
          <w:szCs w:val="22"/>
        </w:rPr>
        <w:t>partially-observable</w:t>
      </w:r>
      <w:proofErr w:type="gramEnd"/>
      <w:r>
        <w:rPr>
          <w:rFonts w:ascii="Calibri" w:eastAsia="Calibri" w:hAnsi="Calibri" w:cs="Calibri"/>
          <w:sz w:val="22"/>
          <w:szCs w:val="22"/>
        </w:rPr>
        <w:t xml:space="preserve"> grid-world framework. A secondary candidate is </w:t>
      </w:r>
      <w:proofErr w:type="spellStart"/>
      <w:r>
        <w:rPr>
          <w:rFonts w:ascii="Calibri" w:eastAsia="Calibri" w:hAnsi="Calibri" w:cs="Calibri"/>
          <w:sz w:val="22"/>
          <w:szCs w:val="22"/>
        </w:rPr>
        <w:t>BabyAI</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Côté</w:t>
      </w:r>
      <w:proofErr w:type="spellEnd"/>
      <w:r>
        <w:rPr>
          <w:rFonts w:ascii="Calibri" w:eastAsia="Calibri" w:hAnsi="Calibri" w:cs="Calibri"/>
          <w:sz w:val="22"/>
          <w:szCs w:val="22"/>
        </w:rPr>
        <w:t xml:space="preserve"> et al., 2019), which builds on </w:t>
      </w:r>
      <w:proofErr w:type="spellStart"/>
      <w:r>
        <w:rPr>
          <w:rFonts w:ascii="Calibri" w:eastAsia="Calibri" w:hAnsi="Calibri" w:cs="Calibri"/>
          <w:sz w:val="22"/>
          <w:szCs w:val="22"/>
        </w:rPr>
        <w:t>MiniGrid</w:t>
      </w:r>
      <w:proofErr w:type="spellEnd"/>
      <w:r>
        <w:rPr>
          <w:rFonts w:ascii="Calibri" w:eastAsia="Calibri" w:hAnsi="Calibri" w:cs="Calibri"/>
          <w:sz w:val="22"/>
          <w:szCs w:val="22"/>
        </w:rPr>
        <w:t xml:space="preserve"> with natural-language instructions and more structured task hierarchies.</w:t>
      </w:r>
    </w:p>
    <w:p w14:paraId="19EE7BC0" w14:textId="77777777" w:rsidR="0096517D" w:rsidRDefault="00000000">
      <w:pPr>
        <w:spacing w:after="140"/>
      </w:pPr>
      <w:r>
        <w:rPr>
          <w:rFonts w:ascii="Calibri" w:eastAsia="Calibri" w:hAnsi="Calibri" w:cs="Calibri"/>
          <w:sz w:val="22"/>
          <w:szCs w:val="22"/>
        </w:rPr>
        <w:t>Trajectories will be collected across multiple distinct task configurations within the chosen environment (e.g. different grid layouts, object placements, goal positions) to ensure the encoder is not simply memorizing a single fixed layout.</w:t>
      </w:r>
    </w:p>
    <w:p w14:paraId="6D0E381C" w14:textId="77777777" w:rsidR="0096517D" w:rsidRDefault="00000000">
      <w:pPr>
        <w:pStyle w:val="Heading2"/>
      </w:pPr>
      <w:r>
        <w:t>1.2 Inclusion and exclusion criteria</w:t>
      </w:r>
    </w:p>
    <w:p w14:paraId="558B6F53" w14:textId="77777777" w:rsidR="0096517D" w:rsidRDefault="00000000">
      <w:pPr>
        <w:pStyle w:val="ListParagraph"/>
        <w:numPr>
          <w:ilvl w:val="0"/>
          <w:numId w:val="2"/>
        </w:numPr>
        <w:spacing w:after="80"/>
      </w:pPr>
      <w:r>
        <w:rPr>
          <w:rFonts w:ascii="Calibri" w:eastAsia="Calibri" w:hAnsi="Calibri" w:cs="Calibri"/>
          <w:b/>
          <w:bCs/>
          <w:sz w:val="22"/>
          <w:szCs w:val="22"/>
        </w:rPr>
        <w:t>Inclusion:</w:t>
      </w:r>
      <w:r>
        <w:rPr>
          <w:rFonts w:ascii="Calibri" w:eastAsia="Calibri" w:hAnsi="Calibri" w:cs="Calibri"/>
          <w:sz w:val="22"/>
          <w:szCs w:val="22"/>
        </w:rPr>
        <w:t xml:space="preserve">  environments with accessible ground-truth symbolic state descriptions (e.g. "door is locked", "agent carries key"). This is essential for the interpretability evaluation — without ground-truth labels there is no way to measure token-to-concept alignment.</w:t>
      </w:r>
    </w:p>
    <w:p w14:paraId="613AA53B" w14:textId="77777777" w:rsidR="0096517D" w:rsidRDefault="00000000">
      <w:pPr>
        <w:pStyle w:val="ListParagraph"/>
        <w:numPr>
          <w:ilvl w:val="0"/>
          <w:numId w:val="2"/>
        </w:numPr>
        <w:spacing w:after="80"/>
      </w:pPr>
      <w:r>
        <w:rPr>
          <w:rFonts w:ascii="Calibri" w:eastAsia="Calibri" w:hAnsi="Calibri" w:cs="Calibri"/>
          <w:b/>
          <w:bCs/>
          <w:sz w:val="22"/>
          <w:szCs w:val="22"/>
        </w:rPr>
        <w:t>Inclusion:</w:t>
      </w:r>
      <w:r>
        <w:rPr>
          <w:rFonts w:ascii="Calibri" w:eastAsia="Calibri" w:hAnsi="Calibri" w:cs="Calibri"/>
          <w:sz w:val="22"/>
          <w:szCs w:val="22"/>
        </w:rPr>
        <w:t xml:space="preserve">  tasks with partial observability, so that compression of observations is non-trivial.</w:t>
      </w:r>
    </w:p>
    <w:p w14:paraId="21E1BFB9" w14:textId="77777777" w:rsidR="0096517D" w:rsidRDefault="00000000">
      <w:pPr>
        <w:pStyle w:val="ListParagraph"/>
        <w:numPr>
          <w:ilvl w:val="0"/>
          <w:numId w:val="2"/>
        </w:numPr>
        <w:spacing w:after="80"/>
      </w:pPr>
      <w:r>
        <w:rPr>
          <w:rFonts w:ascii="Calibri" w:eastAsia="Calibri" w:hAnsi="Calibri" w:cs="Calibri"/>
          <w:b/>
          <w:bCs/>
          <w:sz w:val="22"/>
          <w:szCs w:val="22"/>
        </w:rPr>
        <w:t>Exclusion:</w:t>
      </w:r>
      <w:r>
        <w:rPr>
          <w:rFonts w:ascii="Calibri" w:eastAsia="Calibri" w:hAnsi="Calibri" w:cs="Calibri"/>
          <w:sz w:val="22"/>
          <w:szCs w:val="22"/>
        </w:rPr>
        <w:t xml:space="preserve">  environments without discrete, inspectable state factors (e.g. raw Atari games are excluded as a primary benchmark for this reason, though they may be used as a secondary benchmark).</w:t>
      </w:r>
    </w:p>
    <w:p w14:paraId="6C84D646" w14:textId="77777777" w:rsidR="0096517D" w:rsidRDefault="00000000">
      <w:pPr>
        <w:pStyle w:val="ListParagraph"/>
        <w:numPr>
          <w:ilvl w:val="0"/>
          <w:numId w:val="2"/>
        </w:numPr>
        <w:spacing w:after="80"/>
      </w:pPr>
      <w:r>
        <w:rPr>
          <w:rFonts w:ascii="Calibri" w:eastAsia="Calibri" w:hAnsi="Calibri" w:cs="Calibri"/>
          <w:b/>
          <w:bCs/>
          <w:sz w:val="22"/>
          <w:szCs w:val="22"/>
        </w:rPr>
        <w:t>Exclusion:</w:t>
      </w:r>
      <w:r>
        <w:rPr>
          <w:rFonts w:ascii="Calibri" w:eastAsia="Calibri" w:hAnsi="Calibri" w:cs="Calibri"/>
          <w:sz w:val="22"/>
          <w:szCs w:val="22"/>
        </w:rPr>
        <w:t xml:space="preserve">  tasks with excessively long horizons or sparse reward structures that would make training unstable within the compute budget.</w:t>
      </w:r>
    </w:p>
    <w:p w14:paraId="3F1D32DE" w14:textId="77777777" w:rsidR="0096517D" w:rsidRDefault="00000000">
      <w:pPr>
        <w:pStyle w:val="Heading2"/>
      </w:pPr>
      <w:r>
        <w:t>1.3 Sample size</w:t>
      </w:r>
    </w:p>
    <w:p w14:paraId="5E3536A7" w14:textId="77777777" w:rsidR="0096517D" w:rsidRDefault="00000000">
      <w:pPr>
        <w:spacing w:after="140"/>
      </w:pPr>
      <w:r>
        <w:rPr>
          <w:rFonts w:ascii="Calibri" w:eastAsia="Calibri" w:hAnsi="Calibri" w:cs="Calibri"/>
          <w:sz w:val="22"/>
          <w:szCs w:val="22"/>
        </w:rPr>
        <w:t xml:space="preserve">Following the convention in model-based RL literature, training will use a fixed environment interaction budget. IRIS (Micheli et al., 2023) uses 100,000 steps for Atari; </w:t>
      </w:r>
      <w:proofErr w:type="spellStart"/>
      <w:r>
        <w:rPr>
          <w:rFonts w:ascii="Calibri" w:eastAsia="Calibri" w:hAnsi="Calibri" w:cs="Calibri"/>
          <w:sz w:val="22"/>
          <w:szCs w:val="22"/>
        </w:rPr>
        <w:t>MiniGrid</w:t>
      </w:r>
      <w:proofErr w:type="spellEnd"/>
      <w:r>
        <w:rPr>
          <w:rFonts w:ascii="Calibri" w:eastAsia="Calibri" w:hAnsi="Calibri" w:cs="Calibri"/>
          <w:sz w:val="22"/>
          <w:szCs w:val="22"/>
        </w:rPr>
        <w:t xml:space="preserve"> episodes are shorter and simpler, so a smaller budget is likely sufficient. The exact budget will be determined after initial pilot runs.</w:t>
      </w:r>
    </w:p>
    <w:p w14:paraId="3A7E93DD" w14:textId="77777777" w:rsidR="0096517D" w:rsidRDefault="00000000">
      <w:pPr>
        <w:spacing w:after="140"/>
      </w:pPr>
      <w:r>
        <w:rPr>
          <w:rFonts w:ascii="Calibri" w:eastAsia="Calibri" w:hAnsi="Calibri" w:cs="Calibri"/>
          <w:sz w:val="22"/>
          <w:szCs w:val="22"/>
        </w:rPr>
        <w:t xml:space="preserve">All experiments will be repeated across at least five random seeds to obtain statistically meaningful estimates. This follows the recommendation in Agarwal et al. (2021), which argues that fewer than five seeds </w:t>
      </w:r>
      <w:proofErr w:type="gramStart"/>
      <w:r>
        <w:rPr>
          <w:rFonts w:ascii="Calibri" w:eastAsia="Calibri" w:hAnsi="Calibri" w:cs="Calibri"/>
          <w:sz w:val="22"/>
          <w:szCs w:val="22"/>
        </w:rPr>
        <w:t>produces</w:t>
      </w:r>
      <w:proofErr w:type="gramEnd"/>
      <w:r>
        <w:rPr>
          <w:rFonts w:ascii="Calibri" w:eastAsia="Calibri" w:hAnsi="Calibri" w:cs="Calibri"/>
          <w:sz w:val="22"/>
          <w:szCs w:val="22"/>
        </w:rPr>
        <w:t xml:space="preserve"> unreliable RL benchmarks.</w:t>
      </w:r>
    </w:p>
    <w:p w14:paraId="24FB4E0B" w14:textId="77777777" w:rsidR="0096517D" w:rsidRDefault="00000000">
      <w:pPr>
        <w:spacing w:after="100"/>
        <w:ind w:left="360"/>
      </w:pPr>
      <w:r>
        <w:rPr>
          <w:rFonts w:ascii="Calibri" w:eastAsia="Calibri" w:hAnsi="Calibri" w:cs="Calibri"/>
          <w:i/>
          <w:iCs/>
          <w:color w:val="888888"/>
        </w:rPr>
        <w:t>[TODO: Confirm exact step budget after pilot experiment. Report as a table of descriptive statistics (tasks, seeds, steps per seed, total environment interactions).]</w:t>
      </w:r>
    </w:p>
    <w:p w14:paraId="57EDBDC8" w14:textId="77777777" w:rsidR="0096517D" w:rsidRDefault="00000000">
      <w:pPr>
        <w:pStyle w:val="Heading2"/>
      </w:pPr>
      <w:r>
        <w:t>1.4 Justification</w:t>
      </w:r>
    </w:p>
    <w:p w14:paraId="56968DED" w14:textId="77777777" w:rsidR="0096517D" w:rsidRDefault="00000000">
      <w:pPr>
        <w:pStyle w:val="ListParagraph"/>
        <w:numPr>
          <w:ilvl w:val="0"/>
          <w:numId w:val="2"/>
        </w:numPr>
        <w:spacing w:after="80"/>
      </w:pPr>
      <w:proofErr w:type="spellStart"/>
      <w:r>
        <w:rPr>
          <w:rFonts w:ascii="Calibri" w:eastAsia="Calibri" w:hAnsi="Calibri" w:cs="Calibri"/>
          <w:sz w:val="22"/>
          <w:szCs w:val="22"/>
        </w:rPr>
        <w:t>MiniGrid</w:t>
      </w:r>
      <w:proofErr w:type="spellEnd"/>
      <w:r>
        <w:rPr>
          <w:rFonts w:ascii="Calibri" w:eastAsia="Calibri" w:hAnsi="Calibri" w:cs="Calibri"/>
          <w:sz w:val="22"/>
          <w:szCs w:val="22"/>
        </w:rPr>
        <w:t>/</w:t>
      </w:r>
      <w:proofErr w:type="spellStart"/>
      <w:r>
        <w:rPr>
          <w:rFonts w:ascii="Calibri" w:eastAsia="Calibri" w:hAnsi="Calibri" w:cs="Calibri"/>
          <w:sz w:val="22"/>
          <w:szCs w:val="22"/>
        </w:rPr>
        <w:t>BabyAI</w:t>
      </w:r>
      <w:proofErr w:type="spellEnd"/>
      <w:r>
        <w:rPr>
          <w:rFonts w:ascii="Calibri" w:eastAsia="Calibri" w:hAnsi="Calibri" w:cs="Calibri"/>
          <w:sz w:val="22"/>
          <w:szCs w:val="22"/>
        </w:rPr>
        <w:t xml:space="preserve"> is chosen over richer environments (Atari, </w:t>
      </w:r>
      <w:proofErr w:type="spellStart"/>
      <w:r>
        <w:rPr>
          <w:rFonts w:ascii="Calibri" w:eastAsia="Calibri" w:hAnsi="Calibri" w:cs="Calibri"/>
          <w:sz w:val="22"/>
          <w:szCs w:val="22"/>
        </w:rPr>
        <w:t>DMControl</w:t>
      </w:r>
      <w:proofErr w:type="spellEnd"/>
      <w:r>
        <w:rPr>
          <w:rFonts w:ascii="Calibri" w:eastAsia="Calibri" w:hAnsi="Calibri" w:cs="Calibri"/>
          <w:sz w:val="22"/>
          <w:szCs w:val="22"/>
        </w:rPr>
        <w:t>, Minecraft) specifically because ground-truth semantic state labels are programmatically accessible. This is a deliberate design choice tied directly to RQ5 (interpretability): measuring token-to-concept alignment requires a ground truth to probe against.</w:t>
      </w:r>
    </w:p>
    <w:p w14:paraId="68CFA8FE" w14:textId="77777777" w:rsidR="0096517D" w:rsidRDefault="00000000">
      <w:pPr>
        <w:pStyle w:val="ListParagraph"/>
        <w:numPr>
          <w:ilvl w:val="0"/>
          <w:numId w:val="2"/>
        </w:numPr>
        <w:spacing w:after="80"/>
      </w:pPr>
      <w:r>
        <w:rPr>
          <w:rFonts w:ascii="Calibri" w:eastAsia="Calibri" w:hAnsi="Calibri" w:cs="Calibri"/>
          <w:sz w:val="22"/>
          <w:szCs w:val="22"/>
        </w:rPr>
        <w:t xml:space="preserve">Using multiple task layouts within </w:t>
      </w:r>
      <w:proofErr w:type="spellStart"/>
      <w:r>
        <w:rPr>
          <w:rFonts w:ascii="Calibri" w:eastAsia="Calibri" w:hAnsi="Calibri" w:cs="Calibri"/>
          <w:sz w:val="22"/>
          <w:szCs w:val="22"/>
        </w:rPr>
        <w:t>MiniGrid</w:t>
      </w:r>
      <w:proofErr w:type="spellEnd"/>
      <w:r>
        <w:rPr>
          <w:rFonts w:ascii="Calibri" w:eastAsia="Calibri" w:hAnsi="Calibri" w:cs="Calibri"/>
          <w:sz w:val="22"/>
          <w:szCs w:val="22"/>
        </w:rPr>
        <w:t>, rather than a single fixed layout, reduces the risk that the encoder learns task-specific shortcuts. This is linked to RQ4 (generalization).</w:t>
      </w:r>
    </w:p>
    <w:p w14:paraId="019307B2" w14:textId="77777777" w:rsidR="0096517D" w:rsidRDefault="00000000">
      <w:pPr>
        <w:pStyle w:val="ListParagraph"/>
        <w:numPr>
          <w:ilvl w:val="0"/>
          <w:numId w:val="2"/>
        </w:numPr>
        <w:spacing w:after="80"/>
      </w:pPr>
      <w:r>
        <w:rPr>
          <w:rFonts w:ascii="Calibri" w:eastAsia="Calibri" w:hAnsi="Calibri" w:cs="Calibri"/>
          <w:sz w:val="22"/>
          <w:szCs w:val="22"/>
        </w:rPr>
        <w:lastRenderedPageBreak/>
        <w:t>The choice of a simulated environment rather than real-world data is a practical constraint: real robotic or sensor data at sufficient scale is not feasible within a bachelor thesis timeline, and simulation provides the controlled conditions needed for fair baseline comparisons.</w:t>
      </w:r>
    </w:p>
    <w:p w14:paraId="009AEEF7" w14:textId="77777777" w:rsidR="0096517D" w:rsidRDefault="00000000">
      <w:pPr>
        <w:pStyle w:val="ListParagraph"/>
        <w:numPr>
          <w:ilvl w:val="0"/>
          <w:numId w:val="2"/>
        </w:numPr>
        <w:spacing w:after="80"/>
      </w:pPr>
      <w:r>
        <w:rPr>
          <w:rFonts w:ascii="Calibri" w:eastAsia="Calibri" w:hAnsi="Calibri" w:cs="Calibri"/>
          <w:sz w:val="22"/>
          <w:szCs w:val="22"/>
        </w:rPr>
        <w:t xml:space="preserve">Potential sampling bias: trajectories collected by a random policy may under-represent rare but semantically important states (e.g. states where a key has just been picked up). Mitigation: also collect trajectories from a </w:t>
      </w:r>
      <w:proofErr w:type="gramStart"/>
      <w:r>
        <w:rPr>
          <w:rFonts w:ascii="Calibri" w:eastAsia="Calibri" w:hAnsi="Calibri" w:cs="Calibri"/>
          <w:sz w:val="22"/>
          <w:szCs w:val="22"/>
        </w:rPr>
        <w:t>partially-trained</w:t>
      </w:r>
      <w:proofErr w:type="gramEnd"/>
      <w:r>
        <w:rPr>
          <w:rFonts w:ascii="Calibri" w:eastAsia="Calibri" w:hAnsi="Calibri" w:cs="Calibri"/>
          <w:sz w:val="22"/>
          <w:szCs w:val="22"/>
        </w:rPr>
        <w:t xml:space="preserve"> policy to improve state coverage. This will be assessed by checking the distribution of ground-truth labels across the collected dataset.</w:t>
      </w:r>
    </w:p>
    <w:p w14:paraId="52CE2F28" w14:textId="77777777" w:rsidR="0096517D" w:rsidRDefault="0096517D">
      <w:pPr>
        <w:spacing w:after="80"/>
      </w:pPr>
    </w:p>
    <w:p w14:paraId="4AF3E410" w14:textId="77777777" w:rsidR="0096517D" w:rsidRDefault="00000000">
      <w:pPr>
        <w:pStyle w:val="Heading1"/>
      </w:pPr>
      <w:r>
        <w:t>2. Tools and Infrastructure</w:t>
      </w:r>
    </w:p>
    <w:p w14:paraId="098112D5" w14:textId="77777777" w:rsidR="0096517D" w:rsidRDefault="00000000">
      <w:pPr>
        <w:pStyle w:val="Heading2"/>
      </w:pPr>
      <w:r>
        <w:t>2.1 Simulation environment</w:t>
      </w:r>
    </w:p>
    <w:p w14:paraId="37BC20C3" w14:textId="77777777" w:rsidR="0096517D" w:rsidRDefault="00000000">
      <w:pPr>
        <w:pStyle w:val="ListParagraph"/>
        <w:numPr>
          <w:ilvl w:val="0"/>
          <w:numId w:val="2"/>
        </w:numPr>
        <w:spacing w:after="80"/>
      </w:pPr>
      <w:proofErr w:type="spellStart"/>
      <w:r>
        <w:rPr>
          <w:rFonts w:ascii="Calibri" w:eastAsia="Calibri" w:hAnsi="Calibri" w:cs="Calibri"/>
          <w:b/>
          <w:bCs/>
          <w:sz w:val="22"/>
          <w:szCs w:val="22"/>
        </w:rPr>
        <w:t>MiniGrid</w:t>
      </w:r>
      <w:proofErr w:type="spellEnd"/>
      <w:r>
        <w:rPr>
          <w:rFonts w:ascii="Calibri" w:eastAsia="Calibri" w:hAnsi="Calibri" w:cs="Calibri"/>
          <w:b/>
          <w:bCs/>
          <w:sz w:val="22"/>
          <w:szCs w:val="22"/>
        </w:rPr>
        <w:t xml:space="preserve"> / </w:t>
      </w:r>
      <w:proofErr w:type="spellStart"/>
      <w:r>
        <w:rPr>
          <w:rFonts w:ascii="Calibri" w:eastAsia="Calibri" w:hAnsi="Calibri" w:cs="Calibri"/>
          <w:b/>
          <w:bCs/>
          <w:sz w:val="22"/>
          <w:szCs w:val="22"/>
        </w:rPr>
        <w:t>BabyAI</w:t>
      </w:r>
      <w:proofErr w:type="spellEnd"/>
      <w:r>
        <w:rPr>
          <w:rFonts w:ascii="Calibri" w:eastAsia="Calibri" w:hAnsi="Calibri" w:cs="Calibri"/>
          <w:sz w:val="22"/>
          <w:szCs w:val="22"/>
        </w:rPr>
        <w:t xml:space="preserve"> (Chevalier-Boisvert et al., 2023): open-source Python library, widely used in RL research. Provides partial-view RGB image observations and programmatic access to symbolic state descriptions. Used as the primary data source and evaluation environment.</w:t>
      </w:r>
    </w:p>
    <w:p w14:paraId="4741B933" w14:textId="77777777" w:rsidR="0096517D" w:rsidRDefault="00000000">
      <w:pPr>
        <w:pStyle w:val="ListParagraph"/>
        <w:numPr>
          <w:ilvl w:val="0"/>
          <w:numId w:val="2"/>
        </w:numPr>
        <w:spacing w:after="80"/>
      </w:pPr>
      <w:r>
        <w:rPr>
          <w:rFonts w:ascii="Calibri" w:eastAsia="Calibri" w:hAnsi="Calibri" w:cs="Calibri"/>
          <w:sz w:val="22"/>
          <w:szCs w:val="22"/>
        </w:rPr>
        <w:t xml:space="preserve">The environment is not modified. Standard task variants (e.g. </w:t>
      </w:r>
      <w:proofErr w:type="spellStart"/>
      <w:r>
        <w:rPr>
          <w:rFonts w:ascii="Calibri" w:eastAsia="Calibri" w:hAnsi="Calibri" w:cs="Calibri"/>
          <w:sz w:val="22"/>
          <w:szCs w:val="22"/>
        </w:rPr>
        <w:t>FourRooms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DoorKey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UnlockPickup</w:t>
      </w:r>
      <w:proofErr w:type="spellEnd"/>
      <w:r>
        <w:rPr>
          <w:rFonts w:ascii="Calibri" w:eastAsia="Calibri" w:hAnsi="Calibri" w:cs="Calibri"/>
          <w:sz w:val="22"/>
          <w:szCs w:val="22"/>
        </w:rPr>
        <w:t>) will be used to provide task diversity.</w:t>
      </w:r>
    </w:p>
    <w:p w14:paraId="3F6AA3A2" w14:textId="77777777" w:rsidR="0096517D" w:rsidRDefault="00000000">
      <w:pPr>
        <w:spacing w:after="100"/>
        <w:ind w:left="360"/>
      </w:pPr>
      <w:r>
        <w:rPr>
          <w:rFonts w:ascii="Calibri" w:eastAsia="Calibri" w:hAnsi="Calibri" w:cs="Calibri"/>
          <w:i/>
          <w:iCs/>
          <w:color w:val="888888"/>
        </w:rPr>
        <w:t xml:space="preserve">[TODO: Select final set of </w:t>
      </w:r>
      <w:proofErr w:type="spellStart"/>
      <w:r>
        <w:rPr>
          <w:rFonts w:ascii="Calibri" w:eastAsia="Calibri" w:hAnsi="Calibri" w:cs="Calibri"/>
          <w:i/>
          <w:iCs/>
          <w:color w:val="888888"/>
        </w:rPr>
        <w:t>MiniGrid</w:t>
      </w:r>
      <w:proofErr w:type="spellEnd"/>
      <w:r>
        <w:rPr>
          <w:rFonts w:ascii="Calibri" w:eastAsia="Calibri" w:hAnsi="Calibri" w:cs="Calibri"/>
          <w:i/>
          <w:iCs/>
          <w:color w:val="888888"/>
        </w:rPr>
        <w:t xml:space="preserve"> tasks — aim for tasks that exercise different semantic state factors (locking, carrying, navigating).]</w:t>
      </w:r>
    </w:p>
    <w:p w14:paraId="791449FA" w14:textId="77777777" w:rsidR="0096517D" w:rsidRDefault="00000000">
      <w:pPr>
        <w:pStyle w:val="Heading2"/>
      </w:pPr>
      <w:r>
        <w:t>2.2 Model implementation</w:t>
      </w:r>
    </w:p>
    <w:p w14:paraId="1A66EAA4" w14:textId="77777777" w:rsidR="0096517D" w:rsidRDefault="00000000">
      <w:pPr>
        <w:pStyle w:val="ListParagraph"/>
        <w:numPr>
          <w:ilvl w:val="0"/>
          <w:numId w:val="2"/>
        </w:numPr>
        <w:spacing w:after="80"/>
      </w:pPr>
      <w:proofErr w:type="spellStart"/>
      <w:r>
        <w:rPr>
          <w:rFonts w:ascii="Calibri" w:eastAsia="Calibri" w:hAnsi="Calibri" w:cs="Calibri"/>
          <w:b/>
          <w:bCs/>
          <w:sz w:val="22"/>
          <w:szCs w:val="22"/>
        </w:rPr>
        <w:t>PyTorch</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Paszke</w:t>
      </w:r>
      <w:proofErr w:type="spellEnd"/>
      <w:r>
        <w:rPr>
          <w:rFonts w:ascii="Calibri" w:eastAsia="Calibri" w:hAnsi="Calibri" w:cs="Calibri"/>
          <w:sz w:val="22"/>
          <w:szCs w:val="22"/>
        </w:rPr>
        <w:t xml:space="preserve"> et al., 2019): standard deep learning framework. All encoder, decoder, and planning components will be implemented in </w:t>
      </w:r>
      <w:proofErr w:type="spellStart"/>
      <w:r>
        <w:rPr>
          <w:rFonts w:ascii="Calibri" w:eastAsia="Calibri" w:hAnsi="Calibri" w:cs="Calibri"/>
          <w:sz w:val="22"/>
          <w:szCs w:val="22"/>
        </w:rPr>
        <w:t>PyTorch</w:t>
      </w:r>
      <w:proofErr w:type="spellEnd"/>
      <w:r>
        <w:rPr>
          <w:rFonts w:ascii="Calibri" w:eastAsia="Calibri" w:hAnsi="Calibri" w:cs="Calibri"/>
          <w:sz w:val="22"/>
          <w:szCs w:val="22"/>
        </w:rPr>
        <w:t xml:space="preserve">. Chosen for its flexibility and its prevalence in the RL research community (IRIS, DreamerV3, and most comparison baselines use </w:t>
      </w:r>
      <w:proofErr w:type="spellStart"/>
      <w:r>
        <w:rPr>
          <w:rFonts w:ascii="Calibri" w:eastAsia="Calibri" w:hAnsi="Calibri" w:cs="Calibri"/>
          <w:sz w:val="22"/>
          <w:szCs w:val="22"/>
        </w:rPr>
        <w:t>PyTorch</w:t>
      </w:r>
      <w:proofErr w:type="spellEnd"/>
      <w:r>
        <w:rPr>
          <w:rFonts w:ascii="Calibri" w:eastAsia="Calibri" w:hAnsi="Calibri" w:cs="Calibri"/>
          <w:sz w:val="22"/>
          <w:szCs w:val="22"/>
        </w:rPr>
        <w:t>).</w:t>
      </w:r>
    </w:p>
    <w:p w14:paraId="794461ED" w14:textId="77777777" w:rsidR="0096517D" w:rsidRDefault="00000000">
      <w:pPr>
        <w:pStyle w:val="ListParagraph"/>
        <w:numPr>
          <w:ilvl w:val="0"/>
          <w:numId w:val="2"/>
        </w:numPr>
        <w:spacing w:after="80"/>
      </w:pPr>
      <w:r>
        <w:rPr>
          <w:rFonts w:ascii="Calibri" w:eastAsia="Calibri" w:hAnsi="Calibri" w:cs="Calibri"/>
          <w:b/>
          <w:bCs/>
          <w:sz w:val="22"/>
          <w:szCs w:val="22"/>
        </w:rPr>
        <w:t>Gymnasium</w:t>
      </w:r>
      <w:r>
        <w:rPr>
          <w:rFonts w:ascii="Calibri" w:eastAsia="Calibri" w:hAnsi="Calibri" w:cs="Calibri"/>
          <w:sz w:val="22"/>
          <w:szCs w:val="22"/>
        </w:rPr>
        <w:t xml:space="preserve"> (Towers et al., 2023): standard RL environment interface used for all environment interactions.</w:t>
      </w:r>
    </w:p>
    <w:p w14:paraId="4F6DC4D2" w14:textId="77777777" w:rsidR="0096517D" w:rsidRDefault="00000000">
      <w:pPr>
        <w:pStyle w:val="ListParagraph"/>
        <w:numPr>
          <w:ilvl w:val="0"/>
          <w:numId w:val="2"/>
        </w:numPr>
        <w:spacing w:after="80"/>
      </w:pPr>
      <w:r>
        <w:rPr>
          <w:rFonts w:ascii="Calibri" w:eastAsia="Calibri" w:hAnsi="Calibri" w:cs="Calibri"/>
          <w:b/>
          <w:bCs/>
          <w:sz w:val="22"/>
          <w:szCs w:val="22"/>
        </w:rPr>
        <w:t>Transformer encoder</w:t>
      </w:r>
      <w:r>
        <w:rPr>
          <w:rFonts w:ascii="Calibri" w:eastAsia="Calibri" w:hAnsi="Calibri" w:cs="Calibri"/>
          <w:sz w:val="22"/>
          <w:szCs w:val="22"/>
        </w:rPr>
        <w:t xml:space="preserve">: implemented using </w:t>
      </w:r>
      <w:proofErr w:type="spellStart"/>
      <w:r>
        <w:rPr>
          <w:rFonts w:ascii="Calibri" w:eastAsia="Calibri" w:hAnsi="Calibri" w:cs="Calibri"/>
          <w:sz w:val="22"/>
          <w:szCs w:val="22"/>
        </w:rPr>
        <w:t>PyTorch's</w:t>
      </w:r>
      <w:proofErr w:type="spellEnd"/>
      <w:r>
        <w:rPr>
          <w:rFonts w:ascii="Calibri" w:eastAsia="Calibri" w:hAnsi="Calibri" w:cs="Calibri"/>
          <w:sz w:val="22"/>
          <w:szCs w:val="22"/>
        </w:rPr>
        <w:t xml:space="preserve"> built-in </w:t>
      </w:r>
      <w:proofErr w:type="spellStart"/>
      <w:proofErr w:type="gramStart"/>
      <w:r>
        <w:rPr>
          <w:rFonts w:ascii="Calibri" w:eastAsia="Calibri" w:hAnsi="Calibri" w:cs="Calibri"/>
          <w:sz w:val="22"/>
          <w:szCs w:val="22"/>
        </w:rPr>
        <w:t>nn.TransformerEncoder</w:t>
      </w:r>
      <w:proofErr w:type="spellEnd"/>
      <w:proofErr w:type="gramEnd"/>
      <w:r>
        <w:rPr>
          <w:rFonts w:ascii="Calibri" w:eastAsia="Calibri" w:hAnsi="Calibri" w:cs="Calibri"/>
          <w:sz w:val="22"/>
          <w:szCs w:val="22"/>
        </w:rPr>
        <w:t xml:space="preserve"> module or a custom implementation following the architecture in IRIS (Micheli et al., 2023). Architecture details (number of layers, attention heads, embedding dimension) are hyperparameters to be tuned.</w:t>
      </w:r>
    </w:p>
    <w:p w14:paraId="41249291" w14:textId="77777777" w:rsidR="0096517D" w:rsidRDefault="00000000">
      <w:pPr>
        <w:pStyle w:val="ListParagraph"/>
        <w:numPr>
          <w:ilvl w:val="0"/>
          <w:numId w:val="2"/>
        </w:numPr>
        <w:spacing w:after="80"/>
      </w:pPr>
      <w:r>
        <w:rPr>
          <w:rFonts w:ascii="Calibri" w:eastAsia="Calibri" w:hAnsi="Calibri" w:cs="Calibri"/>
          <w:b/>
          <w:bCs/>
          <w:sz w:val="22"/>
          <w:szCs w:val="22"/>
        </w:rPr>
        <w:t>VQ discretization module</w:t>
      </w:r>
      <w:r>
        <w:rPr>
          <w:rFonts w:ascii="Calibri" w:eastAsia="Calibri" w:hAnsi="Calibri" w:cs="Calibri"/>
          <w:sz w:val="22"/>
          <w:szCs w:val="22"/>
        </w:rPr>
        <w:t>: codebook-based quantization with straight-through gradient estimator, following van den Oord et al. (2017). EMA codebook updates (as in VQ-VAE-2, Razavi et al., 2019) will be used by default to reduce collapse risk. FSQ (Mentzer et al., 2023) will be considered as a fallback if collapse persists.</w:t>
      </w:r>
    </w:p>
    <w:p w14:paraId="33179C31" w14:textId="77777777" w:rsidR="0096517D" w:rsidRDefault="00000000">
      <w:pPr>
        <w:spacing w:after="100"/>
        <w:ind w:left="360"/>
      </w:pPr>
      <w:r>
        <w:rPr>
          <w:rFonts w:ascii="Calibri" w:eastAsia="Calibri" w:hAnsi="Calibri" w:cs="Calibri"/>
          <w:i/>
          <w:iCs/>
          <w:color w:val="888888"/>
        </w:rPr>
        <w:t>[TODO: Specify hardware (GPU model, VRAM). Report training times in appendix.]</w:t>
      </w:r>
    </w:p>
    <w:p w14:paraId="2BCFE3A3" w14:textId="77777777" w:rsidR="0096517D" w:rsidRDefault="00000000">
      <w:pPr>
        <w:pStyle w:val="Heading2"/>
      </w:pPr>
      <w:r>
        <w:t>2.3 Evaluation and probing tools</w:t>
      </w:r>
    </w:p>
    <w:p w14:paraId="615CA3E7" w14:textId="77777777" w:rsidR="0096517D" w:rsidRDefault="00000000">
      <w:pPr>
        <w:pStyle w:val="ListParagraph"/>
        <w:numPr>
          <w:ilvl w:val="0"/>
          <w:numId w:val="2"/>
        </w:numPr>
        <w:spacing w:after="80"/>
      </w:pPr>
      <w:r>
        <w:rPr>
          <w:rFonts w:ascii="Calibri" w:eastAsia="Calibri" w:hAnsi="Calibri" w:cs="Calibri"/>
          <w:sz w:val="22"/>
          <w:szCs w:val="22"/>
        </w:rPr>
        <w:t>Linear probing classifier (</w:t>
      </w:r>
      <w:proofErr w:type="spellStart"/>
      <w:r>
        <w:rPr>
          <w:rFonts w:ascii="Calibri" w:eastAsia="Calibri" w:hAnsi="Calibri" w:cs="Calibri"/>
          <w:sz w:val="22"/>
          <w:szCs w:val="22"/>
        </w:rPr>
        <w:t>sklearn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LogisticRegression</w:t>
      </w:r>
      <w:proofErr w:type="spellEnd"/>
      <w:r>
        <w:rPr>
          <w:rFonts w:ascii="Calibri" w:eastAsia="Calibri" w:hAnsi="Calibri" w:cs="Calibri"/>
          <w:sz w:val="22"/>
          <w:szCs w:val="22"/>
        </w:rPr>
        <w:t>): trained on frozen token indices to predict ground-truth semantic labels. Following the methodology of Alain &amp; Bengio (2017). Chosen because a linear probe specifically tests whether the information is linearly decodable from the representation, which is the standard interpretability criterion.</w:t>
      </w:r>
    </w:p>
    <w:p w14:paraId="3A08BDE5" w14:textId="77777777" w:rsidR="0096517D" w:rsidRDefault="00000000">
      <w:pPr>
        <w:pStyle w:val="ListParagraph"/>
        <w:numPr>
          <w:ilvl w:val="0"/>
          <w:numId w:val="2"/>
        </w:numPr>
        <w:spacing w:after="80"/>
      </w:pPr>
      <w:r>
        <w:rPr>
          <w:rFonts w:ascii="Calibri" w:eastAsia="Calibri" w:hAnsi="Calibri" w:cs="Calibri"/>
          <w:sz w:val="22"/>
          <w:szCs w:val="22"/>
        </w:rPr>
        <w:lastRenderedPageBreak/>
        <w:t xml:space="preserve">Custom token </w:t>
      </w:r>
      <w:proofErr w:type="spellStart"/>
      <w:r>
        <w:rPr>
          <w:rFonts w:ascii="Calibri" w:eastAsia="Calibri" w:hAnsi="Calibri" w:cs="Calibri"/>
          <w:sz w:val="22"/>
          <w:szCs w:val="22"/>
        </w:rPr>
        <w:t>visualisation</w:t>
      </w:r>
      <w:proofErr w:type="spellEnd"/>
      <w:r>
        <w:rPr>
          <w:rFonts w:ascii="Calibri" w:eastAsia="Calibri" w:hAnsi="Calibri" w:cs="Calibri"/>
          <w:sz w:val="22"/>
          <w:szCs w:val="22"/>
        </w:rPr>
        <w:t xml:space="preserve"> tool: maps codebook entries back to their most-activating observations using nearest-</w:t>
      </w:r>
      <w:proofErr w:type="spellStart"/>
      <w:r>
        <w:rPr>
          <w:rFonts w:ascii="Calibri" w:eastAsia="Calibri" w:hAnsi="Calibri" w:cs="Calibri"/>
          <w:sz w:val="22"/>
          <w:szCs w:val="22"/>
        </w:rPr>
        <w:t>neighbour</w:t>
      </w:r>
      <w:proofErr w:type="spellEnd"/>
      <w:r>
        <w:rPr>
          <w:rFonts w:ascii="Calibri" w:eastAsia="Calibri" w:hAnsi="Calibri" w:cs="Calibri"/>
          <w:sz w:val="22"/>
          <w:szCs w:val="22"/>
        </w:rPr>
        <w:t xml:space="preserve"> retrieval in the encoder's output space. Provides qualitative evidence of semantic structure.</w:t>
      </w:r>
    </w:p>
    <w:p w14:paraId="7C69C005" w14:textId="77777777" w:rsidR="0096517D" w:rsidRDefault="00000000">
      <w:pPr>
        <w:pStyle w:val="ListParagraph"/>
        <w:numPr>
          <w:ilvl w:val="0"/>
          <w:numId w:val="2"/>
        </w:numPr>
        <w:spacing w:after="80"/>
      </w:pPr>
      <w:r>
        <w:rPr>
          <w:rFonts w:ascii="Calibri" w:eastAsia="Calibri" w:hAnsi="Calibri" w:cs="Calibri"/>
          <w:sz w:val="22"/>
          <w:szCs w:val="22"/>
        </w:rPr>
        <w:t>Standard RL evaluation: episodic return averaged over five evaluation episodes, reported per training step. Follows conventions in IRIS and DreamerV3.</w:t>
      </w:r>
    </w:p>
    <w:p w14:paraId="7FF88B1B" w14:textId="77777777" w:rsidR="0096517D" w:rsidRDefault="0096517D">
      <w:pPr>
        <w:spacing w:after="80"/>
      </w:pPr>
    </w:p>
    <w:p w14:paraId="7CFD7E6B" w14:textId="77777777" w:rsidR="0096517D" w:rsidRDefault="00000000">
      <w:pPr>
        <w:pStyle w:val="Heading1"/>
      </w:pPr>
      <w:r>
        <w:t>3. Study Procedure</w:t>
      </w:r>
    </w:p>
    <w:p w14:paraId="23E7D991" w14:textId="77777777" w:rsidR="0096517D" w:rsidRDefault="00000000">
      <w:pPr>
        <w:pStyle w:val="Heading2"/>
      </w:pPr>
      <w:r>
        <w:t>3.1 Data collection</w:t>
      </w:r>
    </w:p>
    <w:p w14:paraId="10924B8C" w14:textId="77777777" w:rsidR="0096517D" w:rsidRDefault="00000000">
      <w:pPr>
        <w:pStyle w:val="ListParagraph"/>
        <w:numPr>
          <w:ilvl w:val="0"/>
          <w:numId w:val="2"/>
        </w:numPr>
        <w:spacing w:after="80"/>
      </w:pPr>
      <w:r>
        <w:rPr>
          <w:rFonts w:ascii="Calibri" w:eastAsia="Calibri" w:hAnsi="Calibri" w:cs="Calibri"/>
          <w:sz w:val="22"/>
          <w:szCs w:val="22"/>
        </w:rPr>
        <w:t xml:space="preserve">Step 1: collect an offline trajectory dataset by running a mixture of random and </w:t>
      </w:r>
      <w:proofErr w:type="gramStart"/>
      <w:r>
        <w:rPr>
          <w:rFonts w:ascii="Calibri" w:eastAsia="Calibri" w:hAnsi="Calibri" w:cs="Calibri"/>
          <w:sz w:val="22"/>
          <w:szCs w:val="22"/>
        </w:rPr>
        <w:t>partially-trained</w:t>
      </w:r>
      <w:proofErr w:type="gramEnd"/>
      <w:r>
        <w:rPr>
          <w:rFonts w:ascii="Calibri" w:eastAsia="Calibri" w:hAnsi="Calibri" w:cs="Calibri"/>
          <w:sz w:val="22"/>
          <w:szCs w:val="22"/>
        </w:rPr>
        <w:t xml:space="preserve"> policies in the chosen </w:t>
      </w:r>
      <w:proofErr w:type="spellStart"/>
      <w:r>
        <w:rPr>
          <w:rFonts w:ascii="Calibri" w:eastAsia="Calibri" w:hAnsi="Calibri" w:cs="Calibri"/>
          <w:sz w:val="22"/>
          <w:szCs w:val="22"/>
        </w:rPr>
        <w:t>MiniGrid</w:t>
      </w:r>
      <w:proofErr w:type="spellEnd"/>
      <w:r>
        <w:rPr>
          <w:rFonts w:ascii="Calibri" w:eastAsia="Calibri" w:hAnsi="Calibri" w:cs="Calibri"/>
          <w:sz w:val="22"/>
          <w:szCs w:val="22"/>
        </w:rPr>
        <w:t xml:space="preserve"> tasks. Record observations, actions, rewards, and ground-truth state labels at each step.</w:t>
      </w:r>
    </w:p>
    <w:p w14:paraId="5768F25B" w14:textId="77777777" w:rsidR="0096517D" w:rsidRDefault="00000000">
      <w:pPr>
        <w:pStyle w:val="ListParagraph"/>
        <w:numPr>
          <w:ilvl w:val="0"/>
          <w:numId w:val="2"/>
        </w:numPr>
        <w:spacing w:after="80"/>
      </w:pPr>
      <w:r>
        <w:rPr>
          <w:rFonts w:ascii="Calibri" w:eastAsia="Calibri" w:hAnsi="Calibri" w:cs="Calibri"/>
          <w:sz w:val="22"/>
          <w:szCs w:val="22"/>
        </w:rPr>
        <w:t>Step 2: record ground-truth symbolic state descriptions alongside image observations at each timestep. These are used only for evaluation (probing) and are not provided to the encoder during training.</w:t>
      </w:r>
    </w:p>
    <w:p w14:paraId="7026653F" w14:textId="77777777" w:rsidR="0096517D" w:rsidRDefault="00000000">
      <w:pPr>
        <w:pStyle w:val="ListParagraph"/>
        <w:numPr>
          <w:ilvl w:val="0"/>
          <w:numId w:val="2"/>
        </w:numPr>
        <w:spacing w:after="80"/>
      </w:pPr>
      <w:r>
        <w:rPr>
          <w:rFonts w:ascii="Calibri" w:eastAsia="Calibri" w:hAnsi="Calibri" w:cs="Calibri"/>
          <w:sz w:val="22"/>
          <w:szCs w:val="22"/>
        </w:rPr>
        <w:t>Step 3: split collected data into train and held-out validation sets by episode. Task layouts in the held-out set are distinct from those in training (different grid seeds) to enable generalization evaluation.</w:t>
      </w:r>
    </w:p>
    <w:p w14:paraId="0C071A13" w14:textId="77777777" w:rsidR="0096517D" w:rsidRDefault="00000000">
      <w:pPr>
        <w:spacing w:after="100"/>
        <w:ind w:left="360"/>
      </w:pPr>
      <w:r>
        <w:rPr>
          <w:rFonts w:ascii="Calibri" w:eastAsia="Calibri" w:hAnsi="Calibri" w:cs="Calibri"/>
          <w:i/>
          <w:iCs/>
          <w:color w:val="888888"/>
        </w:rPr>
        <w:t>[TODO: Define exact train/validation/test split ratios — likely 70/15/15 by episode count. Confirm that state label distributions are balanced across splits.]</w:t>
      </w:r>
    </w:p>
    <w:p w14:paraId="07800BDE" w14:textId="77777777" w:rsidR="0096517D" w:rsidRDefault="00000000">
      <w:pPr>
        <w:pStyle w:val="Heading2"/>
      </w:pPr>
      <w:r>
        <w:t>3.2 Encoder training</w:t>
      </w:r>
    </w:p>
    <w:p w14:paraId="565409A1" w14:textId="77777777" w:rsidR="0096517D" w:rsidRDefault="00000000">
      <w:pPr>
        <w:pStyle w:val="ListParagraph"/>
        <w:numPr>
          <w:ilvl w:val="0"/>
          <w:numId w:val="2"/>
        </w:numPr>
        <w:spacing w:after="80"/>
      </w:pPr>
      <w:r>
        <w:rPr>
          <w:rFonts w:ascii="Calibri" w:eastAsia="Calibri" w:hAnsi="Calibri" w:cs="Calibri"/>
          <w:sz w:val="22"/>
          <w:szCs w:val="22"/>
        </w:rPr>
        <w:t>Train the Transformer + VQ encoder on the offline dataset using the reconstruction objective (decoder reconstructs input observation from quantized token) and commitment loss. No reward signal is used at this stage — the encoder is trained purely on observation reconstruction.</w:t>
      </w:r>
    </w:p>
    <w:p w14:paraId="7102585A" w14:textId="77777777" w:rsidR="0096517D" w:rsidRDefault="00000000">
      <w:pPr>
        <w:pStyle w:val="ListParagraph"/>
        <w:numPr>
          <w:ilvl w:val="0"/>
          <w:numId w:val="2"/>
        </w:numPr>
        <w:spacing w:after="80"/>
      </w:pPr>
      <w:r>
        <w:rPr>
          <w:rFonts w:ascii="Calibri" w:eastAsia="Calibri" w:hAnsi="Calibri" w:cs="Calibri"/>
          <w:sz w:val="22"/>
          <w:szCs w:val="22"/>
        </w:rPr>
        <w:t>Monitor codebook utilization (perplexity) throughout training to detect collapse early. If perplexity falls below a threshold (fewer than ~10% of codes active), adjust the commitment loss weight or switch to EMA updates.</w:t>
      </w:r>
    </w:p>
    <w:p w14:paraId="02045FFF" w14:textId="77777777" w:rsidR="0096517D" w:rsidRDefault="00000000">
      <w:pPr>
        <w:pStyle w:val="ListParagraph"/>
        <w:numPr>
          <w:ilvl w:val="0"/>
          <w:numId w:val="2"/>
        </w:numPr>
        <w:spacing w:after="80"/>
      </w:pPr>
      <w:r>
        <w:rPr>
          <w:rFonts w:ascii="Calibri" w:eastAsia="Calibri" w:hAnsi="Calibri" w:cs="Calibri"/>
          <w:sz w:val="22"/>
          <w:szCs w:val="22"/>
        </w:rPr>
        <w:t>Once trained, the encoder is frozen for all downstream experiments.</w:t>
      </w:r>
    </w:p>
    <w:p w14:paraId="7CE3714E" w14:textId="77777777" w:rsidR="0096517D" w:rsidRDefault="00000000">
      <w:pPr>
        <w:spacing w:after="100"/>
        <w:ind w:left="360"/>
      </w:pPr>
      <w:r>
        <w:rPr>
          <w:rFonts w:ascii="Calibri" w:eastAsia="Calibri" w:hAnsi="Calibri" w:cs="Calibri"/>
          <w:i/>
          <w:iCs/>
          <w:color w:val="888888"/>
        </w:rPr>
        <w:t>[TODO: Specify training duration, batch size, learning rate schedule. Report these in a hyperparameter table in the appendix.]</w:t>
      </w:r>
    </w:p>
    <w:p w14:paraId="3C7EBBF8" w14:textId="77777777" w:rsidR="0096517D" w:rsidRDefault="00000000">
      <w:pPr>
        <w:pStyle w:val="Heading2"/>
      </w:pPr>
      <w:r>
        <w:t>3.3 Baseline and proposed conditions</w:t>
      </w:r>
    </w:p>
    <w:p w14:paraId="64FDE272" w14:textId="77777777" w:rsidR="0096517D" w:rsidRDefault="00000000">
      <w:pPr>
        <w:spacing w:after="140"/>
      </w:pPr>
      <w:r>
        <w:rPr>
          <w:rFonts w:ascii="Calibri" w:eastAsia="Calibri" w:hAnsi="Calibri" w:cs="Calibri"/>
          <w:sz w:val="22"/>
          <w:szCs w:val="22"/>
        </w:rPr>
        <w:t>Three planning conditions are trained and evaluated with identical hyperparameters and seeds, differing only in their input representation:</w:t>
      </w:r>
    </w:p>
    <w:p w14:paraId="7AE528F2" w14:textId="77777777" w:rsidR="0096517D" w:rsidRDefault="00000000">
      <w:pPr>
        <w:pStyle w:val="ListParagraph"/>
        <w:numPr>
          <w:ilvl w:val="0"/>
          <w:numId w:val="2"/>
        </w:numPr>
        <w:spacing w:after="80"/>
      </w:pPr>
      <w:r>
        <w:rPr>
          <w:rFonts w:ascii="Calibri" w:eastAsia="Calibri" w:hAnsi="Calibri" w:cs="Calibri"/>
          <w:b/>
          <w:bCs/>
          <w:sz w:val="22"/>
          <w:szCs w:val="22"/>
        </w:rPr>
        <w:t>Condition A — Raw observations:</w:t>
      </w:r>
      <w:r>
        <w:rPr>
          <w:rFonts w:ascii="Calibri" w:eastAsia="Calibri" w:hAnsi="Calibri" w:cs="Calibri"/>
          <w:sz w:val="22"/>
          <w:szCs w:val="22"/>
        </w:rPr>
        <w:t xml:space="preserve">  planning policy receives image observations directly.</w:t>
      </w:r>
    </w:p>
    <w:p w14:paraId="4460BD95" w14:textId="77777777" w:rsidR="0096517D" w:rsidRDefault="00000000">
      <w:pPr>
        <w:pStyle w:val="ListParagraph"/>
        <w:numPr>
          <w:ilvl w:val="0"/>
          <w:numId w:val="2"/>
        </w:numPr>
        <w:spacing w:after="80"/>
      </w:pPr>
      <w:r>
        <w:rPr>
          <w:rFonts w:ascii="Calibri" w:eastAsia="Calibri" w:hAnsi="Calibri" w:cs="Calibri"/>
          <w:b/>
          <w:bCs/>
          <w:sz w:val="22"/>
          <w:szCs w:val="22"/>
        </w:rPr>
        <w:t>Condition B — Continuous latent:</w:t>
      </w:r>
      <w:r>
        <w:rPr>
          <w:rFonts w:ascii="Calibri" w:eastAsia="Calibri" w:hAnsi="Calibri" w:cs="Calibri"/>
          <w:sz w:val="22"/>
          <w:szCs w:val="22"/>
        </w:rPr>
        <w:t xml:space="preserve">  a standard autoencoder (no quantization) is trained with the same architecture. Policy receives the continuous bottleneck vector.</w:t>
      </w:r>
    </w:p>
    <w:p w14:paraId="4E55C5BC" w14:textId="77777777" w:rsidR="0096517D" w:rsidRDefault="00000000">
      <w:pPr>
        <w:pStyle w:val="ListParagraph"/>
        <w:numPr>
          <w:ilvl w:val="0"/>
          <w:numId w:val="2"/>
        </w:numPr>
        <w:spacing w:after="80"/>
      </w:pPr>
      <w:r>
        <w:rPr>
          <w:rFonts w:ascii="Calibri" w:eastAsia="Calibri" w:hAnsi="Calibri" w:cs="Calibri"/>
          <w:b/>
          <w:bCs/>
          <w:sz w:val="22"/>
          <w:szCs w:val="22"/>
        </w:rPr>
        <w:t>Condition C — Discrete tokens (proposed):</w:t>
      </w:r>
      <w:r>
        <w:rPr>
          <w:rFonts w:ascii="Calibri" w:eastAsia="Calibri" w:hAnsi="Calibri" w:cs="Calibri"/>
          <w:sz w:val="22"/>
          <w:szCs w:val="22"/>
        </w:rPr>
        <w:t xml:space="preserve">  policy receives the quantized token index from the frozen Transformer encoder.</w:t>
      </w:r>
    </w:p>
    <w:p w14:paraId="4B8F9783" w14:textId="77777777" w:rsidR="0096517D" w:rsidRDefault="00000000">
      <w:pPr>
        <w:spacing w:after="140"/>
      </w:pPr>
      <w:r>
        <w:rPr>
          <w:rFonts w:ascii="Calibri" w:eastAsia="Calibri" w:hAnsi="Calibri" w:cs="Calibri"/>
          <w:sz w:val="22"/>
          <w:szCs w:val="22"/>
        </w:rPr>
        <w:t>The planning policy used across all conditions will be a standard model-free algorithm (PPO or SAC, to be determined). This is consistent with how IRIS and DreamerV3 evaluate their representations.</w:t>
      </w:r>
    </w:p>
    <w:p w14:paraId="5EB44ABD" w14:textId="77777777" w:rsidR="0096517D" w:rsidRDefault="00000000">
      <w:pPr>
        <w:spacing w:after="100"/>
        <w:ind w:left="360"/>
      </w:pPr>
      <w:r>
        <w:rPr>
          <w:rFonts w:ascii="Calibri" w:eastAsia="Calibri" w:hAnsi="Calibri" w:cs="Calibri"/>
          <w:i/>
          <w:iCs/>
          <w:color w:val="888888"/>
        </w:rPr>
        <w:lastRenderedPageBreak/>
        <w:t>[TODO: Decide PPO vs SAC based on action space (</w:t>
      </w:r>
      <w:proofErr w:type="spellStart"/>
      <w:r>
        <w:rPr>
          <w:rFonts w:ascii="Calibri" w:eastAsia="Calibri" w:hAnsi="Calibri" w:cs="Calibri"/>
          <w:i/>
          <w:iCs/>
          <w:color w:val="888888"/>
        </w:rPr>
        <w:t>MiniGrid</w:t>
      </w:r>
      <w:proofErr w:type="spellEnd"/>
      <w:r>
        <w:rPr>
          <w:rFonts w:ascii="Calibri" w:eastAsia="Calibri" w:hAnsi="Calibri" w:cs="Calibri"/>
          <w:i/>
          <w:iCs/>
          <w:color w:val="888888"/>
        </w:rPr>
        <w:t xml:space="preserve"> uses discrete actions, which </w:t>
      </w:r>
      <w:proofErr w:type="spellStart"/>
      <w:r>
        <w:rPr>
          <w:rFonts w:ascii="Calibri" w:eastAsia="Calibri" w:hAnsi="Calibri" w:cs="Calibri"/>
          <w:i/>
          <w:iCs/>
          <w:color w:val="888888"/>
        </w:rPr>
        <w:t>favours</w:t>
      </w:r>
      <w:proofErr w:type="spellEnd"/>
      <w:r>
        <w:rPr>
          <w:rFonts w:ascii="Calibri" w:eastAsia="Calibri" w:hAnsi="Calibri" w:cs="Calibri"/>
          <w:i/>
          <w:iCs/>
          <w:color w:val="888888"/>
        </w:rPr>
        <w:t xml:space="preserve"> PPO).]</w:t>
      </w:r>
    </w:p>
    <w:p w14:paraId="45A41FCF" w14:textId="77777777" w:rsidR="0096517D" w:rsidRDefault="00000000">
      <w:pPr>
        <w:pStyle w:val="Heading2"/>
      </w:pPr>
      <w:r>
        <w:t>3.4 Potential biases and mitigations</w:t>
      </w:r>
    </w:p>
    <w:p w14:paraId="4465184C" w14:textId="77777777" w:rsidR="0096517D" w:rsidRDefault="00000000">
      <w:pPr>
        <w:pStyle w:val="ListParagraph"/>
        <w:numPr>
          <w:ilvl w:val="0"/>
          <w:numId w:val="2"/>
        </w:numPr>
        <w:spacing w:after="80"/>
      </w:pPr>
      <w:r>
        <w:rPr>
          <w:rFonts w:ascii="Calibri" w:eastAsia="Calibri" w:hAnsi="Calibri" w:cs="Calibri"/>
          <w:b/>
          <w:bCs/>
          <w:sz w:val="22"/>
          <w:szCs w:val="22"/>
        </w:rPr>
        <w:t>Encoder pre-training data bias:</w:t>
      </w:r>
      <w:r>
        <w:rPr>
          <w:rFonts w:ascii="Calibri" w:eastAsia="Calibri" w:hAnsi="Calibri" w:cs="Calibri"/>
          <w:sz w:val="22"/>
          <w:szCs w:val="22"/>
        </w:rPr>
        <w:t xml:space="preserve">  if offline data underrepresents certain states, the codebook may not cover those states well. Mitigation: check state-label distribution of training data; supplement with scripted policy data if coverage is poor.</w:t>
      </w:r>
    </w:p>
    <w:p w14:paraId="7561FC1D" w14:textId="77777777" w:rsidR="0096517D" w:rsidRDefault="00000000">
      <w:pPr>
        <w:pStyle w:val="ListParagraph"/>
        <w:numPr>
          <w:ilvl w:val="0"/>
          <w:numId w:val="2"/>
        </w:numPr>
        <w:spacing w:after="80"/>
      </w:pPr>
      <w:r>
        <w:rPr>
          <w:rFonts w:ascii="Calibri" w:eastAsia="Calibri" w:hAnsi="Calibri" w:cs="Calibri"/>
          <w:b/>
          <w:bCs/>
          <w:sz w:val="22"/>
          <w:szCs w:val="22"/>
        </w:rPr>
        <w:t>Hyperparameter sensitivity:</w:t>
      </w:r>
      <w:r>
        <w:rPr>
          <w:rFonts w:ascii="Calibri" w:eastAsia="Calibri" w:hAnsi="Calibri" w:cs="Calibri"/>
          <w:sz w:val="22"/>
          <w:szCs w:val="22"/>
        </w:rPr>
        <w:t xml:space="preserve">  RL results can be sensitive to learning rate and architecture choices. Mitigation: fix all hyperparameters identically across the three conditions, and report results across five seeds with IQM and confidence intervals (Agarwal et al., 2021).</w:t>
      </w:r>
    </w:p>
    <w:p w14:paraId="4B11E2F0" w14:textId="77777777" w:rsidR="0096517D" w:rsidRDefault="00000000">
      <w:pPr>
        <w:pStyle w:val="ListParagraph"/>
        <w:numPr>
          <w:ilvl w:val="0"/>
          <w:numId w:val="2"/>
        </w:numPr>
        <w:spacing w:after="80"/>
      </w:pPr>
      <w:r>
        <w:rPr>
          <w:rFonts w:ascii="Calibri" w:eastAsia="Calibri" w:hAnsi="Calibri" w:cs="Calibri"/>
          <w:b/>
          <w:bCs/>
          <w:sz w:val="22"/>
          <w:szCs w:val="22"/>
        </w:rPr>
        <w:t>Environment specificity:</w:t>
      </w:r>
      <w:r>
        <w:rPr>
          <w:rFonts w:ascii="Calibri" w:eastAsia="Calibri" w:hAnsi="Calibri" w:cs="Calibri"/>
          <w:sz w:val="22"/>
          <w:szCs w:val="22"/>
        </w:rPr>
        <w:t xml:space="preserve">  results in </w:t>
      </w:r>
      <w:proofErr w:type="spellStart"/>
      <w:r>
        <w:rPr>
          <w:rFonts w:ascii="Calibri" w:eastAsia="Calibri" w:hAnsi="Calibri" w:cs="Calibri"/>
          <w:sz w:val="22"/>
          <w:szCs w:val="22"/>
        </w:rPr>
        <w:t>MiniGrid</w:t>
      </w:r>
      <w:proofErr w:type="spellEnd"/>
      <w:r>
        <w:rPr>
          <w:rFonts w:ascii="Calibri" w:eastAsia="Calibri" w:hAnsi="Calibri" w:cs="Calibri"/>
          <w:sz w:val="22"/>
          <w:szCs w:val="22"/>
        </w:rPr>
        <w:t xml:space="preserve"> may not generalize to more complex environments. Mitigation: acknowledge this as a limitation; include a secondary environment if time allows.</w:t>
      </w:r>
    </w:p>
    <w:p w14:paraId="083BFB84" w14:textId="77777777" w:rsidR="0096517D" w:rsidRDefault="0096517D">
      <w:pPr>
        <w:spacing w:after="80"/>
      </w:pPr>
    </w:p>
    <w:p w14:paraId="002CA0C4" w14:textId="77777777" w:rsidR="0096517D" w:rsidRDefault="00000000">
      <w:pPr>
        <w:pStyle w:val="Heading1"/>
      </w:pPr>
      <w:r>
        <w:t>4. Data Analysis</w:t>
      </w:r>
    </w:p>
    <w:p w14:paraId="4B204051" w14:textId="77777777" w:rsidR="0096517D" w:rsidRDefault="00000000">
      <w:pPr>
        <w:pStyle w:val="Heading2"/>
      </w:pPr>
      <w:r>
        <w:t>4.1 Quantitative metrics and statistical approach</w:t>
      </w:r>
    </w:p>
    <w:p w14:paraId="2F503759" w14:textId="77777777" w:rsidR="0096517D" w:rsidRDefault="00000000">
      <w:pPr>
        <w:spacing w:after="140"/>
      </w:pPr>
      <w:r>
        <w:rPr>
          <w:rFonts w:ascii="Calibri" w:eastAsia="Calibri" w:hAnsi="Calibri" w:cs="Calibri"/>
          <w:sz w:val="22"/>
          <w:szCs w:val="22"/>
        </w:rPr>
        <w:t>This project uses quantitative analysis throughout. The primary outputs are numerical performance metrics compared across experimental conditions.</w:t>
      </w:r>
    </w:p>
    <w:p w14:paraId="336823FB" w14:textId="77777777" w:rsidR="0096517D" w:rsidRDefault="00000000">
      <w:pPr>
        <w:pStyle w:val="ListParagraph"/>
        <w:numPr>
          <w:ilvl w:val="0"/>
          <w:numId w:val="2"/>
        </w:numPr>
        <w:spacing w:after="80"/>
      </w:pPr>
      <w:r>
        <w:rPr>
          <w:rFonts w:ascii="Calibri" w:eastAsia="Calibri" w:hAnsi="Calibri" w:cs="Calibri"/>
          <w:b/>
          <w:bCs/>
          <w:sz w:val="22"/>
          <w:szCs w:val="22"/>
        </w:rPr>
        <w:t>Sample efficiency (primary metric):</w:t>
      </w:r>
      <w:r>
        <w:rPr>
          <w:rFonts w:ascii="Calibri" w:eastAsia="Calibri" w:hAnsi="Calibri" w:cs="Calibri"/>
          <w:sz w:val="22"/>
          <w:szCs w:val="22"/>
        </w:rPr>
        <w:t xml:space="preserve">  episodic return plotted as a function of environment interaction steps. Following Agarwal et al. (2021), the interquartile mean (IQM) across seeds will be used as the aggregate statistic, as it is more robust to outliers than the mean. 95% stratified bootstrap confidence intervals will be reported.</w:t>
      </w:r>
    </w:p>
    <w:p w14:paraId="3D391512" w14:textId="77777777" w:rsidR="0096517D" w:rsidRDefault="00000000">
      <w:pPr>
        <w:pStyle w:val="ListParagraph"/>
        <w:numPr>
          <w:ilvl w:val="0"/>
          <w:numId w:val="2"/>
        </w:numPr>
        <w:spacing w:after="80"/>
      </w:pPr>
      <w:r>
        <w:rPr>
          <w:rFonts w:ascii="Calibri" w:eastAsia="Calibri" w:hAnsi="Calibri" w:cs="Calibri"/>
          <w:b/>
          <w:bCs/>
          <w:sz w:val="22"/>
          <w:szCs w:val="22"/>
        </w:rPr>
        <w:t>Codebook utilization:</w:t>
      </w:r>
      <w:r>
        <w:rPr>
          <w:rFonts w:ascii="Calibri" w:eastAsia="Calibri" w:hAnsi="Calibri" w:cs="Calibri"/>
          <w:sz w:val="22"/>
          <w:szCs w:val="22"/>
        </w:rPr>
        <w:t xml:space="preserve">  codebook perplexity (exp of the entropy of the token usage distribution) measures how evenly the codebook is used. A perplexity equal to K indicates perfect uniform usage; values near 1 indicate collapse. Reported as a training curve.</w:t>
      </w:r>
    </w:p>
    <w:p w14:paraId="51EA38EB" w14:textId="77777777" w:rsidR="0096517D" w:rsidRDefault="00000000">
      <w:pPr>
        <w:pStyle w:val="ListParagraph"/>
        <w:numPr>
          <w:ilvl w:val="0"/>
          <w:numId w:val="2"/>
        </w:numPr>
        <w:spacing w:after="80"/>
      </w:pPr>
      <w:r>
        <w:rPr>
          <w:rFonts w:ascii="Calibri" w:eastAsia="Calibri" w:hAnsi="Calibri" w:cs="Calibri"/>
          <w:b/>
          <w:bCs/>
          <w:sz w:val="22"/>
          <w:szCs w:val="22"/>
        </w:rPr>
        <w:t>Probing accuracy:</w:t>
      </w:r>
      <w:r>
        <w:rPr>
          <w:rFonts w:ascii="Calibri" w:eastAsia="Calibri" w:hAnsi="Calibri" w:cs="Calibri"/>
          <w:sz w:val="22"/>
          <w:szCs w:val="22"/>
        </w:rPr>
        <w:t xml:space="preserve">  linear classifier trained on frozen token indices to predict ground-truth semantic state labels. Reported as classification accuracy per label type (e.g. "door state", "carried object"). This provides a quantitative measure of semantic alignment without requiring the encoder to be explicitly supervised. Methodology follows Alain &amp; Bengio (2017).</w:t>
      </w:r>
    </w:p>
    <w:p w14:paraId="21965FFF" w14:textId="77777777" w:rsidR="0096517D" w:rsidRDefault="00000000">
      <w:pPr>
        <w:pStyle w:val="ListParagraph"/>
        <w:numPr>
          <w:ilvl w:val="0"/>
          <w:numId w:val="2"/>
        </w:numPr>
        <w:spacing w:after="80"/>
      </w:pPr>
      <w:r>
        <w:rPr>
          <w:rFonts w:ascii="Calibri" w:eastAsia="Calibri" w:hAnsi="Calibri" w:cs="Calibri"/>
          <w:b/>
          <w:bCs/>
          <w:sz w:val="22"/>
          <w:szCs w:val="22"/>
        </w:rPr>
        <w:t>Generalization:</w:t>
      </w:r>
      <w:r>
        <w:rPr>
          <w:rFonts w:ascii="Calibri" w:eastAsia="Calibri" w:hAnsi="Calibri" w:cs="Calibri"/>
          <w:sz w:val="22"/>
          <w:szCs w:val="22"/>
        </w:rPr>
        <w:t xml:space="preserve">  success rate on held-out environment layouts, evaluated after training is complete. Compared across the three conditions.</w:t>
      </w:r>
    </w:p>
    <w:p w14:paraId="20ED7E33" w14:textId="77777777" w:rsidR="0096517D" w:rsidRDefault="00000000">
      <w:pPr>
        <w:pStyle w:val="Heading2"/>
      </w:pPr>
      <w:r>
        <w:t>4.2 Qualitative analysis</w:t>
      </w:r>
    </w:p>
    <w:p w14:paraId="520F25B8" w14:textId="77777777" w:rsidR="0096517D" w:rsidRDefault="00000000">
      <w:pPr>
        <w:pStyle w:val="ListParagraph"/>
        <w:numPr>
          <w:ilvl w:val="0"/>
          <w:numId w:val="2"/>
        </w:numPr>
        <w:spacing w:after="80"/>
      </w:pPr>
      <w:r>
        <w:rPr>
          <w:rFonts w:ascii="Calibri" w:eastAsia="Calibri" w:hAnsi="Calibri" w:cs="Calibri"/>
          <w:sz w:val="22"/>
          <w:szCs w:val="22"/>
        </w:rPr>
        <w:t>Token visualizations: nearest-</w:t>
      </w:r>
      <w:proofErr w:type="spellStart"/>
      <w:r>
        <w:rPr>
          <w:rFonts w:ascii="Calibri" w:eastAsia="Calibri" w:hAnsi="Calibri" w:cs="Calibri"/>
          <w:sz w:val="22"/>
          <w:szCs w:val="22"/>
        </w:rPr>
        <w:t>neighbour</w:t>
      </w:r>
      <w:proofErr w:type="spellEnd"/>
      <w:r>
        <w:rPr>
          <w:rFonts w:ascii="Calibri" w:eastAsia="Calibri" w:hAnsi="Calibri" w:cs="Calibri"/>
          <w:sz w:val="22"/>
          <w:szCs w:val="22"/>
        </w:rPr>
        <w:t xml:space="preserve"> retrieval of observations that most strongly activate each codebook entry. Assessed qualitatively to identify whether tokens correspond to visually or semantically coherent clusters.</w:t>
      </w:r>
    </w:p>
    <w:p w14:paraId="2A26F0B7" w14:textId="77777777" w:rsidR="0096517D" w:rsidRDefault="00000000">
      <w:pPr>
        <w:pStyle w:val="ListParagraph"/>
        <w:numPr>
          <w:ilvl w:val="0"/>
          <w:numId w:val="2"/>
        </w:numPr>
        <w:spacing w:after="80"/>
      </w:pPr>
      <w:r>
        <w:rPr>
          <w:rFonts w:ascii="Calibri" w:eastAsia="Calibri" w:hAnsi="Calibri" w:cs="Calibri"/>
          <w:sz w:val="22"/>
          <w:szCs w:val="22"/>
        </w:rPr>
        <w:t>This qualitative component supplements the probing results and is intended for the interpretability discussion in the thesis. No formal inter-rater agreement is needed since this is a supporting analysis, not the primary claim.</w:t>
      </w:r>
    </w:p>
    <w:p w14:paraId="32ED7366" w14:textId="77777777" w:rsidR="0096517D" w:rsidRDefault="00000000">
      <w:pPr>
        <w:pStyle w:val="Heading2"/>
      </w:pPr>
      <w:r>
        <w:t>4.3 Justification of analysis choices</w:t>
      </w:r>
    </w:p>
    <w:p w14:paraId="5A70DE81" w14:textId="77777777" w:rsidR="0096517D" w:rsidRDefault="00000000">
      <w:pPr>
        <w:pStyle w:val="ListParagraph"/>
        <w:numPr>
          <w:ilvl w:val="0"/>
          <w:numId w:val="2"/>
        </w:numPr>
        <w:spacing w:after="80"/>
      </w:pPr>
      <w:r>
        <w:rPr>
          <w:rFonts w:ascii="Calibri" w:eastAsia="Calibri" w:hAnsi="Calibri" w:cs="Calibri"/>
          <w:sz w:val="22"/>
          <w:szCs w:val="22"/>
        </w:rPr>
        <w:t xml:space="preserve">IQM with bootstrap CIs is chosen over raw mean because RL results are frequently skewed by a small number of high-performing seeds. This follows the </w:t>
      </w:r>
      <w:r>
        <w:rPr>
          <w:rFonts w:ascii="Calibri" w:eastAsia="Calibri" w:hAnsi="Calibri" w:cs="Calibri"/>
          <w:sz w:val="22"/>
          <w:szCs w:val="22"/>
        </w:rPr>
        <w:lastRenderedPageBreak/>
        <w:t>recommendation of Agarwal et al. (2021), which is now a standard in the RL evaluation literature (used by IRIS, DreamerV3, and others).</w:t>
      </w:r>
    </w:p>
    <w:p w14:paraId="3714DB86" w14:textId="77777777" w:rsidR="0096517D" w:rsidRDefault="00000000">
      <w:pPr>
        <w:pStyle w:val="ListParagraph"/>
        <w:numPr>
          <w:ilvl w:val="0"/>
          <w:numId w:val="2"/>
        </w:numPr>
        <w:spacing w:after="80"/>
      </w:pPr>
      <w:r>
        <w:rPr>
          <w:rFonts w:ascii="Calibri" w:eastAsia="Calibri" w:hAnsi="Calibri" w:cs="Calibri"/>
          <w:sz w:val="22"/>
          <w:szCs w:val="22"/>
        </w:rPr>
        <w:t>Linear probing is chosen over more complex probing models because it specifically tests for linearly decodable information — a stronger and more interpretable criterion than what a nonlinear probe would provide (Alain &amp; Bengio, 2017).</w:t>
      </w:r>
    </w:p>
    <w:p w14:paraId="3636634B" w14:textId="77777777" w:rsidR="0096517D" w:rsidRDefault="00000000">
      <w:pPr>
        <w:pStyle w:val="ListParagraph"/>
        <w:numPr>
          <w:ilvl w:val="0"/>
          <w:numId w:val="2"/>
        </w:numPr>
        <w:spacing w:after="80"/>
      </w:pPr>
      <w:r>
        <w:rPr>
          <w:rFonts w:ascii="Calibri" w:eastAsia="Calibri" w:hAnsi="Calibri" w:cs="Calibri"/>
          <w:sz w:val="22"/>
          <w:szCs w:val="22"/>
        </w:rPr>
        <w:t>No hypothesis testing across conditions is planned at this stage; the sample size (five seeds) is too small for reliable frequentist inference. Effect sizes and confidence intervals are the primary comparison tool, consistent with current RL benchmarking practice.</w:t>
      </w:r>
    </w:p>
    <w:p w14:paraId="5F8C1640" w14:textId="77777777" w:rsidR="0096517D" w:rsidRDefault="00000000">
      <w:pPr>
        <w:spacing w:after="100"/>
        <w:ind w:left="360"/>
      </w:pPr>
      <w:r>
        <w:rPr>
          <w:rFonts w:ascii="Calibri" w:eastAsia="Calibri" w:hAnsi="Calibri" w:cs="Calibri"/>
          <w:i/>
          <w:iCs/>
          <w:color w:val="888888"/>
        </w:rPr>
        <w:t>[TODO: Revisit whether statistical tests are appropriate once number of seeds and task counts are fixed.]</w:t>
      </w:r>
    </w:p>
    <w:sectPr w:rsidR="0096517D">
      <w:pgSz w:w="11906" w:h="16838"/>
      <w:pgMar w:top="1440" w:right="180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F31EF"/>
    <w:multiLevelType w:val="hybridMultilevel"/>
    <w:tmpl w:val="9224E192"/>
    <w:lvl w:ilvl="0" w:tplc="3628262E">
      <w:start w:val="1"/>
      <w:numFmt w:val="bullet"/>
      <w:lvlText w:val="•"/>
      <w:lvlJc w:val="left"/>
      <w:pPr>
        <w:ind w:left="600" w:hanging="360"/>
      </w:pPr>
    </w:lvl>
    <w:lvl w:ilvl="1" w:tplc="40C2DC3C">
      <w:start w:val="1"/>
      <w:numFmt w:val="bullet"/>
      <w:lvlText w:val="o"/>
      <w:lvlJc w:val="left"/>
      <w:pPr>
        <w:ind w:left="960" w:hanging="360"/>
      </w:pPr>
    </w:lvl>
    <w:lvl w:ilvl="2" w:tplc="727EBF02">
      <w:numFmt w:val="decimal"/>
      <w:lvlText w:val=""/>
      <w:lvlJc w:val="left"/>
    </w:lvl>
    <w:lvl w:ilvl="3" w:tplc="63A63CE6">
      <w:numFmt w:val="decimal"/>
      <w:lvlText w:val=""/>
      <w:lvlJc w:val="left"/>
    </w:lvl>
    <w:lvl w:ilvl="4" w:tplc="B454A130">
      <w:numFmt w:val="decimal"/>
      <w:lvlText w:val=""/>
      <w:lvlJc w:val="left"/>
    </w:lvl>
    <w:lvl w:ilvl="5" w:tplc="2FC60C58">
      <w:numFmt w:val="decimal"/>
      <w:lvlText w:val=""/>
      <w:lvlJc w:val="left"/>
    </w:lvl>
    <w:lvl w:ilvl="6" w:tplc="F248431C">
      <w:numFmt w:val="decimal"/>
      <w:lvlText w:val=""/>
      <w:lvlJc w:val="left"/>
    </w:lvl>
    <w:lvl w:ilvl="7" w:tplc="15583B68">
      <w:numFmt w:val="decimal"/>
      <w:lvlText w:val=""/>
      <w:lvlJc w:val="left"/>
    </w:lvl>
    <w:lvl w:ilvl="8" w:tplc="59322522">
      <w:numFmt w:val="decimal"/>
      <w:lvlText w:val=""/>
      <w:lvlJc w:val="left"/>
    </w:lvl>
  </w:abstractNum>
  <w:abstractNum w:abstractNumId="1" w15:restartNumberingAfterBreak="0">
    <w:nsid w:val="7EDF115A"/>
    <w:multiLevelType w:val="hybridMultilevel"/>
    <w:tmpl w:val="B56C9CD4"/>
    <w:lvl w:ilvl="0" w:tplc="147C2A82">
      <w:start w:val="1"/>
      <w:numFmt w:val="bullet"/>
      <w:lvlText w:val="●"/>
      <w:lvlJc w:val="left"/>
      <w:pPr>
        <w:ind w:left="720" w:hanging="360"/>
      </w:pPr>
    </w:lvl>
    <w:lvl w:ilvl="1" w:tplc="097E9A86">
      <w:start w:val="1"/>
      <w:numFmt w:val="bullet"/>
      <w:lvlText w:val="○"/>
      <w:lvlJc w:val="left"/>
      <w:pPr>
        <w:ind w:left="1440" w:hanging="360"/>
      </w:pPr>
    </w:lvl>
    <w:lvl w:ilvl="2" w:tplc="7C3EEB12">
      <w:start w:val="1"/>
      <w:numFmt w:val="bullet"/>
      <w:lvlText w:val="■"/>
      <w:lvlJc w:val="left"/>
      <w:pPr>
        <w:ind w:left="2160" w:hanging="360"/>
      </w:pPr>
    </w:lvl>
    <w:lvl w:ilvl="3" w:tplc="A5DC96C4">
      <w:start w:val="1"/>
      <w:numFmt w:val="bullet"/>
      <w:lvlText w:val="●"/>
      <w:lvlJc w:val="left"/>
      <w:pPr>
        <w:ind w:left="2880" w:hanging="360"/>
      </w:pPr>
    </w:lvl>
    <w:lvl w:ilvl="4" w:tplc="6CC05FC8">
      <w:start w:val="1"/>
      <w:numFmt w:val="bullet"/>
      <w:lvlText w:val="○"/>
      <w:lvlJc w:val="left"/>
      <w:pPr>
        <w:ind w:left="3600" w:hanging="360"/>
      </w:pPr>
    </w:lvl>
    <w:lvl w:ilvl="5" w:tplc="E518448C">
      <w:start w:val="1"/>
      <w:numFmt w:val="bullet"/>
      <w:lvlText w:val="■"/>
      <w:lvlJc w:val="left"/>
      <w:pPr>
        <w:ind w:left="4320" w:hanging="360"/>
      </w:pPr>
    </w:lvl>
    <w:lvl w:ilvl="6" w:tplc="3F38B720">
      <w:start w:val="1"/>
      <w:numFmt w:val="bullet"/>
      <w:lvlText w:val="●"/>
      <w:lvlJc w:val="left"/>
      <w:pPr>
        <w:ind w:left="5040" w:hanging="360"/>
      </w:pPr>
    </w:lvl>
    <w:lvl w:ilvl="7" w:tplc="D44876EE">
      <w:start w:val="1"/>
      <w:numFmt w:val="bullet"/>
      <w:lvlText w:val="●"/>
      <w:lvlJc w:val="left"/>
      <w:pPr>
        <w:ind w:left="5760" w:hanging="360"/>
      </w:pPr>
    </w:lvl>
    <w:lvl w:ilvl="8" w:tplc="FC365B80">
      <w:start w:val="1"/>
      <w:numFmt w:val="bullet"/>
      <w:lvlText w:val="●"/>
      <w:lvlJc w:val="left"/>
      <w:pPr>
        <w:ind w:left="6480" w:hanging="360"/>
      </w:pPr>
    </w:lvl>
  </w:abstractNum>
  <w:num w:numId="1" w16cid:durableId="1063287160">
    <w:abstractNumId w:val="1"/>
    <w:lvlOverride w:ilvl="0">
      <w:startOverride w:val="1"/>
    </w:lvlOverride>
  </w:num>
  <w:num w:numId="2" w16cid:durableId="19246095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17D"/>
    <w:rsid w:val="00207DD8"/>
    <w:rsid w:val="005703D7"/>
    <w:rsid w:val="0096517D"/>
    <w:rsid w:val="00DD3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8AD822"/>
  <w15:docId w15:val="{E8E15BD7-E818-464E-AE93-6A3533F07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00"/>
      <w:outlineLvl w:val="0"/>
    </w:pPr>
    <w:rPr>
      <w:rFonts w:ascii="Calibri" w:eastAsia="Calibri" w:hAnsi="Calibri" w:cs="Calibri"/>
      <w:b/>
      <w:bCs/>
      <w:color w:val="000000"/>
      <w:sz w:val="28"/>
      <w:szCs w:val="28"/>
    </w:rPr>
  </w:style>
  <w:style w:type="paragraph" w:styleId="Heading2">
    <w:name w:val="heading 2"/>
    <w:uiPriority w:val="9"/>
    <w:unhideWhenUsed/>
    <w:qFormat/>
    <w:pPr>
      <w:spacing w:before="220" w:after="80"/>
      <w:outlineLvl w:val="1"/>
    </w:pPr>
    <w:rPr>
      <w:rFonts w:ascii="Calibri" w:eastAsia="Calibri" w:hAnsi="Calibri" w:cs="Calibri"/>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1760</Words>
  <Characters>10034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Menon, R.S. (Rohan)</cp:lastModifiedBy>
  <cp:revision>2</cp:revision>
  <dcterms:created xsi:type="dcterms:W3CDTF">2026-04-22T14:28:00Z</dcterms:created>
  <dcterms:modified xsi:type="dcterms:W3CDTF">2026-04-25T09:54:00Z</dcterms:modified>
</cp:coreProperties>
</file>