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FFA2" w14:textId="3AF20FCA" w:rsidR="00983428" w:rsidRDefault="00983428">
      <w:pPr>
        <w:rPr>
          <w:rFonts w:ascii="Garamond" w:hAnsi="Garamond"/>
          <w:b/>
          <w:bCs/>
          <w:sz w:val="36"/>
          <w:szCs w:val="36"/>
        </w:rPr>
      </w:pPr>
      <w:r w:rsidRPr="00983428">
        <w:rPr>
          <w:rFonts w:ascii="Garamond" w:hAnsi="Garamond"/>
          <w:b/>
          <w:bCs/>
          <w:sz w:val="36"/>
          <w:szCs w:val="36"/>
        </w:rPr>
        <w:t>Can discrete, transformer/diffusion-based state encoders learn semantically meaningful abstractions that improve planning efficiency in high-dimensional reinforcement learning environments?</w:t>
      </w:r>
    </w:p>
    <w:p w14:paraId="127ACD49" w14:textId="77777777" w:rsidR="00983428" w:rsidRDefault="00983428" w:rsidP="00983428">
      <w:pPr>
        <w:pStyle w:val="Heading1"/>
      </w:pPr>
      <w:r>
        <w:t>Abstract</w:t>
      </w:r>
    </w:p>
    <w:p w14:paraId="4A29A371" w14:textId="77777777" w:rsidR="008E26E5" w:rsidRDefault="00000000">
      <w:pPr>
        <w:pStyle w:val="Heading1"/>
      </w:pPr>
      <w:r>
        <w:t>1. Introduction</w:t>
      </w:r>
    </w:p>
    <w:p w14:paraId="3A6FF181" w14:textId="77777777" w:rsidR="008E26E5" w:rsidRDefault="00000000">
      <w:pPr>
        <w:pStyle w:val="Heading2"/>
      </w:pPr>
      <w:r>
        <w:t>1.1 Context and motivation</w:t>
      </w:r>
    </w:p>
    <w:p w14:paraId="5DFFCBDB" w14:textId="77777777" w:rsidR="00D45FF9" w:rsidRDefault="00000000" w:rsidP="00D45FF9">
      <w:pPr>
        <w:spacing w:after="160" w:line="360" w:lineRule="auto"/>
      </w:pPr>
      <w:r>
        <w:t xml:space="preserve">Deep reinforcement learning (RL) has produced agents capable of </w:t>
      </w:r>
      <w:r w:rsidR="00983428">
        <w:t>exceptional</w:t>
      </w:r>
      <w:r>
        <w:t xml:space="preserve"> performance across a range of challenging</w:t>
      </w:r>
      <w:r w:rsidR="00983428">
        <w:t xml:space="preserve"> domains</w:t>
      </w:r>
      <w:r>
        <w:t>, from Atari games (</w:t>
      </w:r>
      <w:proofErr w:type="spellStart"/>
      <w:r>
        <w:t>Mnih</w:t>
      </w:r>
      <w:proofErr w:type="spellEnd"/>
      <w:r>
        <w:t xml:space="preserve"> et al., 2015) to complex robotic manipulation (Levine et al., 2016</w:t>
      </w:r>
      <w:r w:rsidR="00983428">
        <w:t>)</w:t>
      </w:r>
      <w:r>
        <w:t xml:space="preserve">. </w:t>
      </w:r>
      <w:r w:rsidR="00983428">
        <w:t xml:space="preserve">However, this performance comes with the consequence that agents trained directly from high level observations require millions of interactions with the environment to learn reliable structure and encode a knowledge of their environment. </w:t>
      </w:r>
      <w:r>
        <w:t xml:space="preserve">This fundamental sample-inefficiency poses a serious </w:t>
      </w:r>
      <w:r w:rsidR="00D45FF9">
        <w:t>challenge</w:t>
      </w:r>
      <w:r>
        <w:t xml:space="preserve"> to applying deep RL in practical settings where data collection is </w:t>
      </w:r>
      <w:r w:rsidR="00983428">
        <w:t xml:space="preserve">either </w:t>
      </w:r>
      <w:r>
        <w:t>expensive</w:t>
      </w:r>
      <w:r w:rsidR="00D45FF9">
        <w:t>, unsafe</w:t>
      </w:r>
      <w:r>
        <w:t xml:space="preserve"> or dangerous.</w:t>
      </w:r>
      <w:r w:rsidR="00D45FF9">
        <w:t xml:space="preserve"> </w:t>
      </w:r>
    </w:p>
    <w:p w14:paraId="7C9A3974" w14:textId="77777777" w:rsidR="00491650" w:rsidRDefault="00491650" w:rsidP="00D45FF9">
      <w:pPr>
        <w:spacing w:after="160" w:line="360" w:lineRule="auto"/>
      </w:pPr>
    </w:p>
    <w:p w14:paraId="3FF66D5B" w14:textId="5D115296" w:rsidR="00D45FF9" w:rsidRDefault="00D45FF9" w:rsidP="00D45FF9">
      <w:pPr>
        <w:spacing w:after="160" w:line="360" w:lineRule="auto"/>
      </w:pPr>
      <w:r>
        <w:t>Therefore, a parallel research line proposes to address this sample inefficiency in RL environments by first learning a compact latent representation of the environment, over which a policy can be trained more efficiently. Hafner et al. (2019) introduced Dreamer, which learns a world model in a continuous latent space and uses it to simulate future experience, significantly improving sample efficiency over model-free methods and establishing latent-space planning as a compelling alternative to traditional RL.</w:t>
      </w:r>
    </w:p>
    <w:p w14:paraId="498DB97A" w14:textId="77777777" w:rsidR="00491650" w:rsidRDefault="00491650">
      <w:pPr>
        <w:spacing w:after="160" w:line="360" w:lineRule="auto"/>
      </w:pPr>
    </w:p>
    <w:p w14:paraId="01460217" w14:textId="4185EACE" w:rsidR="00D45FF9" w:rsidRDefault="00D45FF9">
      <w:pPr>
        <w:spacing w:after="160" w:line="360" w:lineRule="auto"/>
      </w:pPr>
      <w:r>
        <w:t>Additionally</w:t>
      </w:r>
      <w:r w:rsidR="00983428">
        <w:t xml:space="preserve">, humans have known to </w:t>
      </w:r>
      <w:r>
        <w:t xml:space="preserve">be able to generalize to new areas exceedingly well in highly complex environments with much better sample efficiency. Research has shown that humans </w:t>
      </w:r>
      <w:proofErr w:type="gramStart"/>
      <w:r>
        <w:t>have the ability to</w:t>
      </w:r>
      <w:proofErr w:type="gramEnd"/>
      <w:r>
        <w:t xml:space="preserve"> distill continuous observations in the world into discrete representations in the brain very efficiently (Fang, Sims., 2025). </w:t>
      </w:r>
    </w:p>
    <w:p w14:paraId="1AA03069" w14:textId="77777777" w:rsidR="00491650" w:rsidRDefault="00491650">
      <w:pPr>
        <w:spacing w:after="160" w:line="360" w:lineRule="auto"/>
      </w:pPr>
    </w:p>
    <w:p w14:paraId="19F73433" w14:textId="4F8160F8" w:rsidR="008E26E5" w:rsidRDefault="00D45FF9">
      <w:pPr>
        <w:spacing w:after="160" w:line="360" w:lineRule="auto"/>
      </w:pPr>
      <w:r>
        <w:lastRenderedPageBreak/>
        <w:t xml:space="preserve">Therefore, combining these two intuitions may offer a way to build more robust RL systems that generalize faster and are more sample efficient. </w:t>
      </w:r>
      <w:r w:rsidR="00000000">
        <w:t>Van den Oord et al. (2017) introduced the Vector-</w:t>
      </w:r>
      <w:proofErr w:type="spellStart"/>
      <w:r w:rsidR="00000000">
        <w:t>Quantised</w:t>
      </w:r>
      <w:proofErr w:type="spellEnd"/>
      <w:r w:rsidR="00000000">
        <w:t xml:space="preserve"> Variational Autoencoder (VQ-VAE), demonstrating that neural networks can learn finite, discrete codebooks that </w:t>
      </w:r>
      <w:r>
        <w:t>reliably</w:t>
      </w:r>
      <w:r w:rsidR="00000000">
        <w:t xml:space="preserve"> compress complex visual inputs. This technique has since been applied directly to RL </w:t>
      </w:r>
      <w:r>
        <w:t xml:space="preserve">environments through </w:t>
      </w:r>
      <w:r w:rsidR="00000000">
        <w:t>world models. Micheli et al. (2023) showed that a Transformer world model operating over discrete observation tokens</w:t>
      </w:r>
      <w:r w:rsidR="004327CE">
        <w:t xml:space="preserve"> (IRIS) </w:t>
      </w:r>
      <w:r w:rsidR="00000000">
        <w:t xml:space="preserve">achieves </w:t>
      </w:r>
      <w:r w:rsidR="004327CE">
        <w:t>exceptional</w:t>
      </w:r>
      <w:r w:rsidR="00000000">
        <w:t xml:space="preserve"> sample efficiency on the Atari 100k benchmark, requiring only 100,000 real environment steps. </w:t>
      </w:r>
      <w:r w:rsidR="00491650">
        <w:t xml:space="preserve">In an updated version of the Dreamer model </w:t>
      </w:r>
      <w:r w:rsidR="00000000">
        <w:t xml:space="preserve">Hafner et al. (2023) incorporated a discrete latent component into DreamerV3, reporting strong </w:t>
      </w:r>
      <w:r w:rsidR="00491650">
        <w:t>generalization</w:t>
      </w:r>
      <w:r w:rsidR="00000000">
        <w:t xml:space="preserve"> across seven qualitatively different domains with</w:t>
      </w:r>
      <w:r w:rsidR="00491650">
        <w:t xml:space="preserve"> a fixed hyperparameter configuration</w:t>
      </w:r>
      <w:r w:rsidR="00000000">
        <w:t xml:space="preserve">. These results </w:t>
      </w:r>
      <w:r w:rsidR="00491650">
        <w:t>demonstrate</w:t>
      </w:r>
      <w:r w:rsidR="00000000">
        <w:t xml:space="preserve"> that </w:t>
      </w:r>
      <w:r w:rsidR="00491650">
        <w:t>discretization</w:t>
      </w:r>
      <w:r w:rsidR="00000000">
        <w:t xml:space="preserve"> provides benefits that may </w:t>
      </w:r>
      <w:r w:rsidR="00491650">
        <w:t>come</w:t>
      </w:r>
      <w:r w:rsidR="00000000">
        <w:t xml:space="preserve"> from the </w:t>
      </w:r>
      <w:r w:rsidR="00491650">
        <w:t>structured nature of the vocabulary</w:t>
      </w:r>
    </w:p>
    <w:p w14:paraId="3B9A4CDD" w14:textId="77777777" w:rsidR="008E26E5" w:rsidRDefault="008E26E5">
      <w:pPr>
        <w:spacing w:after="80"/>
      </w:pPr>
    </w:p>
    <w:p w14:paraId="298386F0" w14:textId="1C450D13" w:rsidR="008E26E5" w:rsidRDefault="00000000">
      <w:pPr>
        <w:spacing w:after="160" w:line="360" w:lineRule="auto"/>
      </w:pPr>
      <w:r>
        <w:t xml:space="preserve">Despite this </w:t>
      </w:r>
      <w:r w:rsidR="00491650">
        <w:t>progress</w:t>
      </w:r>
      <w:r>
        <w:t>, a</w:t>
      </w:r>
      <w:r w:rsidR="00491650">
        <w:t>n important d</w:t>
      </w:r>
      <w:r>
        <w:t xml:space="preserve">imension of discrete representations in RL remains largely unexamined: whether the learned tokens </w:t>
      </w:r>
      <w:r w:rsidR="00491650">
        <w:t>can encode</w:t>
      </w:r>
      <w:r>
        <w:t xml:space="preserve"> semantic</w:t>
      </w:r>
      <w:r w:rsidR="00491650">
        <w:t xml:space="preserve"> meaning</w:t>
      </w:r>
      <w:r>
        <w:t>. Existing discrete world models are evaluated exclusively on downstream performance metrics</w:t>
      </w:r>
      <w:r w:rsidR="00491650">
        <w:t>,</w:t>
      </w:r>
      <w:r>
        <w:t xml:space="preserve"> reward and sample efficiency</w:t>
      </w:r>
      <w:r w:rsidR="00491650">
        <w:t>,</w:t>
      </w:r>
      <w:r>
        <w:t xml:space="preserve"> and the content of the learned codebooks is rarely analy</w:t>
      </w:r>
      <w:r w:rsidR="00491650">
        <w:t>z</w:t>
      </w:r>
      <w:r>
        <w:t>ed. The question of whether a token reliably corresponds to an interpretable state concept, such as "the door is open" or "the agent is carrying the key", is lef</w:t>
      </w:r>
      <w:r w:rsidR="00491650">
        <w:t>t open</w:t>
      </w:r>
      <w:r>
        <w:t xml:space="preserve">. </w:t>
      </w:r>
      <w:r w:rsidR="00491650">
        <w:t>This research gap is relevant for two reasons</w:t>
      </w:r>
      <w:r>
        <w:t>. First</w:t>
      </w:r>
      <w:r w:rsidR="00491650">
        <w:t>ly</w:t>
      </w:r>
      <w:r>
        <w:t xml:space="preserve">, the interpretability of discrete </w:t>
      </w:r>
      <w:r w:rsidR="00491650">
        <w:t>representations is some of the primary motivation</w:t>
      </w:r>
      <w:r>
        <w:t xml:space="preserve"> </w:t>
      </w:r>
      <w:r w:rsidR="00491650">
        <w:t xml:space="preserve">for </w:t>
      </w:r>
      <w:r>
        <w:t>their use in high-level reasoning; tokens that do not align with semantic concepts offer no advantage over opaque continuous representations. Second</w:t>
      </w:r>
      <w:r w:rsidR="00491650">
        <w:t>ly</w:t>
      </w:r>
      <w:r>
        <w:t xml:space="preserve">, the </w:t>
      </w:r>
      <w:r w:rsidR="00491650">
        <w:t>necessity</w:t>
      </w:r>
      <w:r>
        <w:t xml:space="preserve"> </w:t>
      </w:r>
      <w:r w:rsidR="00491650">
        <w:t>for</w:t>
      </w:r>
      <w:r>
        <w:t xml:space="preserve"> trustworthy and explainable AI (Doshi-Velez &amp; Kim, 2017) makes representation interpretability an </w:t>
      </w:r>
      <w:r w:rsidR="00491650">
        <w:t>incredibly</w:t>
      </w:r>
      <w:r>
        <w:t xml:space="preserve"> important design </w:t>
      </w:r>
      <w:proofErr w:type="gramStart"/>
      <w:r w:rsidR="00491650">
        <w:t>criteria</w:t>
      </w:r>
      <w:proofErr w:type="gramEnd"/>
      <w:r w:rsidR="00491650">
        <w:t>.</w:t>
      </w:r>
      <w:r>
        <w:t xml:space="preserve"> The convergence of </w:t>
      </w:r>
      <w:r w:rsidR="00491650">
        <w:t>expanding</w:t>
      </w:r>
      <w:r>
        <w:t xml:space="preserve"> </w:t>
      </w:r>
      <w:r w:rsidR="00491650">
        <w:t>discretization</w:t>
      </w:r>
      <w:r>
        <w:t xml:space="preserve"> techniques, powerful Transformer architectures, and established interpretability methodology creates a</w:t>
      </w:r>
      <w:r w:rsidR="00491650">
        <w:t xml:space="preserve">n </w:t>
      </w:r>
      <w:r>
        <w:t>opportunity to investigate whether semantically aligned discrete representations can be learned from RL observations without explicit supervision.</w:t>
      </w:r>
    </w:p>
    <w:p w14:paraId="35DC780F" w14:textId="77777777" w:rsidR="008E26E5" w:rsidRDefault="008E26E5">
      <w:pPr>
        <w:spacing w:after="80"/>
      </w:pPr>
    </w:p>
    <w:p w14:paraId="65F6AD3D" w14:textId="77777777" w:rsidR="008E26E5" w:rsidRDefault="00000000">
      <w:pPr>
        <w:pStyle w:val="Heading2"/>
      </w:pPr>
      <w:r>
        <w:t>1.2 This thesis</w:t>
      </w:r>
    </w:p>
    <w:p w14:paraId="4360FC8A" w14:textId="555CDE6B" w:rsidR="008E26E5" w:rsidRDefault="00000000">
      <w:pPr>
        <w:spacing w:after="160" w:line="360" w:lineRule="auto"/>
      </w:pPr>
      <w:r>
        <w:t>This thesis investigates how a Transformer-ba</w:t>
      </w:r>
      <w:r w:rsidR="004327CE">
        <w:t>sed</w:t>
      </w:r>
      <w:r>
        <w:t xml:space="preserve"> encoder can be trained to </w:t>
      </w:r>
      <w:r w:rsidR="004327CE">
        <w:t>build a codebook consisting of</w:t>
      </w:r>
      <w:r>
        <w:t xml:space="preserve"> </w:t>
      </w:r>
      <w:r w:rsidR="004327CE">
        <w:t xml:space="preserve">a vocabulary of </w:t>
      </w:r>
      <w:r>
        <w:t xml:space="preserve">compact, discrete </w:t>
      </w:r>
      <w:r w:rsidR="004327CE">
        <w:t>state tokens</w:t>
      </w:r>
      <w:r>
        <w:t xml:space="preserve"> from continuous RL observations, and examines the </w:t>
      </w:r>
      <w:r w:rsidR="004327CE">
        <w:t>extent</w:t>
      </w:r>
      <w:r>
        <w:t xml:space="preserve"> to which these tokens align with semantically </w:t>
      </w:r>
      <w:r>
        <w:lastRenderedPageBreak/>
        <w:t xml:space="preserve">meaningful environment states </w:t>
      </w:r>
      <w:r w:rsidR="004327CE">
        <w:t>without explicit label supervision</w:t>
      </w:r>
      <w:r>
        <w:t xml:space="preserve">. The primary environment is MiniGrid-DoorKey-5x5 (Chevalier-Boisvert et al., 2023), a </w:t>
      </w:r>
      <w:r w:rsidR="004327CE">
        <w:t>partially observable</w:t>
      </w:r>
      <w:r>
        <w:t xml:space="preserve"> grid-world in which an agent must retrieve a key, unlock a door, and reach a goal. This environment is chosen because </w:t>
      </w:r>
      <w:r w:rsidR="004327CE">
        <w:t>it grants</w:t>
      </w:r>
      <w:r>
        <w:t xml:space="preserve"> access to ground-truth state descriptions</w:t>
      </w:r>
      <w:r w:rsidR="004327CE">
        <w:t xml:space="preserve"> such as: </w:t>
      </w:r>
      <w:r>
        <w:t>door locked, agent carrying key</w:t>
      </w:r>
      <w:r w:rsidR="004327CE">
        <w:t xml:space="preserve">. This </w:t>
      </w:r>
      <w:r>
        <w:t xml:space="preserve">allows direct, quantitative measurement of token-to-concept alignment, which is not possible in </w:t>
      </w:r>
      <w:r w:rsidR="004327CE">
        <w:t>other richer environments such as Atari.</w:t>
      </w:r>
    </w:p>
    <w:p w14:paraId="7AC50BE0" w14:textId="77777777" w:rsidR="008E26E5" w:rsidRDefault="008E26E5">
      <w:pPr>
        <w:spacing w:after="80"/>
      </w:pPr>
    </w:p>
    <w:p w14:paraId="74659718" w14:textId="447FBCC9" w:rsidR="008E26E5" w:rsidRDefault="00000000">
      <w:pPr>
        <w:spacing w:after="160" w:line="360" w:lineRule="auto"/>
      </w:pPr>
      <w:r>
        <w:t xml:space="preserve">The encoder uses a Transformer </w:t>
      </w:r>
      <w:r w:rsidR="004327CE">
        <w:t>base model</w:t>
      </w:r>
      <w:r>
        <w:t xml:space="preserve"> </w:t>
      </w:r>
      <w:r w:rsidR="004327CE">
        <w:t xml:space="preserve">which receives </w:t>
      </w:r>
      <w:r>
        <w:t>a 7x7 grid observation and produce</w:t>
      </w:r>
      <w:r w:rsidR="004327CE">
        <w:t>s</w:t>
      </w:r>
      <w:r>
        <w:t xml:space="preserve"> a single summary vector, which is then </w:t>
      </w:r>
      <w:r w:rsidR="004327CE">
        <w:t>quantized</w:t>
      </w:r>
      <w:r>
        <w:t xml:space="preserve"> to the nearest entry in a learned codebook using vector-</w:t>
      </w:r>
      <w:r w:rsidR="004327CE">
        <w:t>quantization</w:t>
      </w:r>
      <w:r>
        <w:t xml:space="preserve"> techniques (van den Oord et al., 2017). The </w:t>
      </w:r>
      <w:r w:rsidR="004327CE">
        <w:t xml:space="preserve">transformer </w:t>
      </w:r>
      <w:r>
        <w:t>encoder is trained purely on reconstruction</w:t>
      </w:r>
      <w:r w:rsidR="004327CE">
        <w:t>.</w:t>
      </w:r>
      <w:r>
        <w:t xml:space="preserve"> </w:t>
      </w:r>
      <w:r w:rsidR="004327CE">
        <w:t>I</w:t>
      </w:r>
      <w:r>
        <w:t>t receives no reward signal and no semantic labels</w:t>
      </w:r>
      <w:commentRangeStart w:id="0"/>
      <w:r>
        <w:t xml:space="preserve">. </w:t>
      </w:r>
      <w:commentRangeEnd w:id="0"/>
      <w:r w:rsidR="004327CE">
        <w:rPr>
          <w:rStyle w:val="CommentReference"/>
        </w:rPr>
        <w:commentReference w:id="0"/>
      </w:r>
    </w:p>
    <w:p w14:paraId="7862642F" w14:textId="77777777" w:rsidR="008E26E5" w:rsidRDefault="008E26E5">
      <w:pPr>
        <w:spacing w:after="80"/>
      </w:pPr>
    </w:p>
    <w:p w14:paraId="71AA51A3" w14:textId="77777777" w:rsidR="008E26E5" w:rsidRDefault="00000000">
      <w:pPr>
        <w:pStyle w:val="Heading2"/>
      </w:pPr>
      <w:r>
        <w:t>1.3 Research questions</w:t>
      </w:r>
    </w:p>
    <w:p w14:paraId="2E0AD014" w14:textId="77777777" w:rsidR="008E26E5" w:rsidRDefault="00000000">
      <w:pPr>
        <w:spacing w:after="160" w:line="360" w:lineRule="auto"/>
      </w:pPr>
      <w:r>
        <w:rPr>
          <w:b/>
          <w:bCs/>
        </w:rPr>
        <w:t>Main research question:</w:t>
      </w:r>
    </w:p>
    <w:p w14:paraId="1A7DD4D9" w14:textId="23B27C6F" w:rsidR="008E26E5" w:rsidRDefault="004327CE">
      <w:pPr>
        <w:spacing w:after="80"/>
      </w:pPr>
      <w:r w:rsidRPr="004327CE">
        <w:t xml:space="preserve">Can discrete, transformer-based state encoders learn semantically meaningful abstractions that improve </w:t>
      </w:r>
      <w:r>
        <w:t>sample</w:t>
      </w:r>
      <w:r w:rsidRPr="004327CE">
        <w:t xml:space="preserve"> efficiency </w:t>
      </w:r>
      <w:r>
        <w:t xml:space="preserve">and generalizability </w:t>
      </w:r>
      <w:r w:rsidRPr="004327CE">
        <w:t>in high-dimensional reinforcement learning environments?</w:t>
      </w:r>
    </w:p>
    <w:p w14:paraId="28B65E02" w14:textId="77777777" w:rsidR="004327CE" w:rsidRDefault="004327CE">
      <w:pPr>
        <w:spacing w:after="80"/>
      </w:pPr>
    </w:p>
    <w:p w14:paraId="1857368B" w14:textId="5B039C2E" w:rsidR="008E26E5" w:rsidRDefault="00000000" w:rsidP="004327CE">
      <w:pPr>
        <w:spacing w:after="160" w:line="360" w:lineRule="auto"/>
      </w:pPr>
      <w:r>
        <w:rPr>
          <w:b/>
          <w:bCs/>
        </w:rPr>
        <w:t>Sub-questions:</w:t>
      </w:r>
    </w:p>
    <w:p w14:paraId="3060942C" w14:textId="77777777" w:rsidR="004327CE" w:rsidRPr="004327CE" w:rsidRDefault="004327CE" w:rsidP="004327CE">
      <w:pPr>
        <w:pStyle w:val="ListParagraph"/>
        <w:numPr>
          <w:ilvl w:val="0"/>
          <w:numId w:val="3"/>
        </w:numPr>
      </w:pPr>
      <w:r w:rsidRPr="004327CE">
        <w:t>Does a VQ-style transformer encoder learn stable, reusable discrete tokens from continuous visual input?</w:t>
      </w:r>
    </w:p>
    <w:p w14:paraId="4D4CA604" w14:textId="2680A5AD" w:rsidR="004327CE" w:rsidRPr="004327CE" w:rsidRDefault="004327CE" w:rsidP="004327CE">
      <w:pPr>
        <w:pStyle w:val="ListParagraph"/>
        <w:numPr>
          <w:ilvl w:val="0"/>
          <w:numId w:val="3"/>
        </w:numPr>
      </w:pPr>
      <w:r w:rsidRPr="004327CE">
        <w:t>Do these tokens correspond to semantically meaningful environment states?</w:t>
      </w:r>
    </w:p>
    <w:p w14:paraId="00BF8D22" w14:textId="77777777" w:rsidR="004327CE" w:rsidRPr="004327CE" w:rsidRDefault="004327CE" w:rsidP="004327CE"/>
    <w:p w14:paraId="0E61F317" w14:textId="6255D1ED" w:rsidR="004327CE" w:rsidRPr="004327CE" w:rsidRDefault="004327CE" w:rsidP="004327CE">
      <w:pPr>
        <w:pStyle w:val="ListParagraph"/>
        <w:numPr>
          <w:ilvl w:val="0"/>
          <w:numId w:val="3"/>
        </w:numPr>
      </w:pPr>
      <w:r w:rsidRPr="004327CE">
        <w:t>Does planning over discrete tokens reduce sample complexity compared to planning in continuous latent space?</w:t>
      </w:r>
    </w:p>
    <w:p w14:paraId="5EB773B9" w14:textId="44882F38" w:rsidR="004327CE" w:rsidRPr="004327CE" w:rsidRDefault="004327CE" w:rsidP="004327CE">
      <w:pPr>
        <w:pStyle w:val="ListParagraph"/>
        <w:numPr>
          <w:ilvl w:val="0"/>
          <w:numId w:val="3"/>
        </w:numPr>
      </w:pPr>
      <w:r w:rsidRPr="004327CE">
        <w:t>Does tokenization reduce planning horizon complexity or improve generalization?</w:t>
      </w:r>
    </w:p>
    <w:p w14:paraId="49D6A418" w14:textId="77777777" w:rsidR="004327CE" w:rsidRPr="004327CE" w:rsidRDefault="004327CE" w:rsidP="004327CE"/>
    <w:p w14:paraId="0C25769A" w14:textId="2DFFEC45" w:rsidR="004327CE" w:rsidRPr="004327CE" w:rsidRDefault="004327CE" w:rsidP="004327CE">
      <w:pPr>
        <w:pStyle w:val="ListParagraph"/>
        <w:numPr>
          <w:ilvl w:val="0"/>
          <w:numId w:val="3"/>
        </w:numPr>
      </w:pPr>
      <w:r w:rsidRPr="004327CE">
        <w:t>How interpretable are the learned tokens?</w:t>
      </w:r>
    </w:p>
    <w:p w14:paraId="5FC4A909" w14:textId="77777777" w:rsidR="008E26E5" w:rsidRDefault="008E26E5">
      <w:pPr>
        <w:spacing w:after="80"/>
      </w:pPr>
    </w:p>
    <w:p w14:paraId="1695BA34" w14:textId="77777777" w:rsidR="008E26E5" w:rsidRDefault="00000000">
      <w:r>
        <w:br w:type="page"/>
      </w:r>
    </w:p>
    <w:p w14:paraId="09152101" w14:textId="77777777" w:rsidR="008E26E5" w:rsidRDefault="00000000">
      <w:pPr>
        <w:pStyle w:val="Heading1"/>
      </w:pPr>
      <w:r>
        <w:lastRenderedPageBreak/>
        <w:t>2. Related Work</w:t>
      </w:r>
    </w:p>
    <w:p w14:paraId="31A5A068" w14:textId="77777777" w:rsidR="008E26E5" w:rsidRDefault="008E26E5">
      <w:pPr>
        <w:spacing w:after="80"/>
      </w:pPr>
    </w:p>
    <w:p w14:paraId="0AD6B647" w14:textId="77777777" w:rsidR="004D4AAD" w:rsidRDefault="00000000" w:rsidP="004D4AAD">
      <w:pPr>
        <w:pStyle w:val="Heading2"/>
      </w:pPr>
      <w:r>
        <w:t>2.1 Discrete Representation Learning</w:t>
      </w:r>
    </w:p>
    <w:p w14:paraId="4CD1C114" w14:textId="61B8D52B" w:rsid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4D4AAD">
        <w:rPr>
          <w:b w:val="0"/>
          <w:bCs w:val="0"/>
          <w:sz w:val="24"/>
          <w:szCs w:val="24"/>
        </w:rPr>
        <w:t>VQ-VAE, VQ-VAE2</w:t>
      </w:r>
    </w:p>
    <w:p w14:paraId="04F3F05B" w14:textId="6916176B" w:rsidR="004D4AAD" w:rsidRP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FSQ</w:t>
      </w:r>
    </w:p>
    <w:p w14:paraId="04732943" w14:textId="06D23947" w:rsidR="008E26E5" w:rsidRP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4D4AAD">
        <w:rPr>
          <w:b w:val="0"/>
          <w:bCs w:val="0"/>
          <w:sz w:val="24"/>
          <w:szCs w:val="24"/>
        </w:rPr>
        <w:t>Straight through estimator, codebook collapse EMA updates</w:t>
      </w:r>
    </w:p>
    <w:p w14:paraId="5102A3B7" w14:textId="77777777" w:rsidR="008E26E5" w:rsidRDefault="00000000">
      <w:pPr>
        <w:pStyle w:val="Heading2"/>
      </w:pPr>
      <w:r>
        <w:t>2.2 World Models and Latent-Space Policy Learning</w:t>
      </w:r>
    </w:p>
    <w:p w14:paraId="0296629A" w14:textId="1B01D5D1" w:rsidR="004D4AAD" w:rsidRP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commentRangeStart w:id="1"/>
      <w:r w:rsidRPr="004D4AAD">
        <w:rPr>
          <w:b w:val="0"/>
          <w:bCs w:val="0"/>
          <w:sz w:val="24"/>
          <w:szCs w:val="24"/>
        </w:rPr>
        <w:t>Dreamer Variants</w:t>
      </w:r>
    </w:p>
    <w:p w14:paraId="7CABCD89" w14:textId="4865F321" w:rsidR="004D4AAD" w:rsidRP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4D4AAD">
        <w:rPr>
          <w:b w:val="0"/>
          <w:bCs w:val="0"/>
          <w:sz w:val="24"/>
          <w:szCs w:val="24"/>
        </w:rPr>
        <w:t>IRIS</w:t>
      </w:r>
    </w:p>
    <w:p w14:paraId="2161165E" w14:textId="6AD02EE9" w:rsidR="004D4AAD" w:rsidRP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4D4AAD">
        <w:rPr>
          <w:b w:val="0"/>
          <w:bCs w:val="0"/>
          <w:sz w:val="24"/>
          <w:szCs w:val="24"/>
        </w:rPr>
        <w:t>TDMPC2</w:t>
      </w:r>
    </w:p>
    <w:p w14:paraId="77CFEC9E" w14:textId="3D68248F" w:rsidR="004D4AAD" w:rsidRP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proofErr w:type="spellStart"/>
      <w:r w:rsidRPr="004D4AAD">
        <w:rPr>
          <w:b w:val="0"/>
          <w:bCs w:val="0"/>
          <w:sz w:val="24"/>
          <w:szCs w:val="24"/>
        </w:rPr>
        <w:t>PlaNet</w:t>
      </w:r>
      <w:proofErr w:type="spellEnd"/>
    </w:p>
    <w:p w14:paraId="7CF62F2B" w14:textId="0A36557B" w:rsidR="004D4AAD" w:rsidRPr="004D4AAD" w:rsidRDefault="004D4AAD" w:rsidP="004D4AAD">
      <w:pPr>
        <w:pStyle w:val="Heading2"/>
        <w:numPr>
          <w:ilvl w:val="0"/>
          <w:numId w:val="5"/>
        </w:numPr>
        <w:rPr>
          <w:b w:val="0"/>
          <w:bCs w:val="0"/>
          <w:sz w:val="24"/>
          <w:szCs w:val="24"/>
        </w:rPr>
      </w:pPr>
      <w:r w:rsidRPr="004D4AAD">
        <w:rPr>
          <w:b w:val="0"/>
          <w:bCs w:val="0"/>
          <w:sz w:val="24"/>
          <w:szCs w:val="24"/>
        </w:rPr>
        <w:t>Continuous vs Latent</w:t>
      </w:r>
      <w:commentRangeEnd w:id="1"/>
      <w:r w:rsidRPr="004D4AAD">
        <w:rPr>
          <w:sz w:val="24"/>
          <w:szCs w:val="24"/>
        </w:rPr>
        <w:commentReference w:id="1"/>
      </w:r>
    </w:p>
    <w:p w14:paraId="1D56A6A9" w14:textId="77777777" w:rsidR="008E26E5" w:rsidRDefault="008E26E5">
      <w:pPr>
        <w:spacing w:after="80"/>
      </w:pPr>
    </w:p>
    <w:p w14:paraId="20447431" w14:textId="77777777" w:rsidR="008E26E5" w:rsidRDefault="00000000">
      <w:pPr>
        <w:pStyle w:val="Heading2"/>
      </w:pPr>
      <w:r>
        <w:t>2.3 Transformer Architectures in Reinforcement Learning</w:t>
      </w:r>
    </w:p>
    <w:p w14:paraId="5A7DB942" w14:textId="77777777" w:rsidR="008E26E5" w:rsidRDefault="008E26E5">
      <w:pPr>
        <w:spacing w:after="80"/>
      </w:pPr>
    </w:p>
    <w:p w14:paraId="243910CA" w14:textId="77777777" w:rsidR="008E26E5" w:rsidRDefault="00000000">
      <w:pPr>
        <w:pStyle w:val="Heading2"/>
      </w:pPr>
      <w:r>
        <w:t>2.4 Interpretability of Learned Representations</w:t>
      </w:r>
    </w:p>
    <w:p w14:paraId="5EC3F43C" w14:textId="77777777" w:rsidR="008E26E5" w:rsidRDefault="008E26E5">
      <w:pPr>
        <w:spacing w:after="80"/>
      </w:pPr>
    </w:p>
    <w:p w14:paraId="1E7D92CB" w14:textId="77777777" w:rsidR="008E26E5" w:rsidRDefault="00000000">
      <w:r>
        <w:br w:type="page"/>
      </w:r>
    </w:p>
    <w:p w14:paraId="527525ED" w14:textId="77777777" w:rsidR="008E26E5" w:rsidRDefault="00000000">
      <w:pPr>
        <w:pStyle w:val="Heading1"/>
      </w:pPr>
      <w:r>
        <w:lastRenderedPageBreak/>
        <w:t>3. Methodology</w:t>
      </w:r>
    </w:p>
    <w:p w14:paraId="733CC711" w14:textId="77777777" w:rsidR="008E26E5" w:rsidRDefault="00000000">
      <w:pPr>
        <w:pStyle w:val="Heading2"/>
      </w:pPr>
      <w:r>
        <w:t>3.1 Environment and data</w:t>
      </w:r>
    </w:p>
    <w:p w14:paraId="388CC4A7" w14:textId="77777777" w:rsidR="008E26E5" w:rsidRDefault="008E26E5">
      <w:pPr>
        <w:spacing w:after="80"/>
      </w:pPr>
    </w:p>
    <w:p w14:paraId="0B61121D" w14:textId="77777777" w:rsidR="008E26E5" w:rsidRDefault="00000000">
      <w:pPr>
        <w:pStyle w:val="Heading2"/>
      </w:pPr>
      <w:r>
        <w:t>3.2 Encoder architecture</w:t>
      </w:r>
    </w:p>
    <w:p w14:paraId="5647F0DA" w14:textId="77777777" w:rsidR="008E26E5" w:rsidRDefault="008E26E5">
      <w:pPr>
        <w:spacing w:after="80"/>
      </w:pPr>
    </w:p>
    <w:p w14:paraId="20EFD04F" w14:textId="77777777" w:rsidR="008E26E5" w:rsidRDefault="00000000">
      <w:pPr>
        <w:pStyle w:val="Heading2"/>
      </w:pPr>
      <w:r>
        <w:t>3.3 Encoder pre-training</w:t>
      </w:r>
    </w:p>
    <w:p w14:paraId="3586E625" w14:textId="77777777" w:rsidR="008E26E5" w:rsidRDefault="008E26E5">
      <w:pPr>
        <w:spacing w:after="80"/>
      </w:pPr>
    </w:p>
    <w:p w14:paraId="1337D696" w14:textId="77777777" w:rsidR="008E26E5" w:rsidRDefault="00000000">
      <w:pPr>
        <w:pStyle w:val="Heading2"/>
      </w:pPr>
      <w:r>
        <w:t>3.4 Policy conditions</w:t>
      </w:r>
    </w:p>
    <w:p w14:paraId="58A0CEFF" w14:textId="77777777" w:rsidR="008E26E5" w:rsidRDefault="008E26E5">
      <w:pPr>
        <w:spacing w:after="80"/>
      </w:pPr>
    </w:p>
    <w:p w14:paraId="2C31E6A1" w14:textId="77777777" w:rsidR="008E26E5" w:rsidRDefault="00000000">
      <w:pPr>
        <w:pStyle w:val="Heading2"/>
      </w:pPr>
      <w:r>
        <w:t>3.5 Evaluation</w:t>
      </w:r>
    </w:p>
    <w:p w14:paraId="13BD6872" w14:textId="77777777" w:rsidR="008E26E5" w:rsidRDefault="008E26E5">
      <w:pPr>
        <w:spacing w:after="80"/>
      </w:pPr>
    </w:p>
    <w:p w14:paraId="645CAC63" w14:textId="77777777" w:rsidR="008E26E5" w:rsidRDefault="00000000">
      <w:r>
        <w:br w:type="page"/>
      </w:r>
    </w:p>
    <w:p w14:paraId="524E3D09" w14:textId="77777777" w:rsidR="008E26E5" w:rsidRDefault="00000000">
      <w:pPr>
        <w:pStyle w:val="Heading1"/>
      </w:pPr>
      <w:r>
        <w:lastRenderedPageBreak/>
        <w:t>4. Results</w:t>
      </w:r>
    </w:p>
    <w:p w14:paraId="73812A77" w14:textId="77777777" w:rsidR="008E26E5" w:rsidRDefault="008E26E5">
      <w:pPr>
        <w:spacing w:after="80"/>
      </w:pPr>
    </w:p>
    <w:p w14:paraId="6B0772BF" w14:textId="2636C33C" w:rsidR="008E26E5" w:rsidRDefault="00000000" w:rsidP="004D4AAD">
      <w:pPr>
        <w:pStyle w:val="Heading2"/>
      </w:pPr>
      <w:r>
        <w:t>4.1 Encoder pre-training</w:t>
      </w:r>
    </w:p>
    <w:p w14:paraId="17C9E733" w14:textId="77777777" w:rsidR="008E26E5" w:rsidRDefault="008E26E5">
      <w:pPr>
        <w:spacing w:after="80"/>
      </w:pPr>
    </w:p>
    <w:p w14:paraId="37B752E4" w14:textId="77777777" w:rsidR="008E26E5" w:rsidRDefault="00000000">
      <w:pPr>
        <w:pStyle w:val="Heading2"/>
      </w:pPr>
      <w:r>
        <w:t>4.2 Semantic alignment</w:t>
      </w:r>
    </w:p>
    <w:p w14:paraId="025DF34A" w14:textId="77777777" w:rsidR="008E26E5" w:rsidRDefault="008E26E5">
      <w:pPr>
        <w:spacing w:after="80"/>
      </w:pPr>
    </w:p>
    <w:p w14:paraId="694B0152" w14:textId="77777777" w:rsidR="008E26E5" w:rsidRDefault="00000000">
      <w:pPr>
        <w:pStyle w:val="Heading2"/>
      </w:pPr>
      <w:r>
        <w:t>4.3 Policy learning efficiency</w:t>
      </w:r>
    </w:p>
    <w:p w14:paraId="37514635" w14:textId="77777777" w:rsidR="008E26E5" w:rsidRDefault="008E26E5">
      <w:pPr>
        <w:spacing w:after="80"/>
      </w:pPr>
    </w:p>
    <w:p w14:paraId="43FF2EE7" w14:textId="77777777" w:rsidR="008E26E5" w:rsidRDefault="00000000">
      <w:r>
        <w:br w:type="page"/>
      </w:r>
    </w:p>
    <w:p w14:paraId="4591395A" w14:textId="0E0EAF5B" w:rsidR="004D4AAD" w:rsidRDefault="00000000" w:rsidP="004D4AAD">
      <w:pPr>
        <w:pStyle w:val="Heading1"/>
      </w:pPr>
      <w:r>
        <w:lastRenderedPageBreak/>
        <w:t>5. Discussion</w:t>
      </w:r>
    </w:p>
    <w:p w14:paraId="7D017D7D" w14:textId="09690428" w:rsidR="008E26E5" w:rsidRDefault="004D4AAD">
      <w:pPr>
        <w:spacing w:after="80"/>
      </w:pPr>
      <w:r>
        <w:t>Findings</w:t>
      </w:r>
      <w:r w:rsidRPr="004D4AAD">
        <w:t xml:space="preserve"> in relation to each research question</w:t>
      </w:r>
    </w:p>
    <w:p w14:paraId="4C43AE05" w14:textId="7050A73F" w:rsidR="004D4AAD" w:rsidRPr="004D4AAD" w:rsidRDefault="00000000" w:rsidP="004D4AAD">
      <w:pPr>
        <w:pStyle w:val="Heading2"/>
      </w:pPr>
      <w:r>
        <w:t>5.1 Codebook quality and the EMA fix</w:t>
      </w:r>
    </w:p>
    <w:p w14:paraId="1497E675" w14:textId="7615B19A" w:rsidR="008E26E5" w:rsidRDefault="004D4AAD">
      <w:pPr>
        <w:spacing w:after="80"/>
      </w:pPr>
      <w:r>
        <w:t>Discuss I</w:t>
      </w:r>
      <w:r w:rsidRPr="004D4AAD">
        <w:t>nitial codebook collapse (11/32 active), why gradient-based updates caused it (positive feedback loop + skewed data distribution), how EMA + dead-code</w:t>
      </w:r>
      <w:r>
        <w:t xml:space="preserve"> update works</w:t>
      </w:r>
    </w:p>
    <w:p w14:paraId="0387AC1D" w14:textId="1C229D3F" w:rsidR="008E26E5" w:rsidRDefault="00000000" w:rsidP="004D4AAD">
      <w:pPr>
        <w:pStyle w:val="Heading2"/>
      </w:pPr>
      <w:r>
        <w:t xml:space="preserve">5.2 Semantic alignment </w:t>
      </w:r>
    </w:p>
    <w:p w14:paraId="06E277C1" w14:textId="76F738F9" w:rsidR="008E26E5" w:rsidRDefault="00000000">
      <w:pPr>
        <w:pStyle w:val="Heading2"/>
      </w:pPr>
      <w:r>
        <w:t xml:space="preserve">5.3 Policy learning </w:t>
      </w:r>
    </w:p>
    <w:p w14:paraId="0BA8CBF5" w14:textId="77777777" w:rsidR="008E26E5" w:rsidRDefault="008E26E5">
      <w:pPr>
        <w:spacing w:after="80"/>
      </w:pPr>
    </w:p>
    <w:p w14:paraId="0F87FF14" w14:textId="0551A66A" w:rsidR="008E26E5" w:rsidRDefault="00000000" w:rsidP="004D4AAD">
      <w:pPr>
        <w:pStyle w:val="Heading2"/>
      </w:pPr>
      <w:r>
        <w:t xml:space="preserve">5.4 Architecture progression </w:t>
      </w:r>
    </w:p>
    <w:p w14:paraId="6F515D15" w14:textId="77777777" w:rsidR="008E26E5" w:rsidRDefault="008E26E5">
      <w:pPr>
        <w:spacing w:after="80"/>
      </w:pPr>
    </w:p>
    <w:p w14:paraId="1F6CDF06" w14:textId="77777777" w:rsidR="008E26E5" w:rsidRDefault="00000000">
      <w:pPr>
        <w:pStyle w:val="Heading2"/>
      </w:pPr>
      <w:r>
        <w:t>5.5 Limitations</w:t>
      </w:r>
    </w:p>
    <w:p w14:paraId="64910C2E" w14:textId="77777777" w:rsidR="008E26E5" w:rsidRDefault="008E26E5">
      <w:pPr>
        <w:spacing w:after="80"/>
      </w:pPr>
    </w:p>
    <w:p w14:paraId="2B8D32FA" w14:textId="77777777" w:rsidR="008E26E5" w:rsidRDefault="00000000">
      <w:pPr>
        <w:pStyle w:val="Heading2"/>
      </w:pPr>
      <w:r>
        <w:t>5.6 Future work</w:t>
      </w:r>
    </w:p>
    <w:p w14:paraId="321656F0" w14:textId="77777777" w:rsidR="008E26E5" w:rsidRDefault="008E26E5">
      <w:pPr>
        <w:spacing w:after="80"/>
      </w:pPr>
    </w:p>
    <w:p w14:paraId="3527F91B" w14:textId="035035B8" w:rsidR="008E26E5" w:rsidRDefault="00000000" w:rsidP="004D4AAD">
      <w:pPr>
        <w:pStyle w:val="Heading1"/>
      </w:pPr>
      <w:r>
        <w:t>6. Conclusion</w:t>
      </w:r>
    </w:p>
    <w:p w14:paraId="34811131" w14:textId="77777777" w:rsidR="008E26E5" w:rsidRDefault="00000000">
      <w:pPr>
        <w:pStyle w:val="Heading1"/>
      </w:pPr>
      <w:r>
        <w:t>References</w:t>
      </w:r>
    </w:p>
    <w:p w14:paraId="23D25DAC" w14:textId="77777777" w:rsidR="008E26E5" w:rsidRDefault="008E26E5">
      <w:pPr>
        <w:spacing w:after="80"/>
      </w:pPr>
    </w:p>
    <w:p w14:paraId="58605E28" w14:textId="77777777" w:rsidR="008E26E5" w:rsidRDefault="00000000">
      <w:pPr>
        <w:spacing w:after="160" w:line="360" w:lineRule="auto"/>
      </w:pPr>
      <w:r>
        <w:t>Alain, G., &amp; Bengio, Y. (2017). Understanding intermediate layers using linear classifier probes. ICLR Workshop.</w:t>
      </w:r>
    </w:p>
    <w:p w14:paraId="04091A19" w14:textId="77777777" w:rsidR="008E26E5" w:rsidRPr="00983428" w:rsidRDefault="00000000">
      <w:pPr>
        <w:spacing w:after="160" w:line="360" w:lineRule="auto"/>
        <w:rPr>
          <w:lang w:val="nl-NL"/>
        </w:rPr>
      </w:pPr>
      <w:r>
        <w:t xml:space="preserve">Agarwal, R., Schwarzer, M., Castro, P. S., Courville, A., &amp; Bellemare, M. G. (2021). Deep reinforcement learning at the edge of the statistical precipice. </w:t>
      </w:r>
      <w:proofErr w:type="spellStart"/>
      <w:r w:rsidRPr="00983428">
        <w:rPr>
          <w:lang w:val="nl-NL"/>
        </w:rPr>
        <w:t>NeurIPS</w:t>
      </w:r>
      <w:proofErr w:type="spellEnd"/>
      <w:r w:rsidRPr="00983428">
        <w:rPr>
          <w:lang w:val="nl-NL"/>
        </w:rPr>
        <w:t>.</w:t>
      </w:r>
    </w:p>
    <w:p w14:paraId="6C3AE455" w14:textId="77777777" w:rsidR="008E26E5" w:rsidRDefault="00000000">
      <w:pPr>
        <w:spacing w:after="160" w:line="360" w:lineRule="auto"/>
      </w:pPr>
      <w:proofErr w:type="spellStart"/>
      <w:r w:rsidRPr="00983428">
        <w:rPr>
          <w:lang w:val="nl-NL"/>
        </w:rPr>
        <w:t>Chevalier-Boisvert</w:t>
      </w:r>
      <w:proofErr w:type="spellEnd"/>
      <w:r w:rsidRPr="00983428">
        <w:rPr>
          <w:lang w:val="nl-NL"/>
        </w:rPr>
        <w:t xml:space="preserve">, M., Dai, B., Towers, M., et al. </w:t>
      </w:r>
      <w:r>
        <w:t xml:space="preserve">(2023). </w:t>
      </w:r>
      <w:proofErr w:type="spellStart"/>
      <w:r>
        <w:t>Minigrid</w:t>
      </w:r>
      <w:proofErr w:type="spellEnd"/>
      <w:r>
        <w:t xml:space="preserve"> &amp; </w:t>
      </w:r>
      <w:proofErr w:type="spellStart"/>
      <w:r>
        <w:t>miniworld</w:t>
      </w:r>
      <w:proofErr w:type="spellEnd"/>
      <w:r>
        <w:t xml:space="preserve">: Modular &amp; customizable reinforcement learning environments for goal-oriented tasks. </w:t>
      </w:r>
      <w:proofErr w:type="spellStart"/>
      <w:r>
        <w:t>NeurIPS</w:t>
      </w:r>
      <w:proofErr w:type="spellEnd"/>
      <w:r>
        <w:t xml:space="preserve"> Datasets and Benchmarks.</w:t>
      </w:r>
    </w:p>
    <w:p w14:paraId="2A567403" w14:textId="77777777" w:rsidR="008E26E5" w:rsidRDefault="00000000">
      <w:pPr>
        <w:spacing w:after="160" w:line="360" w:lineRule="auto"/>
      </w:pPr>
      <w:r>
        <w:t>Doshi-Velez, F., &amp; Kim, B. (2017). Towards a rigorous science of interpretable machine learning. arXiv:1702.08608.</w:t>
      </w:r>
    </w:p>
    <w:p w14:paraId="51AD568E" w14:textId="77777777" w:rsidR="008E26E5" w:rsidRDefault="00000000">
      <w:pPr>
        <w:spacing w:after="160" w:line="360" w:lineRule="auto"/>
      </w:pPr>
      <w:r>
        <w:lastRenderedPageBreak/>
        <w:t xml:space="preserve">Hafner, D., </w:t>
      </w:r>
      <w:proofErr w:type="spellStart"/>
      <w:r>
        <w:t>Lillicrap</w:t>
      </w:r>
      <w:proofErr w:type="spellEnd"/>
      <w:r>
        <w:t>, T., Fischer, I., Villegas, R., Ha, D., Lee, H., &amp; Davidson, J. (2019). Learning latent dynamics for planning from pixels. ICML.</w:t>
      </w:r>
    </w:p>
    <w:p w14:paraId="01DE59A9" w14:textId="77777777" w:rsidR="008E26E5" w:rsidRDefault="00000000">
      <w:pPr>
        <w:spacing w:after="160" w:line="360" w:lineRule="auto"/>
      </w:pPr>
      <w:r>
        <w:t xml:space="preserve">Hafner, D., </w:t>
      </w:r>
      <w:proofErr w:type="spellStart"/>
      <w:r>
        <w:t>Lillicrap</w:t>
      </w:r>
      <w:proofErr w:type="spellEnd"/>
      <w:r>
        <w:t xml:space="preserve">, T., </w:t>
      </w:r>
      <w:proofErr w:type="spellStart"/>
      <w:r>
        <w:t>Norouzi</w:t>
      </w:r>
      <w:proofErr w:type="spellEnd"/>
      <w:r>
        <w:t>, M., &amp; Ba, J. (2020). Dream to control: Learning behaviors by latent imagination. ICLR.</w:t>
      </w:r>
    </w:p>
    <w:p w14:paraId="4A22543A" w14:textId="77777777" w:rsidR="008E26E5" w:rsidRDefault="00000000">
      <w:pPr>
        <w:spacing w:after="160" w:line="360" w:lineRule="auto"/>
      </w:pPr>
      <w:r>
        <w:t xml:space="preserve">Hafner, D., </w:t>
      </w:r>
      <w:proofErr w:type="spellStart"/>
      <w:r>
        <w:t>Pasukonis</w:t>
      </w:r>
      <w:proofErr w:type="spellEnd"/>
      <w:r>
        <w:t xml:space="preserve">, J., Ba, J., &amp; </w:t>
      </w:r>
      <w:proofErr w:type="spellStart"/>
      <w:r>
        <w:t>Lillicrap</w:t>
      </w:r>
      <w:proofErr w:type="spellEnd"/>
      <w:r>
        <w:t>, T. (2023). Mastering diverse domains through world models. arXiv:2301.04104.</w:t>
      </w:r>
    </w:p>
    <w:p w14:paraId="220618E1" w14:textId="77777777" w:rsidR="008E26E5" w:rsidRDefault="00000000">
      <w:pPr>
        <w:spacing w:after="160" w:line="360" w:lineRule="auto"/>
      </w:pPr>
      <w:r w:rsidRPr="00983428">
        <w:rPr>
          <w:lang w:val="nl-NL"/>
        </w:rPr>
        <w:t xml:space="preserve">Hansen, N., </w:t>
      </w:r>
      <w:proofErr w:type="spellStart"/>
      <w:r w:rsidRPr="00983428">
        <w:rPr>
          <w:lang w:val="nl-NL"/>
        </w:rPr>
        <w:t>Su</w:t>
      </w:r>
      <w:proofErr w:type="spellEnd"/>
      <w:r w:rsidRPr="00983428">
        <w:rPr>
          <w:lang w:val="nl-NL"/>
        </w:rPr>
        <w:t xml:space="preserve">, H., &amp; Wang, X. (2024). </w:t>
      </w:r>
      <w:r>
        <w:t>TD-MPC2: Scalable, robust world models for continuous control. ICLR.</w:t>
      </w:r>
    </w:p>
    <w:p w14:paraId="5EF5381E" w14:textId="77777777" w:rsidR="008E26E5" w:rsidRDefault="00000000">
      <w:pPr>
        <w:spacing w:after="160" w:line="360" w:lineRule="auto"/>
      </w:pPr>
      <w:r>
        <w:t xml:space="preserve">Higgins, I., Matthey, L., Pal, A., Burgess, C., </w:t>
      </w:r>
      <w:proofErr w:type="spellStart"/>
      <w:r>
        <w:t>Glorot</w:t>
      </w:r>
      <w:proofErr w:type="spellEnd"/>
      <w:r>
        <w:t xml:space="preserve">, X., </w:t>
      </w:r>
      <w:proofErr w:type="spellStart"/>
      <w:r>
        <w:t>Botvinick</w:t>
      </w:r>
      <w:proofErr w:type="spellEnd"/>
      <w:r>
        <w:t xml:space="preserve">, M., Mohamed, S., &amp; </w:t>
      </w:r>
      <w:proofErr w:type="spellStart"/>
      <w:r>
        <w:t>Lerchner</w:t>
      </w:r>
      <w:proofErr w:type="spellEnd"/>
      <w:r>
        <w:t>, A. (2017). beta-VAE: Learning basic visual concepts with a constrained variational framework. ICLR.</w:t>
      </w:r>
    </w:p>
    <w:p w14:paraId="0076C293" w14:textId="77777777" w:rsidR="008E26E5" w:rsidRDefault="00000000">
      <w:pPr>
        <w:spacing w:after="160" w:line="360" w:lineRule="auto"/>
      </w:pPr>
      <w:r>
        <w:t xml:space="preserve">Janner, M., Li, Q., &amp; Levine, S. (2021). Offline reinforcement learning as one big sequence modeling problem. </w:t>
      </w:r>
      <w:proofErr w:type="spellStart"/>
      <w:r>
        <w:t>NeurIPS</w:t>
      </w:r>
      <w:proofErr w:type="spellEnd"/>
      <w:r>
        <w:t>.</w:t>
      </w:r>
    </w:p>
    <w:p w14:paraId="6713358D" w14:textId="77777777" w:rsidR="008E26E5" w:rsidRDefault="00000000">
      <w:pPr>
        <w:spacing w:after="160" w:line="360" w:lineRule="auto"/>
      </w:pPr>
      <w:r>
        <w:t xml:space="preserve">Kaiser, L., </w:t>
      </w:r>
      <w:proofErr w:type="spellStart"/>
      <w:r>
        <w:t>Babaeizadeh</w:t>
      </w:r>
      <w:proofErr w:type="spellEnd"/>
      <w:r>
        <w:t xml:space="preserve">, M., Milos, P., Osinski, B., Campbell, R. H., </w:t>
      </w:r>
      <w:proofErr w:type="spellStart"/>
      <w:r>
        <w:t>Czechowski</w:t>
      </w:r>
      <w:proofErr w:type="spellEnd"/>
      <w:r>
        <w:t xml:space="preserve">, K., Erhan, D., Finn, C., </w:t>
      </w:r>
      <w:proofErr w:type="spellStart"/>
      <w:r>
        <w:t>Kozakowski</w:t>
      </w:r>
      <w:proofErr w:type="spellEnd"/>
      <w:r>
        <w:t xml:space="preserve">, P., Levine, S., Mohiuddin, A., </w:t>
      </w:r>
      <w:proofErr w:type="spellStart"/>
      <w:r>
        <w:t>Sepassi</w:t>
      </w:r>
      <w:proofErr w:type="spellEnd"/>
      <w:r>
        <w:t xml:space="preserve">, R., Tucker, G., &amp; </w:t>
      </w:r>
      <w:proofErr w:type="spellStart"/>
      <w:r>
        <w:t>Michalewski</w:t>
      </w:r>
      <w:proofErr w:type="spellEnd"/>
      <w:r>
        <w:t>, H. (2019). Model-based reinforcement learning for Atari. ICLR.</w:t>
      </w:r>
    </w:p>
    <w:p w14:paraId="66FA4C3F" w14:textId="77777777" w:rsidR="008E26E5" w:rsidRDefault="00000000">
      <w:pPr>
        <w:spacing w:after="160" w:line="360" w:lineRule="auto"/>
      </w:pPr>
      <w:r>
        <w:t xml:space="preserve">Koh, P. W., Nguyen, T., Tang, Y. S., </w:t>
      </w:r>
      <w:proofErr w:type="spellStart"/>
      <w:r>
        <w:t>Mussmann</w:t>
      </w:r>
      <w:proofErr w:type="spellEnd"/>
      <w:r>
        <w:t>, S., Pierson, E., Kim, B., &amp; Liang, P. (2020). Concept bottleneck models. ICML.</w:t>
      </w:r>
    </w:p>
    <w:p w14:paraId="2B4BF304" w14:textId="77777777" w:rsidR="008E26E5" w:rsidRDefault="00000000">
      <w:pPr>
        <w:spacing w:after="160" w:line="360" w:lineRule="auto"/>
      </w:pPr>
      <w:r>
        <w:t xml:space="preserve">Levine, S., Finn, C., Darrell, T., &amp; </w:t>
      </w:r>
      <w:proofErr w:type="spellStart"/>
      <w:r>
        <w:t>Abbeel</w:t>
      </w:r>
      <w:proofErr w:type="spellEnd"/>
      <w:r>
        <w:t>, P. (2016). End-to-end training of deep visuomotor policies. JMLR.</w:t>
      </w:r>
    </w:p>
    <w:p w14:paraId="1BB6AA09" w14:textId="77777777" w:rsidR="008E26E5" w:rsidRDefault="00000000">
      <w:pPr>
        <w:spacing w:after="160" w:line="360" w:lineRule="auto"/>
      </w:pPr>
      <w:r>
        <w:t xml:space="preserve">Mentzer, F., Foster, D., </w:t>
      </w:r>
      <w:proofErr w:type="spellStart"/>
      <w:r>
        <w:t>Minnen</w:t>
      </w:r>
      <w:proofErr w:type="spellEnd"/>
      <w:r>
        <w:t xml:space="preserve">, D., </w:t>
      </w:r>
      <w:proofErr w:type="spellStart"/>
      <w:r>
        <w:t>Agustsson</w:t>
      </w:r>
      <w:proofErr w:type="spellEnd"/>
      <w:r>
        <w:t xml:space="preserve">, E., &amp; </w:t>
      </w:r>
      <w:proofErr w:type="spellStart"/>
      <w:r>
        <w:t>Toderici</w:t>
      </w:r>
      <w:proofErr w:type="spellEnd"/>
      <w:r>
        <w:t>, G. (2023). Finite scalar quantization: VQ-VAE made simple. arXiv:2309.15505.</w:t>
      </w:r>
    </w:p>
    <w:p w14:paraId="49A5DCFB" w14:textId="77777777" w:rsidR="008E26E5" w:rsidRDefault="00000000">
      <w:pPr>
        <w:spacing w:after="160" w:line="360" w:lineRule="auto"/>
      </w:pPr>
      <w:r>
        <w:t>Micheli, V., Alonso, E., &amp; Fleuret, F. (2023). Transformers are sample-efficient world models. ICLR.</w:t>
      </w:r>
    </w:p>
    <w:p w14:paraId="7B1B6E7C" w14:textId="77777777" w:rsidR="008E26E5" w:rsidRDefault="00000000">
      <w:pPr>
        <w:spacing w:after="160" w:line="360" w:lineRule="auto"/>
      </w:pPr>
      <w:proofErr w:type="spellStart"/>
      <w:r>
        <w:t>Mnih</w:t>
      </w:r>
      <w:proofErr w:type="spellEnd"/>
      <w:r>
        <w:t xml:space="preserve">, V., </w:t>
      </w:r>
      <w:proofErr w:type="spellStart"/>
      <w:r>
        <w:t>Kavukcuoglu</w:t>
      </w:r>
      <w:proofErr w:type="spellEnd"/>
      <w:r>
        <w:t xml:space="preserve">, K., Silver, D., </w:t>
      </w:r>
      <w:proofErr w:type="spellStart"/>
      <w:r>
        <w:t>Rusu</w:t>
      </w:r>
      <w:proofErr w:type="spellEnd"/>
      <w:r>
        <w:t xml:space="preserve">, A. A., </w:t>
      </w:r>
      <w:proofErr w:type="spellStart"/>
      <w:r>
        <w:t>Veness</w:t>
      </w:r>
      <w:proofErr w:type="spellEnd"/>
      <w:r>
        <w:t xml:space="preserve">, J., Bellemare, M. G., Graves, A., </w:t>
      </w:r>
      <w:proofErr w:type="spellStart"/>
      <w:r>
        <w:t>Riedmiller</w:t>
      </w:r>
      <w:proofErr w:type="spellEnd"/>
      <w:r>
        <w:t xml:space="preserve">, M., </w:t>
      </w:r>
      <w:proofErr w:type="spellStart"/>
      <w:r>
        <w:t>Fidjeland</w:t>
      </w:r>
      <w:proofErr w:type="spellEnd"/>
      <w:r>
        <w:t xml:space="preserve">, A. K., </w:t>
      </w:r>
      <w:proofErr w:type="spellStart"/>
      <w:r>
        <w:t>Ostrovski</w:t>
      </w:r>
      <w:proofErr w:type="spellEnd"/>
      <w:r>
        <w:t xml:space="preserve">, G., Petersen, S., Beattie, C., Sadik, A., </w:t>
      </w:r>
      <w:proofErr w:type="spellStart"/>
      <w:r>
        <w:t>Antonoglou</w:t>
      </w:r>
      <w:proofErr w:type="spellEnd"/>
      <w:r>
        <w:t xml:space="preserve">, I., King, H., Kumaran, D., </w:t>
      </w:r>
      <w:proofErr w:type="spellStart"/>
      <w:r>
        <w:t>Wierstra</w:t>
      </w:r>
      <w:proofErr w:type="spellEnd"/>
      <w:r>
        <w:t>, D., Legg, S., &amp; Hassabis, D. (2015). Human-level control through deep reinforcement learning. Nature, 518, 529-533.</w:t>
      </w:r>
    </w:p>
    <w:p w14:paraId="666A7B10" w14:textId="77777777" w:rsidR="008E26E5" w:rsidRDefault="00000000">
      <w:pPr>
        <w:spacing w:after="160" w:line="360" w:lineRule="auto"/>
      </w:pPr>
      <w:r>
        <w:lastRenderedPageBreak/>
        <w:t xml:space="preserve">Ramesh, A., Pavlov, M., Goh, G., Gray, S., Voss, C., Radford, A., Chen, M., &amp; </w:t>
      </w:r>
      <w:proofErr w:type="spellStart"/>
      <w:r>
        <w:t>Sutskever</w:t>
      </w:r>
      <w:proofErr w:type="spellEnd"/>
      <w:r>
        <w:t>, I. (2021). Zero-shot text-to-image generation. ICML.</w:t>
      </w:r>
    </w:p>
    <w:p w14:paraId="1E0003EF" w14:textId="77777777" w:rsidR="008E26E5" w:rsidRDefault="00000000">
      <w:pPr>
        <w:spacing w:after="160" w:line="360" w:lineRule="auto"/>
      </w:pPr>
      <w:r>
        <w:t xml:space="preserve">Razavi, A., van den Oord, A., &amp; </w:t>
      </w:r>
      <w:proofErr w:type="spellStart"/>
      <w:r>
        <w:t>Vinyals</w:t>
      </w:r>
      <w:proofErr w:type="spellEnd"/>
      <w:r>
        <w:t xml:space="preserve">, O. (2019). Generating diverse high-fidelity images with VQ-VAE-2. </w:t>
      </w:r>
      <w:proofErr w:type="spellStart"/>
      <w:r>
        <w:t>NeurIPS</w:t>
      </w:r>
      <w:proofErr w:type="spellEnd"/>
      <w:r>
        <w:t>.</w:t>
      </w:r>
    </w:p>
    <w:p w14:paraId="01A3A99E" w14:textId="77777777" w:rsidR="008E26E5" w:rsidRDefault="00000000">
      <w:pPr>
        <w:spacing w:after="160" w:line="360" w:lineRule="auto"/>
      </w:pPr>
      <w:r>
        <w:t xml:space="preserve">Reed, S., </w:t>
      </w:r>
      <w:proofErr w:type="spellStart"/>
      <w:r>
        <w:t>Zolna</w:t>
      </w:r>
      <w:proofErr w:type="spellEnd"/>
      <w:r>
        <w:t xml:space="preserve">, K., </w:t>
      </w:r>
      <w:proofErr w:type="spellStart"/>
      <w:r>
        <w:t>Parisotto</w:t>
      </w:r>
      <w:proofErr w:type="spellEnd"/>
      <w:r>
        <w:t xml:space="preserve">, E., </w:t>
      </w:r>
      <w:proofErr w:type="spellStart"/>
      <w:r>
        <w:t>Colmenarejo</w:t>
      </w:r>
      <w:proofErr w:type="spellEnd"/>
      <w:r>
        <w:t xml:space="preserve">, S. G., Novikov, A., Barth-Maron, G., Gimenez, M., </w:t>
      </w:r>
      <w:proofErr w:type="spellStart"/>
      <w:r>
        <w:t>Sulsky</w:t>
      </w:r>
      <w:proofErr w:type="spellEnd"/>
      <w:r>
        <w:t xml:space="preserve">, Y., Kay, J., </w:t>
      </w:r>
      <w:proofErr w:type="spellStart"/>
      <w:r>
        <w:t>Springenberg</w:t>
      </w:r>
      <w:proofErr w:type="spellEnd"/>
      <w:r>
        <w:t xml:space="preserve">, J. T., Eccles, T., Bruce, J., Razavi, A., Edwards, A., </w:t>
      </w:r>
      <w:proofErr w:type="spellStart"/>
      <w:r>
        <w:t>Heess</w:t>
      </w:r>
      <w:proofErr w:type="spellEnd"/>
      <w:r>
        <w:t xml:space="preserve">, N., Chen, Y., Hadsell, R., </w:t>
      </w:r>
      <w:proofErr w:type="spellStart"/>
      <w:r>
        <w:t>Vinyals</w:t>
      </w:r>
      <w:proofErr w:type="spellEnd"/>
      <w:r>
        <w:t>, O., Cabi, S., &amp; de Freitas, N. (2022). A generalist agent. TMLR.</w:t>
      </w:r>
    </w:p>
    <w:p w14:paraId="7EAEB1F1" w14:textId="77777777" w:rsidR="008E26E5" w:rsidRDefault="00000000">
      <w:pPr>
        <w:spacing w:after="160" w:line="360" w:lineRule="auto"/>
      </w:pPr>
      <w:r>
        <w:t xml:space="preserve">Schulman, J., Wolski, F., </w:t>
      </w:r>
      <w:proofErr w:type="spellStart"/>
      <w:r>
        <w:t>Dhariwal</w:t>
      </w:r>
      <w:proofErr w:type="spellEnd"/>
      <w:r>
        <w:t>, P., Radford, A., &amp; Klimov, O. (2017). Proximal policy optimization algorithms. arXiv:1707.06347.</w:t>
      </w:r>
    </w:p>
    <w:p w14:paraId="0EED5674" w14:textId="77777777" w:rsidR="008E26E5" w:rsidRDefault="00000000">
      <w:pPr>
        <w:spacing w:after="160" w:line="360" w:lineRule="auto"/>
      </w:pPr>
      <w:proofErr w:type="gramStart"/>
      <w:r w:rsidRPr="00983428">
        <w:rPr>
          <w:lang w:val="nl-NL"/>
        </w:rPr>
        <w:t>van</w:t>
      </w:r>
      <w:proofErr w:type="gramEnd"/>
      <w:r w:rsidRPr="00983428">
        <w:rPr>
          <w:lang w:val="nl-NL"/>
        </w:rPr>
        <w:t xml:space="preserve"> den Oord, A., </w:t>
      </w:r>
      <w:proofErr w:type="spellStart"/>
      <w:r w:rsidRPr="00983428">
        <w:rPr>
          <w:lang w:val="nl-NL"/>
        </w:rPr>
        <w:t>Vinyals</w:t>
      </w:r>
      <w:proofErr w:type="spellEnd"/>
      <w:r w:rsidRPr="00983428">
        <w:rPr>
          <w:lang w:val="nl-NL"/>
        </w:rPr>
        <w:t xml:space="preserve">, O., &amp; </w:t>
      </w:r>
      <w:proofErr w:type="spellStart"/>
      <w:r w:rsidRPr="00983428">
        <w:rPr>
          <w:lang w:val="nl-NL"/>
        </w:rPr>
        <w:t>Kavukcuoglu</w:t>
      </w:r>
      <w:proofErr w:type="spellEnd"/>
      <w:r w:rsidRPr="00983428">
        <w:rPr>
          <w:lang w:val="nl-NL"/>
        </w:rPr>
        <w:t xml:space="preserve">, K. (2017). </w:t>
      </w:r>
      <w:r>
        <w:t xml:space="preserve">Neural discrete representation learning. </w:t>
      </w:r>
      <w:proofErr w:type="spellStart"/>
      <w:r>
        <w:t>NeurIPS</w:t>
      </w:r>
      <w:proofErr w:type="spellEnd"/>
      <w:r>
        <w:t>.</w:t>
      </w:r>
    </w:p>
    <w:p w14:paraId="3F417971" w14:textId="25874289" w:rsidR="004D4AAD" w:rsidRDefault="004D4AAD">
      <w:pPr>
        <w:spacing w:after="160" w:line="360" w:lineRule="auto"/>
      </w:pPr>
      <w:r w:rsidRPr="004D4AAD">
        <w:t>Fang, Z., &amp; Sims, C. R. (2025). Humans learn generalizable representations through efficient coding. Nature communications, 16(1), 3989. https://doi.org/10.1038/s41467-025-58848-6</w:t>
      </w:r>
    </w:p>
    <w:p w14:paraId="421A4E5F" w14:textId="77777777" w:rsidR="008E26E5" w:rsidRDefault="008E26E5">
      <w:pPr>
        <w:spacing w:after="80"/>
      </w:pPr>
    </w:p>
    <w:p w14:paraId="063D6F20" w14:textId="77777777" w:rsidR="008E26E5" w:rsidRDefault="00000000">
      <w:r>
        <w:br w:type="page"/>
      </w:r>
    </w:p>
    <w:p w14:paraId="7DDCE594" w14:textId="77777777" w:rsidR="008E26E5" w:rsidRDefault="00000000">
      <w:pPr>
        <w:pStyle w:val="Heading1"/>
      </w:pPr>
      <w:r>
        <w:lastRenderedPageBreak/>
        <w:t>Appendix A: Hyperparameter Tables</w:t>
      </w:r>
    </w:p>
    <w:p w14:paraId="1E605F7F" w14:textId="77777777" w:rsidR="008E26E5" w:rsidRDefault="00000000">
      <w:pPr>
        <w:shd w:val="clear" w:color="auto" w:fill="FFF3CD"/>
        <w:spacing w:after="100"/>
        <w:ind w:left="360"/>
      </w:pPr>
      <w:r>
        <w:rPr>
          <w:i/>
          <w:iCs/>
          <w:color w:val="856404"/>
          <w:sz w:val="20"/>
          <w:szCs w:val="20"/>
        </w:rPr>
        <w:t>[SCAFFOLD: Add full hyperparameter tables for encoder training, PPO conditions, LSTM, Sentence Transformer.]</w:t>
      </w:r>
    </w:p>
    <w:p w14:paraId="723C40DC" w14:textId="77777777" w:rsidR="008E26E5" w:rsidRDefault="008E26E5">
      <w:pPr>
        <w:spacing w:after="80"/>
      </w:pPr>
    </w:p>
    <w:p w14:paraId="0C911AD5" w14:textId="77777777" w:rsidR="008E26E5" w:rsidRDefault="00000000">
      <w:pPr>
        <w:pStyle w:val="Heading1"/>
      </w:pPr>
      <w:r>
        <w:t>Appendix B: Additional Figures</w:t>
      </w:r>
    </w:p>
    <w:p w14:paraId="35BF07DD" w14:textId="77777777" w:rsidR="008E26E5" w:rsidRDefault="00000000">
      <w:pPr>
        <w:shd w:val="clear" w:color="auto" w:fill="FFF3CD"/>
        <w:spacing w:after="100"/>
        <w:ind w:left="360"/>
      </w:pPr>
      <w:r>
        <w:rPr>
          <w:i/>
          <w:iCs/>
          <w:color w:val="856404"/>
          <w:sz w:val="20"/>
          <w:szCs w:val="20"/>
        </w:rPr>
        <w:t>[SCAFFOLD: Add: token gallery (full, plots/edits01/token_gallery.png), semantic heatmap, PPO learning curves for all conditions, encoder training curves v1 vs v2.]</w:t>
      </w:r>
    </w:p>
    <w:sectPr w:rsidR="008E26E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enon, R.S. (Rohan)" w:date="2026-05-13T22:40:00Z" w:initials="RM">
    <w:p w14:paraId="737A41DC" w14:textId="77777777" w:rsidR="004327CE" w:rsidRDefault="004327CE" w:rsidP="004327C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Three policy architectures are then evaluated on top of the frozen encoder a memoryless MLP, a recurrent LSTM, and a Sentence Transformer and compared against a continuous-encoder baseline and raw-observation baseline to understand the contribution of the encoder baseline</w:t>
      </w:r>
    </w:p>
  </w:comment>
  <w:comment w:id="1" w:author="Menon, R.S. (Rohan)" w:date="2026-05-13T22:45:00Z" w:initials="RM">
    <w:p w14:paraId="07926801" w14:textId="77777777" w:rsidR="00AF1686" w:rsidRDefault="004D4AAD" w:rsidP="00AF1686">
      <w:r>
        <w:rPr>
          <w:rStyle w:val="CommentReference"/>
        </w:rPr>
        <w:annotationRef/>
      </w:r>
      <w:r w:rsidR="00AF1686">
        <w:rPr>
          <w:color w:val="000000"/>
          <w:sz w:val="20"/>
          <w:szCs w:val="20"/>
        </w:rPr>
        <w:t>world model, continuous vs discrete latents, sample efficiency gains. Gap: latent representations are evaluated on task performance only; the semantic content of discrete tokens is not examined.]</w:t>
      </w:r>
      <w:r w:rsidR="00AF1686">
        <w:rPr>
          <w:color w:val="000000"/>
          <w:sz w:val="20"/>
          <w:szCs w:val="20"/>
        </w:rPr>
        <w:cr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7A41DC" w15:done="0"/>
  <w15:commentEx w15:paraId="079268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DEDCF3" w16cex:dateUtc="2026-05-13T20:40:00Z"/>
  <w16cex:commentExtensible w16cex:durableId="2545D0D6" w16cex:dateUtc="2026-05-13T20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7A41DC" w16cid:durableId="05DEDCF3"/>
  <w16cid:commentId w16cid:paraId="07926801" w16cid:durableId="2545D0D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5C999" w14:textId="77777777" w:rsidR="00F64DA2" w:rsidRDefault="00F64DA2">
      <w:r>
        <w:separator/>
      </w:r>
    </w:p>
  </w:endnote>
  <w:endnote w:type="continuationSeparator" w:id="0">
    <w:p w14:paraId="76275D3A" w14:textId="77777777" w:rsidR="00F64DA2" w:rsidRDefault="00F64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01CDE" w14:textId="77777777" w:rsidR="008E26E5" w:rsidRDefault="00000000">
    <w:pPr>
      <w:pBdr>
        <w:top w:val="single" w:sz="2" w:space="4" w:color="AAAAAA"/>
      </w:pBdr>
      <w:jc w:val="center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983428">
      <w:rPr>
        <w:noProof/>
        <w:color w:val="666666"/>
        <w:sz w:val="20"/>
        <w:szCs w:val="20"/>
      </w:rPr>
      <w:t>2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973D3" w14:textId="77777777" w:rsidR="00F64DA2" w:rsidRDefault="00F64DA2">
      <w:r>
        <w:separator/>
      </w:r>
    </w:p>
  </w:footnote>
  <w:footnote w:type="continuationSeparator" w:id="0">
    <w:p w14:paraId="1F14EEAC" w14:textId="77777777" w:rsidR="00F64DA2" w:rsidRDefault="00F64D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065AB" w14:textId="77777777" w:rsidR="00983428" w:rsidRDefault="00983428">
    <w:pPr>
      <w:pBdr>
        <w:bottom w:val="single" w:sz="2" w:space="4" w:color="AAAAAA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254F"/>
    <w:multiLevelType w:val="hybridMultilevel"/>
    <w:tmpl w:val="127C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030EF"/>
    <w:multiLevelType w:val="hybridMultilevel"/>
    <w:tmpl w:val="0D8AC6C0"/>
    <w:lvl w:ilvl="0" w:tplc="6860B3A2">
      <w:start w:val="1"/>
      <w:numFmt w:val="bullet"/>
      <w:lvlText w:val="●"/>
      <w:lvlJc w:val="left"/>
      <w:pPr>
        <w:ind w:left="720" w:hanging="360"/>
      </w:pPr>
    </w:lvl>
    <w:lvl w:ilvl="1" w:tplc="DAF6C222">
      <w:start w:val="1"/>
      <w:numFmt w:val="bullet"/>
      <w:lvlText w:val="○"/>
      <w:lvlJc w:val="left"/>
      <w:pPr>
        <w:ind w:left="1440" w:hanging="360"/>
      </w:pPr>
    </w:lvl>
    <w:lvl w:ilvl="2" w:tplc="16FAEF26">
      <w:start w:val="1"/>
      <w:numFmt w:val="bullet"/>
      <w:lvlText w:val="■"/>
      <w:lvlJc w:val="left"/>
      <w:pPr>
        <w:ind w:left="2160" w:hanging="360"/>
      </w:pPr>
    </w:lvl>
    <w:lvl w:ilvl="3" w:tplc="22662924">
      <w:start w:val="1"/>
      <w:numFmt w:val="bullet"/>
      <w:lvlText w:val="●"/>
      <w:lvlJc w:val="left"/>
      <w:pPr>
        <w:ind w:left="2880" w:hanging="360"/>
      </w:pPr>
    </w:lvl>
    <w:lvl w:ilvl="4" w:tplc="AAAADE90">
      <w:start w:val="1"/>
      <w:numFmt w:val="bullet"/>
      <w:lvlText w:val="○"/>
      <w:lvlJc w:val="left"/>
      <w:pPr>
        <w:ind w:left="3600" w:hanging="360"/>
      </w:pPr>
    </w:lvl>
    <w:lvl w:ilvl="5" w:tplc="D6700ECA">
      <w:start w:val="1"/>
      <w:numFmt w:val="bullet"/>
      <w:lvlText w:val="■"/>
      <w:lvlJc w:val="left"/>
      <w:pPr>
        <w:ind w:left="4320" w:hanging="360"/>
      </w:pPr>
    </w:lvl>
    <w:lvl w:ilvl="6" w:tplc="D4402300">
      <w:start w:val="1"/>
      <w:numFmt w:val="bullet"/>
      <w:lvlText w:val="●"/>
      <w:lvlJc w:val="left"/>
      <w:pPr>
        <w:ind w:left="5040" w:hanging="360"/>
      </w:pPr>
    </w:lvl>
    <w:lvl w:ilvl="7" w:tplc="33B05854">
      <w:start w:val="1"/>
      <w:numFmt w:val="bullet"/>
      <w:lvlText w:val="●"/>
      <w:lvlJc w:val="left"/>
      <w:pPr>
        <w:ind w:left="5760" w:hanging="360"/>
      </w:pPr>
    </w:lvl>
    <w:lvl w:ilvl="8" w:tplc="1DB64AA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342C71"/>
    <w:multiLevelType w:val="hybridMultilevel"/>
    <w:tmpl w:val="2B048A3C"/>
    <w:lvl w:ilvl="0" w:tplc="9C107E3A">
      <w:start w:val="1"/>
      <w:numFmt w:val="bullet"/>
      <w:lvlText w:val="•"/>
      <w:lvlJc w:val="left"/>
      <w:pPr>
        <w:ind w:left="720" w:hanging="360"/>
      </w:pPr>
    </w:lvl>
    <w:lvl w:ilvl="1" w:tplc="0B4E3236">
      <w:start w:val="1"/>
      <w:numFmt w:val="bullet"/>
      <w:lvlText w:val="◦"/>
      <w:lvlJc w:val="left"/>
      <w:pPr>
        <w:ind w:left="1080" w:hanging="360"/>
      </w:pPr>
    </w:lvl>
    <w:lvl w:ilvl="2" w:tplc="CD7E1378">
      <w:numFmt w:val="decimal"/>
      <w:lvlText w:val=""/>
      <w:lvlJc w:val="left"/>
    </w:lvl>
    <w:lvl w:ilvl="3" w:tplc="3CF0542E">
      <w:numFmt w:val="decimal"/>
      <w:lvlText w:val=""/>
      <w:lvlJc w:val="left"/>
    </w:lvl>
    <w:lvl w:ilvl="4" w:tplc="E5D6F83A">
      <w:numFmt w:val="decimal"/>
      <w:lvlText w:val=""/>
      <w:lvlJc w:val="left"/>
    </w:lvl>
    <w:lvl w:ilvl="5" w:tplc="836AF55C">
      <w:numFmt w:val="decimal"/>
      <w:lvlText w:val=""/>
      <w:lvlJc w:val="left"/>
    </w:lvl>
    <w:lvl w:ilvl="6" w:tplc="9014CE08">
      <w:numFmt w:val="decimal"/>
      <w:lvlText w:val=""/>
      <w:lvlJc w:val="left"/>
    </w:lvl>
    <w:lvl w:ilvl="7" w:tplc="C0981A8C">
      <w:numFmt w:val="decimal"/>
      <w:lvlText w:val=""/>
      <w:lvlJc w:val="left"/>
    </w:lvl>
    <w:lvl w:ilvl="8" w:tplc="F3FEEC54">
      <w:numFmt w:val="decimal"/>
      <w:lvlText w:val=""/>
      <w:lvlJc w:val="left"/>
    </w:lvl>
  </w:abstractNum>
  <w:abstractNum w:abstractNumId="3" w15:restartNumberingAfterBreak="0">
    <w:nsid w:val="59172329"/>
    <w:multiLevelType w:val="hybridMultilevel"/>
    <w:tmpl w:val="29980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22375A"/>
    <w:multiLevelType w:val="hybridMultilevel"/>
    <w:tmpl w:val="6462A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B35DEE"/>
    <w:multiLevelType w:val="hybridMultilevel"/>
    <w:tmpl w:val="70503B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39383740">
    <w:abstractNumId w:val="1"/>
    <w:lvlOverride w:ilvl="0">
      <w:startOverride w:val="1"/>
    </w:lvlOverride>
  </w:num>
  <w:num w:numId="2" w16cid:durableId="696463166">
    <w:abstractNumId w:val="2"/>
    <w:lvlOverride w:ilvl="0">
      <w:startOverride w:val="1"/>
    </w:lvlOverride>
  </w:num>
  <w:num w:numId="3" w16cid:durableId="917522462">
    <w:abstractNumId w:val="3"/>
  </w:num>
  <w:num w:numId="4" w16cid:durableId="2036033799">
    <w:abstractNumId w:val="5"/>
  </w:num>
  <w:num w:numId="5" w16cid:durableId="653799340">
    <w:abstractNumId w:val="0"/>
  </w:num>
  <w:num w:numId="6" w16cid:durableId="1912420781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enon, R.S. (Rohan)">
    <w15:presenceInfo w15:providerId="AD" w15:userId="S::r.s.menon@student.vu.nl::940bba22-5336-4acb-8f03-8442c228eb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6E5"/>
    <w:rsid w:val="002A0215"/>
    <w:rsid w:val="004327CE"/>
    <w:rsid w:val="00491650"/>
    <w:rsid w:val="004D4AAD"/>
    <w:rsid w:val="008E26E5"/>
    <w:rsid w:val="00983428"/>
    <w:rsid w:val="00AF1686"/>
    <w:rsid w:val="00D45FF9"/>
    <w:rsid w:val="00F6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3173B"/>
  <w15:docId w15:val="{466F0FA6-F025-F648-B53F-964099A7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888888"/>
      </w:pBdr>
      <w:spacing w:before="48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34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3428"/>
  </w:style>
  <w:style w:type="paragraph" w:styleId="Footer">
    <w:name w:val="footer"/>
    <w:basedOn w:val="Normal"/>
    <w:link w:val="FooterChar"/>
    <w:uiPriority w:val="99"/>
    <w:unhideWhenUsed/>
    <w:rsid w:val="009834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3428"/>
  </w:style>
  <w:style w:type="character" w:styleId="CommentReference">
    <w:name w:val="annotation reference"/>
    <w:basedOn w:val="DefaultParagraphFont"/>
    <w:uiPriority w:val="99"/>
    <w:semiHidden/>
    <w:unhideWhenUsed/>
    <w:rsid w:val="004327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27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27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7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7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10</Pages>
  <Words>1589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Menon, R.S. (Rohan)</cp:lastModifiedBy>
  <cp:revision>3</cp:revision>
  <dcterms:created xsi:type="dcterms:W3CDTF">2026-05-13T19:59:00Z</dcterms:created>
  <dcterms:modified xsi:type="dcterms:W3CDTF">2026-05-13T20:51:00Z</dcterms:modified>
</cp:coreProperties>
</file>