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Google</w:t>
      </w:r>
    </w:p>
    <w:p>
      <w:r>
        <w:t>MOTOR VEHICLE INSURANCE DECLARATION</w:t>
      </w:r>
    </w:p>
    <w:p>
      <w:pPr>
        <w:pStyle w:val="Heading3"/>
      </w:pPr>
      <w:r>
        <w:t>07/12/2019</w:t>
      </w:r>
    </w:p>
    <w:p>
      <w:r>
        <w:t>
          <w:r>
            <w:t xml:space="preserve"/>
            <w:br w:type="page"/>
            <w:t xml:space="preserve"/>
          </w:r>
        </w:t>
      </w:r>
    </w:p>
    <w:p w14:paraId="5E5B3369" w14:textId="77777777"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14:paraId="2E8C6C53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14:paraId="6BD03BA0" w14:textId="77777777"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14:paraId="0085AF54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5C248817" w14:textId="77777777"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14:paraId="60450F3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3DC3E" w14:textId="77777777"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14:paraId="7B1F16B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54667EE6" w14:textId="444B0258" w:rsidR="008B192E" w:rsidRDefault="008B192E" w:rsidP="00BD5040">
            <w:pPr>
              <w:spacing w:before="100" w:after="100"/>
            </w:pPr>
            <w:r>
              <w:t>Workers</w:t>
            </w:r>
            <w:bookmarkStart w:id="0" w:name="_GoBack"/>
            <w:bookmarkEnd w:id="0"/>
            <w:r>
              <w:t xml:space="preserve"> Compensation Insurer and Policy Number/s:</w:t>
            </w:r>
          </w:p>
        </w:tc>
      </w:tr>
      <w:tr w:rsidR="008B192E" w14:paraId="0264C33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77086" w14:textId="77777777"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14:paraId="70E1C29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6EA2A6B1" w14:textId="77777777"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14:paraId="51FF1F8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34086" w14:textId="77777777"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14:paraId="1AD88A7C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43698FDB" w14:textId="77777777"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43C08A2B" w14:textId="77777777"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4C8163A5" w14:textId="77777777"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14:paraId="0D70C4E2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56CD9" w14:textId="77777777"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D8459" w14:textId="77777777"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F0B2" w14:textId="77777777"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14:paraId="6CE326AE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A3DB8B1" w14:textId="77777777"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14:paraId="4D73D4B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14FCCE2" w14:textId="77777777"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14:paraId="47159703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6FB354ED" w14:textId="77777777"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14:paraId="4DCE0501" w14:textId="77777777"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14:paraId="73A2C968" w14:textId="77777777"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14:paraId="52AD1C45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224F2E3A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14:paraId="7F1F444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25B8E" w14:textId="77777777"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14:paraId="1548A88F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6D8B54FF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14:paraId="3C2EED3B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1F773B69" w14:textId="77777777"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14:paraId="64406364" w14:textId="77777777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FD236" w14:textId="77777777" w:rsidR="008B192E" w:rsidRDefault="008B192E" w:rsidP="00BD5040">
            <w:pPr>
              <w:spacing w:before="100" w:after="100"/>
            </w:pPr>
          </w:p>
        </w:tc>
      </w:tr>
      <w:tr w:rsidR="008B192E" w14:paraId="5533C8F5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1531E43F" w14:textId="77777777"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60E1476" w14:textId="77777777"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14:paraId="0864F900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53E4" w14:textId="77777777"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C3974" w14:textId="77777777" w:rsidR="008B192E" w:rsidRDefault="008B192E" w:rsidP="00BD5040">
            <w:pPr>
              <w:spacing w:before="100" w:after="100"/>
            </w:pPr>
          </w:p>
        </w:tc>
      </w:tr>
      <w:tr w:rsidR="008B192E" w14:paraId="3CB2534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14:paraId="24B13105" w14:textId="77777777"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14:paraId="01CC0D1A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14:paraId="20308E33" w14:textId="77777777"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THE Australia Health Care Pty Ltd GROUP</w:t>
            </w:r>
          </w:p>
        </w:tc>
      </w:tr>
      <w:tr w:rsidR="008B192E" w14:paraId="75A4E602" w14:textId="77777777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14:paraId="0C1F585E" w14:textId="77777777"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14:paraId="298DD14A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14:paraId="40A2C4C3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14:paraId="3F6342F8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14:paraId="5E0D093F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14:paraId="352897F8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14:paraId="715AD603" w14:textId="7B5260D6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633E15">
              <w:rPr>
                <w:b/>
              </w:rPr>
              <w:t>feedback@abc.com.au</w:t>
            </w:r>
          </w:p>
          <w:p w14:paraId="44D137E3" w14:textId="6D970A4C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633E15">
              <w:rPr>
                <w:b/>
              </w:rPr>
              <w:t>www.abc.com.au</w:t>
            </w:r>
          </w:p>
          <w:p w14:paraId="2959D09D" w14:textId="77777777"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14:paraId="5218C5CC" w14:textId="77777777" w:rsidR="005F0AAF" w:rsidRDefault="005F0AAF"/>
    <w:p>
      <w:r>
        <w:drawing>
          <wp:inline xmlns:a="http://schemas.openxmlformats.org/drawingml/2006/main" xmlns:pic="http://schemas.openxmlformats.org/drawingml/2006/picture">
            <wp:extent cx="5303520" cy="3535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