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864"/>
          <w:sz w:val="56"/>
        </w:rPr>
        <w:t>Water Quality Analysis</w:t>
        <w:br/>
        <w:t>&amp; Potability Assessment</w:t>
      </w:r>
    </w:p>
    <w:p/>
    <w:p>
      <w:pPr>
        <w:jc w:val="center"/>
      </w:pPr>
      <w:r>
        <w:rPr>
          <w:i/>
          <w:color w:val="57606A"/>
          <w:sz w:val="26"/>
        </w:rPr>
        <w:t>Complete Notebook Screenshots — Exploratory Data Analysis Report</w:t>
      </w:r>
    </w:p>
    <w:p/>
    <w:p/>
    <w:p>
      <w:pPr>
        <w:jc w:val="center"/>
      </w:pPr>
      <w:r>
        <w:rPr>
          <w:b/>
          <w:sz w:val="24"/>
        </w:rPr>
        <w:t xml:space="preserve">Author:  </w:t>
      </w:r>
      <w:r>
        <w:rPr>
          <w:sz w:val="24"/>
        </w:rPr>
        <w:t>Rohan Parida</w:t>
      </w:r>
    </w:p>
    <w:p>
      <w:pPr>
        <w:jc w:val="center"/>
      </w:pPr>
      <w:r>
        <w:rPr>
          <w:b/>
          <w:sz w:val="24"/>
        </w:rPr>
        <w:t xml:space="preserve">Dataset:  </w:t>
      </w:r>
      <w:r>
        <w:rPr>
          <w:sz w:val="24"/>
        </w:rPr>
        <w:t>water_potability.csv  (3,276 samples × 10 features)</w:t>
      </w:r>
    </w:p>
    <w:p>
      <w:pPr>
        <w:jc w:val="center"/>
      </w:pPr>
      <w:r>
        <w:rPr>
          <w:b/>
          <w:sz w:val="24"/>
        </w:rPr>
        <w:t xml:space="preserve">Subject:  </w:t>
      </w:r>
      <w:r>
        <w:rPr>
          <w:sz w:val="24"/>
        </w:rPr>
        <w:t>Data Analytics / Environmental Science</w:t>
      </w:r>
    </w:p>
    <w:p>
      <w:pPr>
        <w:jc w:val="center"/>
      </w:pPr>
      <w:r>
        <w:rPr>
          <w:b/>
          <w:sz w:val="24"/>
        </w:rPr>
        <w:t xml:space="preserve">Tools:  </w:t>
      </w:r>
      <w:r>
        <w:rPr>
          <w:sz w:val="24"/>
        </w:rPr>
        <w:t>Python · Pandas · NumPy · Matplotlib · Seaborn · SciPy</w:t>
      </w:r>
    </w:p>
    <w:p>
      <w:pPr>
        <w:jc w:val="center"/>
      </w:pPr>
      <w:r>
        <w:rPr>
          <w:b/>
          <w:sz w:val="24"/>
        </w:rPr>
        <w:t xml:space="preserve">Notebook:  </w:t>
      </w:r>
      <w:r>
        <w:rPr>
          <w:sz w:val="24"/>
        </w:rPr>
        <w:t>RohanParida_WaterQualityAnalysis.ipynb</w:t>
      </w:r>
    </w:p>
    <w:p>
      <w:r>
        <w:br w:type="page"/>
      </w:r>
    </w:p>
    <w:p>
      <w:pPr>
        <w:pStyle w:val="Heading1"/>
        <w:spacing w:before="280" w:after="80"/>
      </w:pPr>
      <w:r>
        <w:rPr>
          <w:color w:val="1F3864"/>
        </w:rPr>
        <w:t>Table of Contents</w:t>
      </w:r>
    </w:p>
    <w:p>
      <w:pPr>
        <w:spacing w:after="40"/>
      </w:pPr>
      <w:r>
        <w:rPr>
          <w:sz w:val="22"/>
        </w:rPr>
        <w:t>1.  Abstract</w:t>
      </w:r>
    </w:p>
    <w:p>
      <w:pPr>
        <w:spacing w:after="40"/>
      </w:pPr>
      <w:r>
        <w:rPr>
          <w:sz w:val="22"/>
        </w:rPr>
        <w:t>2.  Introduction</w:t>
      </w:r>
    </w:p>
    <w:p>
      <w:pPr>
        <w:spacing w:after="40"/>
      </w:pPr>
      <w:r>
        <w:rPr>
          <w:sz w:val="22"/>
        </w:rPr>
        <w:t>3.  Problem Statement</w:t>
      </w:r>
    </w:p>
    <w:p>
      <w:pPr>
        <w:spacing w:after="40"/>
      </w:pPr>
      <w:r>
        <w:rPr>
          <w:sz w:val="22"/>
        </w:rPr>
        <w:t>4.  Objectives</w:t>
      </w:r>
    </w:p>
    <w:p>
      <w:pPr>
        <w:spacing w:after="40"/>
      </w:pPr>
      <w:r>
        <w:rPr>
          <w:sz w:val="22"/>
        </w:rPr>
        <w:t>5.  Dataset Description</w:t>
      </w:r>
    </w:p>
    <w:p>
      <w:pPr>
        <w:spacing w:after="40"/>
      </w:pPr>
      <w:r>
        <w:rPr>
          <w:sz w:val="22"/>
        </w:rPr>
        <w:t>6.  Parameters Explained</w:t>
      </w:r>
    </w:p>
    <w:p>
      <w:pPr>
        <w:spacing w:after="40"/>
      </w:pPr>
      <w:r>
        <w:rPr>
          <w:sz w:val="22"/>
        </w:rPr>
        <w:t>7.  Technologies Used</w:t>
      </w:r>
    </w:p>
    <w:p>
      <w:pPr>
        <w:spacing w:after="40"/>
      </w:pPr>
      <w:r>
        <w:rPr>
          <w:sz w:val="22"/>
        </w:rPr>
        <w:t>8.  Methodology</w:t>
      </w:r>
    </w:p>
    <w:p>
      <w:pPr>
        <w:spacing w:after="40"/>
      </w:pPr>
      <w:r>
        <w:rPr>
          <w:sz w:val="22"/>
        </w:rPr>
        <w:t>9.  Data Cleaning</w:t>
      </w:r>
    </w:p>
    <w:p>
      <w:pPr>
        <w:spacing w:after="40"/>
      </w:pPr>
      <w:r>
        <w:rPr>
          <w:sz w:val="22"/>
        </w:rPr>
        <w:t>10.  Notebook — Cell-by-Cell Screenshots</w:t>
      </w:r>
    </w:p>
    <w:p>
      <w:pPr>
        <w:spacing w:after="40"/>
      </w:pPr>
      <w:r>
        <w:rPr>
          <w:sz w:val="22"/>
        </w:rPr>
        <w:t xml:space="preserve">   10.1  Section A: Imports &amp; Configuration</w:t>
      </w:r>
    </w:p>
    <w:p>
      <w:pPr>
        <w:spacing w:after="40"/>
      </w:pPr>
      <w:r>
        <w:rPr>
          <w:sz w:val="22"/>
        </w:rPr>
        <w:t xml:space="preserve">   10.2  Section B: Dataset Loading &amp; Inspection</w:t>
      </w:r>
    </w:p>
    <w:p>
      <w:pPr>
        <w:spacing w:after="40"/>
      </w:pPr>
      <w:r>
        <w:rPr>
          <w:sz w:val="22"/>
        </w:rPr>
        <w:t xml:space="preserve">   10.3  Section C: Data Cleaning (Imputation)</w:t>
      </w:r>
    </w:p>
    <w:p>
      <w:pPr>
        <w:spacing w:after="40"/>
      </w:pPr>
      <w:r>
        <w:rPr>
          <w:sz w:val="22"/>
        </w:rPr>
        <w:t xml:space="preserve">   10.4  Section D: Descriptive Statistics</w:t>
      </w:r>
    </w:p>
    <w:p>
      <w:pPr>
        <w:spacing w:after="40"/>
      </w:pPr>
      <w:r>
        <w:rPr>
          <w:sz w:val="22"/>
        </w:rPr>
        <w:t xml:space="preserve">   10.5  Section E: Potability Analysis</w:t>
      </w:r>
    </w:p>
    <w:p>
      <w:pPr>
        <w:spacing w:after="40"/>
      </w:pPr>
      <w:r>
        <w:rPr>
          <w:sz w:val="22"/>
        </w:rPr>
        <w:t xml:space="preserve">   10.6  Section F: Parameter-wise Analysis</w:t>
      </w:r>
    </w:p>
    <w:p>
      <w:pPr>
        <w:spacing w:after="40"/>
      </w:pPr>
      <w:r>
        <w:rPr>
          <w:sz w:val="22"/>
        </w:rPr>
        <w:t xml:space="preserve">   10.7  Section G: Correlation Analysis</w:t>
      </w:r>
    </w:p>
    <w:p>
      <w:pPr>
        <w:spacing w:after="40"/>
      </w:pPr>
      <w:r>
        <w:rPr>
          <w:sz w:val="22"/>
        </w:rPr>
        <w:t xml:space="preserve">   10.8  Section H: Statistical Significance Testing</w:t>
      </w:r>
    </w:p>
    <w:p>
      <w:pPr>
        <w:spacing w:after="40"/>
      </w:pPr>
      <w:r>
        <w:rPr>
          <w:sz w:val="22"/>
        </w:rPr>
        <w:t xml:space="preserve">   10.9  Section I: Comparison Table &amp; EDA Plots</w:t>
      </w:r>
    </w:p>
    <w:p>
      <w:pPr>
        <w:spacing w:after="40"/>
      </w:pPr>
      <w:r>
        <w:rPr>
          <w:sz w:val="22"/>
        </w:rPr>
        <w:t>11.  Results &amp; Key Findings</w:t>
      </w:r>
    </w:p>
    <w:p>
      <w:pPr>
        <w:spacing w:after="40"/>
      </w:pPr>
      <w:r>
        <w:rPr>
          <w:sz w:val="22"/>
        </w:rPr>
        <w:t>12.  Limitations</w:t>
      </w:r>
    </w:p>
    <w:p>
      <w:pPr>
        <w:spacing w:after="40"/>
      </w:pPr>
      <w:r>
        <w:rPr>
          <w:sz w:val="22"/>
        </w:rPr>
        <w:t>13.  Conclusion</w:t>
      </w:r>
    </w:p>
    <w:p>
      <w:pPr>
        <w:spacing w:after="40"/>
      </w:pPr>
      <w:r>
        <w:rPr>
          <w:sz w:val="22"/>
        </w:rPr>
        <w:t>14.  Future Scope</w:t>
      </w:r>
    </w:p>
    <w:p>
      <w:pPr>
        <w:spacing w:after="40"/>
      </w:pPr>
      <w:r>
        <w:rPr>
          <w:sz w:val="22"/>
        </w:rPr>
        <w:t>15.  References</w:t>
      </w:r>
    </w:p>
    <w:p>
      <w:r>
        <w:br w:type="page"/>
      </w:r>
    </w:p>
    <w:p>
      <w:pPr>
        <w:pStyle w:val="Heading1"/>
        <w:spacing w:before="280" w:after="80"/>
      </w:pPr>
      <w:r>
        <w:rPr>
          <w:color w:val="1F3864"/>
        </w:rPr>
        <w:t>1. Abstract</w:t>
      </w:r>
    </w:p>
    <w:p>
      <w:pPr>
        <w:spacing w:after="120"/>
      </w:pPr>
      <w:r>
        <w:rPr>
          <w:b w:val="0"/>
          <w:i w:val="0"/>
          <w:sz w:val="22"/>
        </w:rPr>
        <w:t>Access to safe drinking water is a fundamental human right and a critical public health concern. This report presents a comprehensive exploratory data analysis (EDA) of the Water Potability dataset comprising 3,276 water samples, each characterised by nine physicochemical parameters: pH, Hardness, Solids (TDS), Chloramines, Sulfate, Conductivity, Organic Carbon, Trihalomethanes, and Turbidity. Missing values in three features were handled via stratified median imputation by potability group. The full analytical pipeline — including descriptive statistics, distribution visualisations, outlier detection, correlation analysis, and the Mann-Whitney U non-parametric significance test — is presented as actual notebook cell screenshots so that every result is directly traceable to the executed code and its output. The dataset shows a moderate class imbalance (61% Non-Potable, 39% Potable). No single parameter is a strong predictor of potability; statistically significant but small-effect differences were found for Chloramines, Solids, and Organic Carbon.</w:t>
      </w:r>
    </w:p>
    <w:p>
      <w:pPr>
        <w:pBdr>
          <w:bottom w:val="single" w:sz="6" w:space="1" w:color="C0C0C0"/>
        </w:pBdr>
        <w:spacing w:after="160"/>
      </w:pPr>
    </w:p>
    <w:p>
      <w:pPr>
        <w:pStyle w:val="Heading1"/>
        <w:spacing w:before="280" w:after="80"/>
      </w:pPr>
      <w:r>
        <w:rPr>
          <w:color w:val="1F3864"/>
        </w:rPr>
        <w:t>2. Introduction</w:t>
      </w:r>
    </w:p>
    <w:p>
      <w:pPr>
        <w:spacing w:after="120"/>
      </w:pPr>
      <w:r>
        <w:rPr>
          <w:b w:val="0"/>
          <w:i w:val="0"/>
          <w:sz w:val="22"/>
        </w:rPr>
        <w:t>Water quality monitoring is essential for safeguarding public health. The World Health Organisation (WHO) establishes guideline values for numerous physicochemical parameters in drinking water. Violations of these thresholds can lead to health issues ranging from gastrointestinal illness to long-term chronic conditions. Despite significant advances in water treatment technology, billions of people worldwide still lack access to safely managed drinking water.</w:t>
      </w:r>
    </w:p>
    <w:p>
      <w:pPr>
        <w:spacing w:after="120"/>
      </w:pPr>
      <w:r>
        <w:rPr>
          <w:b w:val="0"/>
          <w:i w:val="0"/>
          <w:sz w:val="22"/>
        </w:rPr>
        <w:t>Data-driven approaches have gained prominence in water quality assessment. Statistical analysis and visualisation of physicochemical measurements can identify patterns, flag anomalies, and support real-time monitoring systems. This project analyses the Water Potability dataset to characterise the distribution of key parameters, evaluate their statistical relationship with potability, and extract actionable insights. All results in this report are produced directly by the executed Jupyter Notebook; screenshots of every code cell and its output are embedded in Section 10.</w:t>
      </w:r>
    </w:p>
    <w:p>
      <w:pPr>
        <w:pBdr>
          <w:bottom w:val="single" w:sz="6" w:space="1" w:color="C0C0C0"/>
        </w:pBdr>
        <w:spacing w:after="160"/>
      </w:pPr>
    </w:p>
    <w:p>
      <w:pPr>
        <w:pStyle w:val="Heading1"/>
        <w:spacing w:before="280" w:after="80"/>
      </w:pPr>
      <w:r>
        <w:rPr>
          <w:color w:val="1F3864"/>
        </w:rPr>
        <w:t>3. Problem Statement</w:t>
      </w:r>
    </w:p>
    <w:p>
      <w:pPr>
        <w:spacing w:after="120"/>
      </w:pPr>
      <w:r>
        <w:rPr>
          <w:b w:val="0"/>
          <w:i w:val="0"/>
          <w:sz w:val="22"/>
        </w:rPr>
        <w:t>Given physicochemical water quality measurements, this project answers:</w:t>
      </w:r>
    </w:p>
    <w:p>
      <w:pPr>
        <w:pStyle w:val="ListBullet"/>
      </w:pPr>
      <w:r>
        <w:rPr>
          <w:sz w:val="22"/>
        </w:rPr>
        <w:t>Which parameters differ significantly between potable and non-potable water samples?</w:t>
      </w:r>
    </w:p>
    <w:p>
      <w:pPr>
        <w:pStyle w:val="ListBullet"/>
      </w:pPr>
      <w:r>
        <w:rPr>
          <w:sz w:val="22"/>
        </w:rPr>
        <w:t>How is each parameter distributed across the dataset?</w:t>
      </w:r>
    </w:p>
    <w:p>
      <w:pPr>
        <w:pStyle w:val="ListBullet"/>
      </w:pPr>
      <w:r>
        <w:rPr>
          <w:sz w:val="22"/>
        </w:rPr>
        <w:t>Do the parameters correlate with each other or with the potability label?</w:t>
      </w:r>
    </w:p>
    <w:p>
      <w:pPr>
        <w:pStyle w:val="ListBullet"/>
      </w:pPr>
      <w:r>
        <w:rPr>
          <w:sz w:val="22"/>
        </w:rPr>
        <w:t>What data quality issues (missing values, outliers) exist, and how are they handled?</w:t>
      </w:r>
    </w:p>
    <w:p>
      <w:pPr>
        <w:pBdr>
          <w:bottom w:val="single" w:sz="6" w:space="1" w:color="C0C0C0"/>
        </w:pBdr>
        <w:spacing w:after="160"/>
      </w:pPr>
    </w:p>
    <w:p>
      <w:pPr>
        <w:pStyle w:val="Heading1"/>
        <w:spacing w:before="280" w:after="80"/>
      </w:pPr>
      <w:r>
        <w:rPr>
          <w:color w:val="1F3864"/>
        </w:rPr>
        <w:t>4. Objectives</w:t>
      </w:r>
    </w:p>
    <w:p>
      <w:pPr>
        <w:pStyle w:val="ListBullet"/>
      </w:pPr>
      <w:r>
        <w:rPr>
          <w:sz w:val="22"/>
        </w:rPr>
        <w:t>Load, inspect, and clean the water potability dataset.</w:t>
      </w:r>
    </w:p>
    <w:p>
      <w:pPr>
        <w:pStyle w:val="ListBullet"/>
      </w:pPr>
      <w:r>
        <w:rPr>
          <w:sz w:val="22"/>
        </w:rPr>
        <w:t>Handle missing values using stratified median imputation (by Potability group).</w:t>
      </w:r>
    </w:p>
    <w:p>
      <w:pPr>
        <w:pStyle w:val="ListBullet"/>
      </w:pPr>
      <w:r>
        <w:rPr>
          <w:sz w:val="22"/>
        </w:rPr>
        <w:t>Compute descriptive statistics (mean, median, std, skewness, kurtosis) for all nine features.</w:t>
      </w:r>
    </w:p>
    <w:p>
      <w:pPr>
        <w:pStyle w:val="ListBullet"/>
      </w:pPr>
      <w:r>
        <w:rPr>
          <w:sz w:val="22"/>
        </w:rPr>
        <w:t>Visualise parameter distributions and compare potable vs non-potable groups.</w:t>
      </w:r>
    </w:p>
    <w:p>
      <w:pPr>
        <w:pStyle w:val="ListBullet"/>
      </w:pPr>
      <w:r>
        <w:rPr>
          <w:sz w:val="22"/>
        </w:rPr>
        <w:t>Detect and quantify outliers using the IQR fence method.</w:t>
      </w:r>
    </w:p>
    <w:p>
      <w:pPr>
        <w:pStyle w:val="ListBullet"/>
      </w:pPr>
      <w:r>
        <w:rPr>
          <w:sz w:val="22"/>
        </w:rPr>
        <w:t>Assess pairwise Pearson correlations among parameters and with the potability label.</w:t>
      </w:r>
    </w:p>
    <w:p>
      <w:pPr>
        <w:pStyle w:val="ListBullet"/>
      </w:pPr>
      <w:r>
        <w:rPr>
          <w:sz w:val="22"/>
        </w:rPr>
        <w:t>Apply the Mann-Whitney U test to determine statistical significance of group differences.</w:t>
      </w:r>
    </w:p>
    <w:p>
      <w:pPr>
        <w:pStyle w:val="ListBullet"/>
      </w:pPr>
      <w:r>
        <w:rPr>
          <w:sz w:val="22"/>
        </w:rPr>
        <w:t>Document every result via actual notebook cell screenshots embedded in this report.</w:t>
      </w:r>
    </w:p>
    <w:p>
      <w:pPr>
        <w:pBdr>
          <w:bottom w:val="single" w:sz="6" w:space="1" w:color="C0C0C0"/>
        </w:pBdr>
        <w:spacing w:after="160"/>
      </w:pPr>
    </w:p>
    <w:p>
      <w:pPr>
        <w:pStyle w:val="Heading1"/>
        <w:spacing w:before="280" w:after="80"/>
      </w:pPr>
      <w:r>
        <w:rPr>
          <w:color w:val="1F3864"/>
        </w:rPr>
        <w:t>5. Dataset Description</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r>
              <w:rPr>
                <w:b/>
                <w:color w:val="FFFFFF"/>
              </w:rPr>
              <w:t>Attribute</w:t>
            </w:r>
          </w:p>
        </w:tc>
        <w:tc>
          <w:tcPr>
            <w:tcW w:type="dxa" w:w="3213"/>
            <w:shd w:val="clear" w:color="auto" w:fill="1F3864"/>
          </w:tcPr>
          <w:p>
            <w:r>
              <w:rPr>
                <w:b/>
                <w:color w:val="FFFFFF"/>
              </w:rPr>
              <w:t>Value</w:t>
            </w:r>
          </w:p>
        </w:tc>
        <w:tc>
          <w:tcPr>
            <w:tcW w:type="dxa" w:w="3213"/>
            <w:shd w:val="clear" w:color="auto" w:fill="1F3864"/>
          </w:tcPr>
          <w:p>
            <w:r>
              <w:rPr>
                <w:b/>
                <w:color w:val="FFFFFF"/>
              </w:rPr>
              <w:t>Notes</w:t>
            </w:r>
          </w:p>
        </w:tc>
      </w:tr>
      <w:tr>
        <w:tc>
          <w:tcPr>
            <w:tcW w:type="dxa" w:w="3213"/>
          </w:tcPr>
          <w:p>
            <w:r>
              <w:rPr>
                <w:sz w:val="20"/>
              </w:rPr>
              <w:t>File name</w:t>
            </w:r>
          </w:p>
        </w:tc>
        <w:tc>
          <w:tcPr>
            <w:tcW w:type="dxa" w:w="3213"/>
          </w:tcPr>
          <w:p>
            <w:r>
              <w:rPr>
                <w:sz w:val="20"/>
              </w:rPr>
              <w:t>water_potability.csv</w:t>
            </w:r>
          </w:p>
        </w:tc>
        <w:tc>
          <w:tcPr>
            <w:tcW w:type="dxa" w:w="3213"/>
          </w:tcPr>
          <w:p>
            <w:r>
              <w:rPr>
                <w:sz w:val="20"/>
              </w:rPr>
              <w:t>Provided in project workspace</w:t>
            </w:r>
          </w:p>
        </w:tc>
      </w:tr>
      <w:tr>
        <w:tc>
          <w:tcPr>
            <w:tcW w:type="dxa" w:w="3213"/>
          </w:tcPr>
          <w:p>
            <w:r>
              <w:rPr>
                <w:sz w:val="20"/>
              </w:rPr>
              <w:t>Rows</w:t>
            </w:r>
          </w:p>
        </w:tc>
        <w:tc>
          <w:tcPr>
            <w:tcW w:type="dxa" w:w="3213"/>
          </w:tcPr>
          <w:p>
            <w:r>
              <w:rPr>
                <w:sz w:val="20"/>
              </w:rPr>
              <w:t>3,276</w:t>
            </w:r>
          </w:p>
        </w:tc>
        <w:tc>
          <w:tcPr>
            <w:tcW w:type="dxa" w:w="3213"/>
          </w:tcPr>
          <w:p>
            <w:r>
              <w:rPr>
                <w:sz w:val="20"/>
              </w:rPr>
              <w:t>Individual water samples</w:t>
            </w:r>
          </w:p>
        </w:tc>
      </w:tr>
      <w:tr>
        <w:tc>
          <w:tcPr>
            <w:tcW w:type="dxa" w:w="3213"/>
          </w:tcPr>
          <w:p>
            <w:r>
              <w:rPr>
                <w:sz w:val="20"/>
              </w:rPr>
              <w:t>Columns</w:t>
            </w:r>
          </w:p>
        </w:tc>
        <w:tc>
          <w:tcPr>
            <w:tcW w:type="dxa" w:w="3213"/>
          </w:tcPr>
          <w:p>
            <w:r>
              <w:rPr>
                <w:sz w:val="20"/>
              </w:rPr>
              <w:t>10</w:t>
            </w:r>
          </w:p>
        </w:tc>
        <w:tc>
          <w:tcPr>
            <w:tcW w:type="dxa" w:w="3213"/>
          </w:tcPr>
          <w:p>
            <w:r>
              <w:rPr>
                <w:sz w:val="20"/>
              </w:rPr>
              <w:t>9 features + 1 label (Potability)</w:t>
            </w:r>
          </w:p>
        </w:tc>
      </w:tr>
      <w:tr>
        <w:tc>
          <w:tcPr>
            <w:tcW w:type="dxa" w:w="3213"/>
          </w:tcPr>
          <w:p>
            <w:r>
              <w:rPr>
                <w:sz w:val="20"/>
              </w:rPr>
              <w:t>Feature types</w:t>
            </w:r>
          </w:p>
        </w:tc>
        <w:tc>
          <w:tcPr>
            <w:tcW w:type="dxa" w:w="3213"/>
          </w:tcPr>
          <w:p>
            <w:r>
              <w:rPr>
                <w:sz w:val="20"/>
              </w:rPr>
              <w:t>float64 × 9, int64 × 1</w:t>
            </w:r>
          </w:p>
        </w:tc>
        <w:tc>
          <w:tcPr>
            <w:tcW w:type="dxa" w:w="3213"/>
          </w:tcPr>
          <w:p>
            <w:r>
              <w:rPr>
                <w:sz w:val="20"/>
              </w:rPr>
              <w:t>All numeric</w:t>
            </w:r>
          </w:p>
        </w:tc>
      </w:tr>
      <w:tr>
        <w:tc>
          <w:tcPr>
            <w:tcW w:type="dxa" w:w="3213"/>
          </w:tcPr>
          <w:p>
            <w:r>
              <w:rPr>
                <w:sz w:val="20"/>
              </w:rPr>
              <w:t>Target column</w:t>
            </w:r>
          </w:p>
        </w:tc>
        <w:tc>
          <w:tcPr>
            <w:tcW w:type="dxa" w:w="3213"/>
          </w:tcPr>
          <w:p>
            <w:r>
              <w:rPr>
                <w:sz w:val="20"/>
              </w:rPr>
              <w:t>Potability</w:t>
            </w:r>
          </w:p>
        </w:tc>
        <w:tc>
          <w:tcPr>
            <w:tcW w:type="dxa" w:w="3213"/>
          </w:tcPr>
          <w:p>
            <w:r>
              <w:rPr>
                <w:sz w:val="20"/>
              </w:rPr>
              <w:t>0 = Non-Potable · 1 = Potable</w:t>
            </w:r>
          </w:p>
        </w:tc>
      </w:tr>
      <w:tr>
        <w:tc>
          <w:tcPr>
            <w:tcW w:type="dxa" w:w="3213"/>
          </w:tcPr>
          <w:p>
            <w:r>
              <w:rPr>
                <w:sz w:val="20"/>
              </w:rPr>
              <w:t>Non-Potable</w:t>
            </w:r>
          </w:p>
        </w:tc>
        <w:tc>
          <w:tcPr>
            <w:tcW w:type="dxa" w:w="3213"/>
          </w:tcPr>
          <w:p>
            <w:r>
              <w:rPr>
                <w:sz w:val="20"/>
              </w:rPr>
              <w:t>1,998  (60.99%)</w:t>
            </w:r>
          </w:p>
        </w:tc>
        <w:tc>
          <w:tcPr>
            <w:tcW w:type="dxa" w:w="3213"/>
          </w:tcPr>
          <w:p>
            <w:r>
              <w:rPr>
                <w:sz w:val="20"/>
              </w:rPr>
              <w:t>Majority class</w:t>
            </w:r>
          </w:p>
        </w:tc>
      </w:tr>
      <w:tr>
        <w:tc>
          <w:tcPr>
            <w:tcW w:type="dxa" w:w="3213"/>
          </w:tcPr>
          <w:p>
            <w:r>
              <w:rPr>
                <w:sz w:val="20"/>
              </w:rPr>
              <w:t>Potable</w:t>
            </w:r>
          </w:p>
        </w:tc>
        <w:tc>
          <w:tcPr>
            <w:tcW w:type="dxa" w:w="3213"/>
          </w:tcPr>
          <w:p>
            <w:r>
              <w:rPr>
                <w:sz w:val="20"/>
              </w:rPr>
              <w:t>1,278  (39.01%)</w:t>
            </w:r>
          </w:p>
        </w:tc>
        <w:tc>
          <w:tcPr>
            <w:tcW w:type="dxa" w:w="3213"/>
          </w:tcPr>
          <w:p>
            <w:r>
              <w:rPr>
                <w:sz w:val="20"/>
              </w:rPr>
              <w:t>Minority class</w:t>
            </w:r>
          </w:p>
        </w:tc>
      </w:tr>
      <w:tr>
        <w:tc>
          <w:tcPr>
            <w:tcW w:type="dxa" w:w="3213"/>
          </w:tcPr>
          <w:p>
            <w:r>
              <w:rPr>
                <w:sz w:val="20"/>
              </w:rPr>
              <w:t>Missing values</w:t>
            </w:r>
          </w:p>
        </w:tc>
        <w:tc>
          <w:tcPr>
            <w:tcW w:type="dxa" w:w="3213"/>
          </w:tcPr>
          <w:p>
            <w:r>
              <w:rPr>
                <w:sz w:val="20"/>
              </w:rPr>
              <w:t>ph: 491 · Sulfate: 781 · THMs: 162</w:t>
            </w:r>
          </w:p>
        </w:tc>
        <w:tc>
          <w:tcPr>
            <w:tcW w:type="dxa" w:w="3213"/>
          </w:tcPr>
          <w:p>
            <w:r>
              <w:rPr>
                <w:sz w:val="20"/>
              </w:rPr>
              <w:t>Imputed via grouped median</w:t>
            </w:r>
          </w:p>
        </w:tc>
      </w:tr>
      <w:tr>
        <w:tc>
          <w:tcPr>
            <w:tcW w:type="dxa" w:w="3213"/>
          </w:tcPr>
          <w:p>
            <w:r>
              <w:rPr>
                <w:sz w:val="20"/>
              </w:rPr>
              <w:t>Duplicates</w:t>
            </w:r>
          </w:p>
        </w:tc>
        <w:tc>
          <w:tcPr>
            <w:tcW w:type="dxa" w:w="3213"/>
          </w:tcPr>
          <w:p>
            <w:r>
              <w:rPr>
                <w:sz w:val="20"/>
              </w:rPr>
              <w:t>0</w:t>
            </w:r>
          </w:p>
        </w:tc>
        <w:tc>
          <w:tcPr>
            <w:tcW w:type="dxa" w:w="3213"/>
          </w:tcPr>
          <w:p>
            <w:r>
              <w:rPr>
                <w:sz w:val="20"/>
              </w:rPr>
              <w:t>No duplicate rows found</w:t>
            </w:r>
          </w:p>
        </w:tc>
      </w:tr>
      <w:tr>
        <w:tc>
          <w:tcPr>
            <w:tcW w:type="dxa" w:w="3213"/>
          </w:tcPr>
          <w:p>
            <w:r>
              <w:rPr>
                <w:sz w:val="20"/>
              </w:rPr>
              <w:t>Source</w:t>
            </w:r>
          </w:p>
        </w:tc>
        <w:tc>
          <w:tcPr>
            <w:tcW w:type="dxa" w:w="3213"/>
          </w:tcPr>
          <w:p>
            <w:r>
              <w:rPr>
                <w:sz w:val="20"/>
              </w:rPr>
              <w:t>Kaggle — adityakadiwal/water-potability</w:t>
            </w:r>
          </w:p>
        </w:tc>
        <w:tc>
          <w:tcPr>
            <w:tcW w:type="dxa" w:w="3213"/>
          </w:tcPr>
          <w:p>
            <w:r>
              <w:rPr>
                <w:sz w:val="20"/>
              </w:rPr>
              <w:t>Publicly available</w:t>
            </w:r>
          </w:p>
        </w:tc>
      </w:tr>
    </w:tbl>
    <w:p/>
    <w:p>
      <w:pPr>
        <w:pBdr>
          <w:bottom w:val="single" w:sz="6" w:space="1" w:color="C0C0C0"/>
        </w:pBdr>
        <w:spacing w:after="160"/>
      </w:pPr>
    </w:p>
    <w:p>
      <w:pPr>
        <w:pStyle w:val="Heading1"/>
        <w:spacing w:before="280" w:after="80"/>
      </w:pPr>
      <w:r>
        <w:rPr>
          <w:color w:val="1F3864"/>
        </w:rPr>
        <w:t>6. Parameters Explained</w:t>
      </w:r>
    </w:p>
    <w:p>
      <w:pPr>
        <w:spacing w:after="100"/>
      </w:pPr>
      <w:r>
        <w:rPr>
          <w:b/>
          <w:sz w:val="22"/>
        </w:rPr>
        <w:t xml:space="preserve">pH (pH units): </w:t>
      </w:r>
      <w:r>
        <w:rPr>
          <w:sz w:val="22"/>
        </w:rPr>
        <w:t>Measures acidity/alkalinity. WHO guideline: 6.5–8.5. Extremes indicate corrosive or scaling water.</w:t>
      </w:r>
    </w:p>
    <w:p>
      <w:pPr>
        <w:spacing w:after="100"/>
      </w:pPr>
      <w:r>
        <w:rPr>
          <w:b/>
          <w:sz w:val="22"/>
        </w:rPr>
        <w:t xml:space="preserve">Hardness (mg/L): </w:t>
      </w:r>
      <w:r>
        <w:rPr>
          <w:sz w:val="22"/>
        </w:rPr>
        <w:t>Dissolved Ca²⁺ / Mg²⁺. High hardness causes scale deposits. WHO limit: 300 mg/L.</w:t>
      </w:r>
    </w:p>
    <w:p>
      <w:pPr>
        <w:spacing w:after="100"/>
      </w:pPr>
      <w:r>
        <w:rPr>
          <w:b/>
          <w:sz w:val="22"/>
        </w:rPr>
        <w:t xml:space="preserve">Solids / TDS (mg/L): </w:t>
      </w:r>
      <w:r>
        <w:rPr>
          <w:sz w:val="22"/>
        </w:rPr>
        <w:t>Total Dissolved Solids. WHO desirable limit 500 mg/L; maximum 1000 mg/L.</w:t>
      </w:r>
    </w:p>
    <w:p>
      <w:pPr>
        <w:spacing w:after="100"/>
      </w:pPr>
      <w:r>
        <w:rPr>
          <w:b/>
          <w:sz w:val="22"/>
        </w:rPr>
        <w:t xml:space="preserve">Chloramines (ppm): </w:t>
      </w:r>
      <w:r>
        <w:rPr>
          <w:sz w:val="22"/>
        </w:rPr>
        <w:t>Disinfectant residual. WHO maximum: 4 mg/L.</w:t>
      </w:r>
    </w:p>
    <w:p>
      <w:pPr>
        <w:spacing w:after="100"/>
      </w:pPr>
      <w:r>
        <w:rPr>
          <w:b/>
          <w:sz w:val="22"/>
        </w:rPr>
        <w:t xml:space="preserve">Sulfate (mg/L): </w:t>
      </w:r>
      <w:r>
        <w:rPr>
          <w:sz w:val="22"/>
        </w:rPr>
        <w:t>Naturally occurring. WHO guideline: 250 mg/L. High sulfate causes laxative effects.</w:t>
      </w:r>
    </w:p>
    <w:p>
      <w:pPr>
        <w:spacing w:after="100"/>
      </w:pPr>
      <w:r>
        <w:rPr>
          <w:b/>
          <w:sz w:val="22"/>
        </w:rPr>
        <w:t xml:space="preserve">Conductivity (μS/cm): </w:t>
      </w:r>
      <w:r>
        <w:rPr>
          <w:sz w:val="22"/>
        </w:rPr>
        <w:t>Ion concentration proxy. WHO limit: 400 μS/cm.</w:t>
      </w:r>
    </w:p>
    <w:p>
      <w:pPr>
        <w:spacing w:after="100"/>
      </w:pPr>
      <w:r>
        <w:rPr>
          <w:b/>
          <w:sz w:val="22"/>
        </w:rPr>
        <w:t xml:space="preserve">Organic Carbon (ppm): </w:t>
      </w:r>
      <w:r>
        <w:rPr>
          <w:sz w:val="22"/>
        </w:rPr>
        <w:t>Total Organic Carbon (TOC). EPA treated-water limit: 2 mg/L.</w:t>
      </w:r>
    </w:p>
    <w:p>
      <w:pPr>
        <w:spacing w:after="100"/>
      </w:pPr>
      <w:r>
        <w:rPr>
          <w:b/>
          <w:sz w:val="22"/>
        </w:rPr>
        <w:t xml:space="preserve">Trihalomethanes (μg/L): </w:t>
      </w:r>
      <w:r>
        <w:rPr>
          <w:sz w:val="22"/>
        </w:rPr>
        <w:t>Disinfection by-products. WHO limit: 80 μg/L. Carcinogenic at high levels.</w:t>
      </w:r>
    </w:p>
    <w:p>
      <w:pPr>
        <w:spacing w:after="100"/>
      </w:pPr>
      <w:r>
        <w:rPr>
          <w:b/>
          <w:sz w:val="22"/>
        </w:rPr>
        <w:t xml:space="preserve">Turbidity (NTU): </w:t>
      </w:r>
      <w:r>
        <w:rPr>
          <w:sz w:val="22"/>
        </w:rPr>
        <w:t>Cloudiness from suspended particles. WHO guideline: &lt; 1 NTU for treated water.</w:t>
      </w:r>
    </w:p>
    <w:p>
      <w:pPr>
        <w:pBdr>
          <w:bottom w:val="single" w:sz="6" w:space="1" w:color="C0C0C0"/>
        </w:pBdr>
        <w:spacing w:after="160"/>
      </w:pPr>
    </w:p>
    <w:p>
      <w:pPr>
        <w:pStyle w:val="Heading1"/>
        <w:spacing w:before="280" w:after="80"/>
      </w:pPr>
      <w:r>
        <w:rPr>
          <w:color w:val="1F3864"/>
        </w:rPr>
        <w:t>7. Technologies Used</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1F3864"/>
          </w:tcPr>
          <w:p>
            <w:r>
              <w:rPr>
                <w:b/>
                <w:color w:val="FFFFFF"/>
              </w:rPr>
              <w:t>Technology</w:t>
            </w:r>
          </w:p>
        </w:tc>
        <w:tc>
          <w:tcPr>
            <w:tcW w:type="dxa" w:w="3213"/>
            <w:shd w:val="clear" w:color="auto" w:fill="1F3864"/>
          </w:tcPr>
          <w:p>
            <w:r>
              <w:rPr>
                <w:b/>
                <w:color w:val="FFFFFF"/>
              </w:rPr>
              <w:t>Version</w:t>
            </w:r>
          </w:p>
        </w:tc>
        <w:tc>
          <w:tcPr>
            <w:tcW w:type="dxa" w:w="3213"/>
            <w:shd w:val="clear" w:color="auto" w:fill="1F3864"/>
          </w:tcPr>
          <w:p>
            <w:r>
              <w:rPr>
                <w:b/>
                <w:color w:val="FFFFFF"/>
              </w:rPr>
              <w:t>Purpose</w:t>
            </w:r>
          </w:p>
        </w:tc>
      </w:tr>
      <w:tr>
        <w:tc>
          <w:tcPr>
            <w:tcW w:type="dxa" w:w="3213"/>
          </w:tcPr>
          <w:p>
            <w:r>
              <w:rPr>
                <w:sz w:val="20"/>
              </w:rPr>
              <w:t>Python</w:t>
            </w:r>
          </w:p>
        </w:tc>
        <w:tc>
          <w:tcPr>
            <w:tcW w:type="dxa" w:w="3213"/>
          </w:tcPr>
          <w:p>
            <w:r>
              <w:rPr>
                <w:sz w:val="20"/>
              </w:rPr>
              <w:t>3.x</w:t>
            </w:r>
          </w:p>
        </w:tc>
        <w:tc>
          <w:tcPr>
            <w:tcW w:type="dxa" w:w="3213"/>
          </w:tcPr>
          <w:p>
            <w:r>
              <w:rPr>
                <w:sz w:val="20"/>
              </w:rPr>
              <w:t>Core programming language</w:t>
            </w:r>
          </w:p>
        </w:tc>
      </w:tr>
      <w:tr>
        <w:tc>
          <w:tcPr>
            <w:tcW w:type="dxa" w:w="3213"/>
          </w:tcPr>
          <w:p>
            <w:r>
              <w:rPr>
                <w:sz w:val="20"/>
              </w:rPr>
              <w:t>NumPy</w:t>
            </w:r>
          </w:p>
        </w:tc>
        <w:tc>
          <w:tcPr>
            <w:tcW w:type="dxa" w:w="3213"/>
          </w:tcPr>
          <w:p>
            <w:r>
              <w:rPr>
                <w:sz w:val="20"/>
              </w:rPr>
              <w:t>2.3.5</w:t>
            </w:r>
          </w:p>
        </w:tc>
        <w:tc>
          <w:tcPr>
            <w:tcW w:type="dxa" w:w="3213"/>
          </w:tcPr>
          <w:p>
            <w:r>
              <w:rPr>
                <w:sz w:val="20"/>
              </w:rPr>
              <w:t>Numerical computing, array operations</w:t>
            </w:r>
          </w:p>
        </w:tc>
      </w:tr>
      <w:tr>
        <w:tc>
          <w:tcPr>
            <w:tcW w:type="dxa" w:w="3213"/>
          </w:tcPr>
          <w:p>
            <w:r>
              <w:rPr>
                <w:sz w:val="20"/>
              </w:rPr>
              <w:t>Pandas</w:t>
            </w:r>
          </w:p>
        </w:tc>
        <w:tc>
          <w:tcPr>
            <w:tcW w:type="dxa" w:w="3213"/>
          </w:tcPr>
          <w:p>
            <w:r>
              <w:rPr>
                <w:sz w:val="20"/>
              </w:rPr>
              <w:t>2.3.3</w:t>
            </w:r>
          </w:p>
        </w:tc>
        <w:tc>
          <w:tcPr>
            <w:tcW w:type="dxa" w:w="3213"/>
          </w:tcPr>
          <w:p>
            <w:r>
              <w:rPr>
                <w:sz w:val="20"/>
              </w:rPr>
              <w:t>Data loading, cleaning, manipulation</w:t>
            </w:r>
          </w:p>
        </w:tc>
      </w:tr>
      <w:tr>
        <w:tc>
          <w:tcPr>
            <w:tcW w:type="dxa" w:w="3213"/>
          </w:tcPr>
          <w:p>
            <w:r>
              <w:rPr>
                <w:sz w:val="20"/>
              </w:rPr>
              <w:t>Matplotlib</w:t>
            </w:r>
          </w:p>
        </w:tc>
        <w:tc>
          <w:tcPr>
            <w:tcW w:type="dxa" w:w="3213"/>
          </w:tcPr>
          <w:p>
            <w:r>
              <w:rPr>
                <w:sz w:val="20"/>
              </w:rPr>
              <w:t>3.10.6</w:t>
            </w:r>
          </w:p>
        </w:tc>
        <w:tc>
          <w:tcPr>
            <w:tcW w:type="dxa" w:w="3213"/>
          </w:tcPr>
          <w:p>
            <w:r>
              <w:rPr>
                <w:sz w:val="20"/>
              </w:rPr>
              <w:t>Histograms, boxplots, scatter plots</w:t>
            </w:r>
          </w:p>
        </w:tc>
      </w:tr>
      <w:tr>
        <w:tc>
          <w:tcPr>
            <w:tcW w:type="dxa" w:w="3213"/>
          </w:tcPr>
          <w:p>
            <w:r>
              <w:rPr>
                <w:sz w:val="20"/>
              </w:rPr>
              <w:t>Seaborn</w:t>
            </w:r>
          </w:p>
        </w:tc>
        <w:tc>
          <w:tcPr>
            <w:tcW w:type="dxa" w:w="3213"/>
          </w:tcPr>
          <w:p>
            <w:r>
              <w:rPr>
                <w:sz w:val="20"/>
              </w:rPr>
              <w:t>0.13.2</w:t>
            </w:r>
          </w:p>
        </w:tc>
        <w:tc>
          <w:tcPr>
            <w:tcW w:type="dxa" w:w="3213"/>
          </w:tcPr>
          <w:p>
            <w:r>
              <w:rPr>
                <w:sz w:val="20"/>
              </w:rPr>
              <w:t>Heatmaps, violin plots, pair plots</w:t>
            </w:r>
          </w:p>
        </w:tc>
      </w:tr>
      <w:tr>
        <w:tc>
          <w:tcPr>
            <w:tcW w:type="dxa" w:w="3213"/>
          </w:tcPr>
          <w:p>
            <w:r>
              <w:rPr>
                <w:sz w:val="20"/>
              </w:rPr>
              <w:t>SciPy</w:t>
            </w:r>
          </w:p>
        </w:tc>
        <w:tc>
          <w:tcPr>
            <w:tcW w:type="dxa" w:w="3213"/>
          </w:tcPr>
          <w:p>
            <w:r>
              <w:rPr>
                <w:sz w:val="20"/>
              </w:rPr>
              <w:t>1.16.3</w:t>
            </w:r>
          </w:p>
        </w:tc>
        <w:tc>
          <w:tcPr>
            <w:tcW w:type="dxa" w:w="3213"/>
          </w:tcPr>
          <w:p>
            <w:r>
              <w:rPr>
                <w:sz w:val="20"/>
              </w:rPr>
              <w:t>Mann-Whitney U statistical test</w:t>
            </w:r>
          </w:p>
        </w:tc>
      </w:tr>
      <w:tr>
        <w:tc>
          <w:tcPr>
            <w:tcW w:type="dxa" w:w="3213"/>
          </w:tcPr>
          <w:p>
            <w:r>
              <w:rPr>
                <w:sz w:val="20"/>
              </w:rPr>
              <w:t>Jupyter</w:t>
            </w:r>
          </w:p>
        </w:tc>
        <w:tc>
          <w:tcPr>
            <w:tcW w:type="dxa" w:w="3213"/>
          </w:tcPr>
          <w:p>
            <w:r>
              <w:rPr>
                <w:sz w:val="20"/>
              </w:rPr>
              <w:t>≥1.0.0</w:t>
            </w:r>
          </w:p>
        </w:tc>
        <w:tc>
          <w:tcPr>
            <w:tcW w:type="dxa" w:w="3213"/>
          </w:tcPr>
          <w:p>
            <w:r>
              <w:rPr>
                <w:sz w:val="20"/>
              </w:rPr>
              <w:t>Interactive notebook environment</w:t>
            </w:r>
          </w:p>
        </w:tc>
      </w:tr>
      <w:tr>
        <w:tc>
          <w:tcPr>
            <w:tcW w:type="dxa" w:w="3213"/>
          </w:tcPr>
          <w:p>
            <w:r>
              <w:rPr>
                <w:sz w:val="20"/>
              </w:rPr>
              <w:t>python-docx</w:t>
            </w:r>
          </w:p>
        </w:tc>
        <w:tc>
          <w:tcPr>
            <w:tcW w:type="dxa" w:w="3213"/>
          </w:tcPr>
          <w:p>
            <w:r>
              <w:rPr>
                <w:sz w:val="20"/>
              </w:rPr>
              <w:t>—</w:t>
            </w:r>
          </w:p>
        </w:tc>
        <w:tc>
          <w:tcPr>
            <w:tcW w:type="dxa" w:w="3213"/>
          </w:tcPr>
          <w:p>
            <w:r>
              <w:rPr>
                <w:sz w:val="20"/>
              </w:rPr>
              <w:t>Programmatic DOCX report generation</w:t>
            </w:r>
          </w:p>
        </w:tc>
      </w:tr>
    </w:tbl>
    <w:p/>
    <w:p>
      <w:pPr>
        <w:pBdr>
          <w:bottom w:val="single" w:sz="6" w:space="1" w:color="C0C0C0"/>
        </w:pBdr>
        <w:spacing w:after="160"/>
      </w:pPr>
    </w:p>
    <w:p>
      <w:pPr>
        <w:pStyle w:val="Heading1"/>
        <w:spacing w:before="280" w:after="80"/>
      </w:pPr>
      <w:r>
        <w:rPr>
          <w:color w:val="1F3864"/>
        </w:rPr>
        <w:t>8. Methodology</w:t>
      </w:r>
    </w:p>
    <w:p>
      <w:pPr>
        <w:spacing w:after="120"/>
      </w:pPr>
      <w:r>
        <w:rPr>
          <w:b w:val="0"/>
          <w:i w:val="0"/>
          <w:sz w:val="22"/>
        </w:rPr>
        <w:t>The analysis follows a structured data science pipeline:</w:t>
      </w:r>
    </w:p>
    <w:p>
      <w:pPr>
        <w:pStyle w:val="ListNumber"/>
        <w:spacing w:after="100"/>
      </w:pPr>
      <w:r>
        <w:rPr>
          <w:b/>
          <w:sz w:val="22"/>
        </w:rPr>
        <w:t xml:space="preserve">Step 1 — Data Loading: </w:t>
      </w:r>
      <w:r>
        <w:rPr>
          <w:sz w:val="22"/>
        </w:rPr>
        <w:t>CSV loaded with pandas.read_csv(). Columns, dtypes, shape verified.</w:t>
      </w:r>
    </w:p>
    <w:p>
      <w:pPr>
        <w:pStyle w:val="ListNumber"/>
        <w:spacing w:after="100"/>
      </w:pPr>
      <w:r>
        <w:rPr>
          <w:b/>
          <w:sz w:val="22"/>
        </w:rPr>
        <w:t xml:space="preserve">Step 2 — Inspection: </w:t>
      </w:r>
      <w:r>
        <w:rPr>
          <w:sz w:val="22"/>
        </w:rPr>
        <w:t>Missing value counts and percentages per column computed. Duplicate rows checked.</w:t>
      </w:r>
    </w:p>
    <w:p>
      <w:pPr>
        <w:pStyle w:val="ListNumber"/>
        <w:spacing w:after="100"/>
      </w:pPr>
      <w:r>
        <w:rPr>
          <w:b/>
          <w:sz w:val="22"/>
        </w:rPr>
        <w:t xml:space="preserve">Step 3 — Imputation: </w:t>
      </w:r>
      <w:r>
        <w:rPr>
          <w:sz w:val="22"/>
        </w:rPr>
        <w:t>Grouped median imputation (by Potability group) for ph, Sulfate, Trihalomethanes.</w:t>
      </w:r>
    </w:p>
    <w:p>
      <w:pPr>
        <w:pStyle w:val="ListNumber"/>
        <w:spacing w:after="100"/>
      </w:pPr>
      <w:r>
        <w:rPr>
          <w:b/>
          <w:sz w:val="22"/>
        </w:rPr>
        <w:t xml:space="preserve">Step 4 — EDA: </w:t>
      </w:r>
      <w:r>
        <w:rPr>
          <w:sz w:val="22"/>
        </w:rPr>
        <w:t>Descriptive statistics computed. Distributions visualised with histogram+KDE split by class.</w:t>
      </w:r>
    </w:p>
    <w:p>
      <w:pPr>
        <w:pStyle w:val="ListNumber"/>
        <w:spacing w:after="100"/>
      </w:pPr>
      <w:r>
        <w:rPr>
          <w:b/>
          <w:sz w:val="22"/>
        </w:rPr>
        <w:t xml:space="preserve">Step 5 — Outliers: </w:t>
      </w:r>
      <w:r>
        <w:rPr>
          <w:sz w:val="22"/>
        </w:rPr>
        <w:t>IQR fence method (Q1−1.5×IQR, Q3+1.5×IQR). Counts reported per parameter.</w:t>
      </w:r>
    </w:p>
    <w:p>
      <w:pPr>
        <w:pStyle w:val="ListNumber"/>
        <w:spacing w:after="100"/>
      </w:pPr>
      <w:r>
        <w:rPr>
          <w:b/>
          <w:sz w:val="22"/>
        </w:rPr>
        <w:t xml:space="preserve">Step 6 — Correlation: </w:t>
      </w:r>
      <w:r>
        <w:rPr>
          <w:sz w:val="22"/>
        </w:rPr>
        <w:t>Pearson correlation matrix for all 10 columns visualised as a heatmap.</w:t>
      </w:r>
    </w:p>
    <w:p>
      <w:pPr>
        <w:pStyle w:val="ListNumber"/>
        <w:spacing w:after="100"/>
      </w:pPr>
      <w:r>
        <w:rPr>
          <w:b/>
          <w:sz w:val="22"/>
        </w:rPr>
        <w:t xml:space="preserve">Step 7 — Testing: </w:t>
      </w:r>
      <w:r>
        <w:rPr>
          <w:sz w:val="22"/>
        </w:rPr>
        <w:t>Mann-Whitney U test (two-sided, α=0.05) per parameter comparing potability groups.</w:t>
      </w:r>
    </w:p>
    <w:p>
      <w:pPr>
        <w:pStyle w:val="ListNumber"/>
        <w:spacing w:after="100"/>
      </w:pPr>
      <w:r>
        <w:rPr>
          <w:b/>
          <w:sz w:val="22"/>
        </w:rPr>
        <w:t xml:space="preserve">Step 8 — Reporting: </w:t>
      </w:r>
      <w:r>
        <w:rPr>
          <w:sz w:val="22"/>
        </w:rPr>
        <w:t>All cell screenshots (code + output) embedded directly into this DOCX.</w:t>
      </w:r>
    </w:p>
    <w:p>
      <w:pPr>
        <w:pBdr>
          <w:bottom w:val="single" w:sz="6" w:space="1" w:color="C0C0C0"/>
        </w:pBdr>
        <w:spacing w:after="160"/>
      </w:pPr>
    </w:p>
    <w:p>
      <w:pPr>
        <w:pStyle w:val="Heading1"/>
        <w:spacing w:before="280" w:after="80"/>
      </w:pPr>
      <w:r>
        <w:rPr>
          <w:color w:val="1F3864"/>
        </w:rPr>
        <w:t>9. Data Cleaning</w:t>
      </w:r>
    </w:p>
    <w:p>
      <w:pPr>
        <w:spacing w:after="120"/>
      </w:pPr>
      <w:r>
        <w:rPr>
          <w:b w:val="0"/>
          <w:i w:val="0"/>
          <w:sz w:val="22"/>
        </w:rPr>
        <w:t>Three columns contained missing values: ph (491, 14.99%), Sulfate (781, 23.84%), Trihalomethanes (162, 4.95%). No duplicate rows were present. Grouped median imputation was applied — each missing value is replaced by the median of its respective Potability group (0 or 1), preserving inter-group distributional differences.</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color="auto" w:fill="1F3864"/>
          </w:tcPr>
          <w:p>
            <w:r>
              <w:rPr>
                <w:b/>
                <w:color w:val="FFFFFF"/>
              </w:rPr>
              <w:t>Column</w:t>
            </w:r>
          </w:p>
        </w:tc>
        <w:tc>
          <w:tcPr>
            <w:tcW w:type="dxa" w:w="2409"/>
            <w:shd w:val="clear" w:color="auto" w:fill="1F3864"/>
          </w:tcPr>
          <w:p>
            <w:r>
              <w:rPr>
                <w:b/>
                <w:color w:val="FFFFFF"/>
              </w:rPr>
              <w:t>Missing Count</w:t>
            </w:r>
          </w:p>
        </w:tc>
        <w:tc>
          <w:tcPr>
            <w:tcW w:type="dxa" w:w="2409"/>
            <w:shd w:val="clear" w:color="auto" w:fill="1F3864"/>
          </w:tcPr>
          <w:p>
            <w:r>
              <w:rPr>
                <w:b/>
                <w:color w:val="FFFFFF"/>
              </w:rPr>
              <w:t>Potable Median</w:t>
            </w:r>
          </w:p>
        </w:tc>
        <w:tc>
          <w:tcPr>
            <w:tcW w:type="dxa" w:w="2409"/>
            <w:shd w:val="clear" w:color="auto" w:fill="1F3864"/>
          </w:tcPr>
          <w:p>
            <w:r>
              <w:rPr>
                <w:b/>
                <w:color w:val="FFFFFF"/>
              </w:rPr>
              <w:t>Non-Potable Median</w:t>
            </w:r>
          </w:p>
        </w:tc>
      </w:tr>
      <w:tr>
        <w:tc>
          <w:tcPr>
            <w:tcW w:type="dxa" w:w="2409"/>
          </w:tcPr>
          <w:p>
            <w:r>
              <w:rPr>
                <w:sz w:val="20"/>
              </w:rPr>
              <w:t>ph</w:t>
            </w:r>
          </w:p>
        </w:tc>
        <w:tc>
          <w:tcPr>
            <w:tcW w:type="dxa" w:w="2409"/>
          </w:tcPr>
          <w:p>
            <w:r>
              <w:rPr>
                <w:sz w:val="20"/>
              </w:rPr>
              <w:t>491  (14.99%)</w:t>
            </w:r>
          </w:p>
        </w:tc>
        <w:tc>
          <w:tcPr>
            <w:tcW w:type="dxa" w:w="2409"/>
          </w:tcPr>
          <w:p>
            <w:r>
              <w:rPr>
                <w:sz w:val="20"/>
              </w:rPr>
              <w:t>7.0368</w:t>
            </w:r>
          </w:p>
        </w:tc>
        <w:tc>
          <w:tcPr>
            <w:tcW w:type="dxa" w:w="2409"/>
          </w:tcPr>
          <w:p>
            <w:r>
              <w:rPr>
                <w:sz w:val="20"/>
              </w:rPr>
              <w:t>7.0355</w:t>
            </w:r>
          </w:p>
        </w:tc>
      </w:tr>
      <w:tr>
        <w:tc>
          <w:tcPr>
            <w:tcW w:type="dxa" w:w="2409"/>
          </w:tcPr>
          <w:p>
            <w:r>
              <w:rPr>
                <w:sz w:val="20"/>
              </w:rPr>
              <w:t>Sulfate</w:t>
            </w:r>
          </w:p>
        </w:tc>
        <w:tc>
          <w:tcPr>
            <w:tcW w:type="dxa" w:w="2409"/>
          </w:tcPr>
          <w:p>
            <w:r>
              <w:rPr>
                <w:sz w:val="20"/>
              </w:rPr>
              <w:t>781  (23.84%)</w:t>
            </w:r>
          </w:p>
        </w:tc>
        <w:tc>
          <w:tcPr>
            <w:tcW w:type="dxa" w:w="2409"/>
          </w:tcPr>
          <w:p>
            <w:r>
              <w:rPr>
                <w:sz w:val="20"/>
              </w:rPr>
              <w:t>331.84 mg/L</w:t>
            </w:r>
          </w:p>
        </w:tc>
        <w:tc>
          <w:tcPr>
            <w:tcW w:type="dxa" w:w="2409"/>
          </w:tcPr>
          <w:p>
            <w:r>
              <w:rPr>
                <w:sz w:val="20"/>
              </w:rPr>
              <w:t>333.39 mg/L</w:t>
            </w:r>
          </w:p>
        </w:tc>
      </w:tr>
      <w:tr>
        <w:tc>
          <w:tcPr>
            <w:tcW w:type="dxa" w:w="2409"/>
          </w:tcPr>
          <w:p>
            <w:r>
              <w:rPr>
                <w:sz w:val="20"/>
              </w:rPr>
              <w:t>Trihalomethanes</w:t>
            </w:r>
          </w:p>
        </w:tc>
        <w:tc>
          <w:tcPr>
            <w:tcW w:type="dxa" w:w="2409"/>
          </w:tcPr>
          <w:p>
            <w:r>
              <w:rPr>
                <w:sz w:val="20"/>
              </w:rPr>
              <w:t>162  (4.95%)</w:t>
            </w:r>
          </w:p>
        </w:tc>
        <w:tc>
          <w:tcPr>
            <w:tcW w:type="dxa" w:w="2409"/>
          </w:tcPr>
          <w:p>
            <w:r>
              <w:rPr>
                <w:sz w:val="20"/>
              </w:rPr>
              <w:t>66.68 μg/L</w:t>
            </w:r>
          </w:p>
        </w:tc>
        <w:tc>
          <w:tcPr>
            <w:tcW w:type="dxa" w:w="2409"/>
          </w:tcPr>
          <w:p>
            <w:r>
              <w:rPr>
                <w:sz w:val="20"/>
              </w:rPr>
              <w:t>66.54 μg/L</w:t>
            </w:r>
          </w:p>
        </w:tc>
      </w:tr>
    </w:tbl>
    <w:p/>
    <w:p>
      <w:pPr>
        <w:pBdr>
          <w:bottom w:val="single" w:sz="6" w:space="1" w:color="C0C0C0"/>
        </w:pBdr>
        <w:spacing w:after="160"/>
      </w:pPr>
    </w:p>
    <w:p>
      <w:pPr>
        <w:pStyle w:val="Heading1"/>
        <w:spacing w:before="280" w:after="80"/>
      </w:pPr>
      <w:r>
        <w:rPr>
          <w:color w:val="1F3864"/>
        </w:rPr>
        <w:t>10. Notebook — Cell-by-Cell Screenshots</w:t>
      </w:r>
    </w:p>
    <w:p>
      <w:pPr>
        <w:spacing w:after="120"/>
      </w:pPr>
      <w:r>
        <w:rPr>
          <w:b w:val="0"/>
          <w:i/>
          <w:sz w:val="20"/>
        </w:rPr>
        <w:t>This section contains complete screenshots of every executed code cell in RohanParida_WaterQualityAnalysis.ipynb. Each subsection shows the cell source code (blue-bordered "In [N]:" panel) immediately followed by its output (white panel). Chart/plot outputs are shown at full resolution below the text output.</w:t>
      </w:r>
    </w:p>
    <w:p>
      <w:pPr>
        <w:pStyle w:val="Heading2"/>
        <w:spacing w:before="280" w:after="80"/>
      </w:pPr>
      <w:r>
        <w:rPr>
          <w:color w:val="2C5282"/>
        </w:rPr>
        <w:t>10.1  Section A: Imports &amp; Configuration</w:t>
      </w:r>
    </w:p>
    <w:p>
      <w:pPr>
        <w:spacing w:after="120"/>
      </w:pPr>
      <w:r>
        <w:rPr>
          <w:b w:val="0"/>
          <w:i w:val="0"/>
          <w:sz w:val="22"/>
        </w:rPr>
        <w:t>Cell 1 — Library imports, plot style configuration, output directory creation.</w:t>
      </w:r>
    </w:p>
    <w:p>
      <w:pPr>
        <w:jc w:val="left"/>
      </w:pPr>
      <w:r>
        <w:drawing>
          <wp:inline xmlns:a="http://schemas.openxmlformats.org/drawingml/2006/main" xmlns:pic="http://schemas.openxmlformats.org/drawingml/2006/picture">
            <wp:extent cx="5669280" cy="3903909"/>
            <wp:docPr id="1" name="Picture 1"/>
            <wp:cNvGraphicFramePr>
              <a:graphicFrameLocks noChangeAspect="1"/>
            </wp:cNvGraphicFramePr>
            <a:graphic>
              <a:graphicData uri="http://schemas.openxmlformats.org/drawingml/2006/picture">
                <pic:pic>
                  <pic:nvPicPr>
                    <pic:cNvPr id="0" name="cell01_imports_code.png"/>
                    <pic:cNvPicPr/>
                  </pic:nvPicPr>
                  <pic:blipFill>
                    <a:blip r:embed="rId9"/>
                    <a:stretch>
                      <a:fillRect/>
                    </a:stretch>
                  </pic:blipFill>
                  <pic:spPr>
                    <a:xfrm>
                      <a:off x="0" y="0"/>
                      <a:ext cx="5669280" cy="3903909"/>
                    </a:xfrm>
                    <a:prstGeom prst="rect"/>
                  </pic:spPr>
                </pic:pic>
              </a:graphicData>
            </a:graphic>
          </wp:inline>
        </w:drawing>
      </w:r>
    </w:p>
    <w:p>
      <w:pPr>
        <w:jc w:val="left"/>
      </w:pPr>
      <w:r>
        <w:drawing>
          <wp:inline xmlns:a="http://schemas.openxmlformats.org/drawingml/2006/main" xmlns:pic="http://schemas.openxmlformats.org/drawingml/2006/picture">
            <wp:extent cx="5669280" cy="588457"/>
            <wp:docPr id="2" name="Picture 2"/>
            <wp:cNvGraphicFramePr>
              <a:graphicFrameLocks noChangeAspect="1"/>
            </wp:cNvGraphicFramePr>
            <a:graphic>
              <a:graphicData uri="http://schemas.openxmlformats.org/drawingml/2006/picture">
                <pic:pic>
                  <pic:nvPicPr>
                    <pic:cNvPr id="0" name="cell01_imports_output.png"/>
                    <pic:cNvPicPr/>
                  </pic:nvPicPr>
                  <pic:blipFill>
                    <a:blip r:embed="rId10"/>
                    <a:stretch>
                      <a:fillRect/>
                    </a:stretch>
                  </pic:blipFill>
                  <pic:spPr>
                    <a:xfrm>
                      <a:off x="0" y="0"/>
                      <a:ext cx="5669280" cy="588457"/>
                    </a:xfrm>
                    <a:prstGeom prst="rect"/>
                  </pic:spPr>
                </pic:pic>
              </a:graphicData>
            </a:graphic>
          </wp:inline>
        </w:drawing>
      </w:r>
    </w:p>
    <w:p>
      <w:pPr>
        <w:spacing w:after="200"/>
        <w:jc w:val="center"/>
      </w:pPr>
      <w:r>
        <w:rPr>
          <w:i/>
          <w:color w:val="57606A"/>
          <w:sz w:val="18"/>
        </w:rPr>
        <w:t>Cell 1: Imports — library versions printed to confirm successful loading.</w:t>
      </w:r>
    </w:p>
    <w:p>
      <w:pPr>
        <w:pStyle w:val="Heading2"/>
        <w:spacing w:before="280" w:after="80"/>
      </w:pPr>
      <w:r>
        <w:rPr>
          <w:color w:val="2C5282"/>
        </w:rPr>
        <w:t>10.2  Section B: Dataset Loading &amp; Inspection</w:t>
      </w:r>
    </w:p>
    <w:p>
      <w:pPr>
        <w:spacing w:after="120"/>
      </w:pPr>
      <w:r>
        <w:rPr>
          <w:b w:val="0"/>
          <w:i w:val="0"/>
          <w:sz w:val="22"/>
        </w:rPr>
        <w:t>Cell 2 — Load dataset, print shape, column list, and display first five rows.</w:t>
      </w:r>
    </w:p>
    <w:p>
      <w:pPr>
        <w:jc w:val="left"/>
      </w:pPr>
      <w:r>
        <w:drawing>
          <wp:inline xmlns:a="http://schemas.openxmlformats.org/drawingml/2006/main" xmlns:pic="http://schemas.openxmlformats.org/drawingml/2006/picture">
            <wp:extent cx="5669280" cy="1191266"/>
            <wp:docPr id="3" name="Picture 3"/>
            <wp:cNvGraphicFramePr>
              <a:graphicFrameLocks noChangeAspect="1"/>
            </wp:cNvGraphicFramePr>
            <a:graphic>
              <a:graphicData uri="http://schemas.openxmlformats.org/drawingml/2006/picture">
                <pic:pic>
                  <pic:nvPicPr>
                    <pic:cNvPr id="0" name="cell02_dataset_load_code.png"/>
                    <pic:cNvPicPr/>
                  </pic:nvPicPr>
                  <pic:blipFill>
                    <a:blip r:embed="rId11"/>
                    <a:stretch>
                      <a:fillRect/>
                    </a:stretch>
                  </pic:blipFill>
                  <pic:spPr>
                    <a:xfrm>
                      <a:off x="0" y="0"/>
                      <a:ext cx="5669280" cy="1191266"/>
                    </a:xfrm>
                    <a:prstGeom prst="rect"/>
                  </pic:spPr>
                </pic:pic>
              </a:graphicData>
            </a:graphic>
          </wp:inline>
        </w:drawing>
      </w:r>
    </w:p>
    <w:p>
      <w:pPr>
        <w:jc w:val="left"/>
      </w:pPr>
      <w:r>
        <w:drawing>
          <wp:inline xmlns:a="http://schemas.openxmlformats.org/drawingml/2006/main" xmlns:pic="http://schemas.openxmlformats.org/drawingml/2006/picture">
            <wp:extent cx="5669280" cy="2319381"/>
            <wp:docPr id="4" name="Picture 4"/>
            <wp:cNvGraphicFramePr>
              <a:graphicFrameLocks noChangeAspect="1"/>
            </wp:cNvGraphicFramePr>
            <a:graphic>
              <a:graphicData uri="http://schemas.openxmlformats.org/drawingml/2006/picture">
                <pic:pic>
                  <pic:nvPicPr>
                    <pic:cNvPr id="0" name="cell02_dataset_load_output.png"/>
                    <pic:cNvPicPr/>
                  </pic:nvPicPr>
                  <pic:blipFill>
                    <a:blip r:embed="rId12"/>
                    <a:stretch>
                      <a:fillRect/>
                    </a:stretch>
                  </pic:blipFill>
                  <pic:spPr>
                    <a:xfrm>
                      <a:off x="0" y="0"/>
                      <a:ext cx="5669280" cy="2319381"/>
                    </a:xfrm>
                    <a:prstGeom prst="rect"/>
                  </pic:spPr>
                </pic:pic>
              </a:graphicData>
            </a:graphic>
          </wp:inline>
        </w:drawing>
      </w:r>
    </w:p>
    <w:p>
      <w:pPr>
        <w:spacing w:after="200"/>
        <w:jc w:val="center"/>
      </w:pPr>
      <w:r>
        <w:rPr>
          <w:i/>
          <w:color w:val="57606A"/>
          <w:sz w:val="18"/>
        </w:rPr>
        <w:t>Cell 2: Dataset loaded — 3,276 rows × 10 columns. First five rows shown as a DataFrame.</w:t>
      </w:r>
    </w:p>
    <w:p>
      <w:pPr>
        <w:spacing w:after="120"/>
      </w:pPr>
      <w:r>
        <w:rPr>
          <w:b w:val="0"/>
          <w:i w:val="0"/>
          <w:sz w:val="22"/>
        </w:rPr>
        <w:t>Cell 3 — Data types and .info() summary.</w:t>
      </w:r>
    </w:p>
    <w:p>
      <w:pPr>
        <w:jc w:val="left"/>
      </w:pPr>
      <w:r>
        <w:drawing>
          <wp:inline xmlns:a="http://schemas.openxmlformats.org/drawingml/2006/main" xmlns:pic="http://schemas.openxmlformats.org/drawingml/2006/picture">
            <wp:extent cx="5669280" cy="829581"/>
            <wp:docPr id="5" name="Picture 5"/>
            <wp:cNvGraphicFramePr>
              <a:graphicFrameLocks noChangeAspect="1"/>
            </wp:cNvGraphicFramePr>
            <a:graphic>
              <a:graphicData uri="http://schemas.openxmlformats.org/drawingml/2006/picture">
                <pic:pic>
                  <pic:nvPicPr>
                    <pic:cNvPr id="0" name="cell03_dtypes_info_code.png"/>
                    <pic:cNvPicPr/>
                  </pic:nvPicPr>
                  <pic:blipFill>
                    <a:blip r:embed="rId13"/>
                    <a:stretch>
                      <a:fillRect/>
                    </a:stretch>
                  </pic:blipFill>
                  <pic:spPr>
                    <a:xfrm>
                      <a:off x="0" y="0"/>
                      <a:ext cx="5669280" cy="829581"/>
                    </a:xfrm>
                    <a:prstGeom prst="rect"/>
                  </pic:spPr>
                </pic:pic>
              </a:graphicData>
            </a:graphic>
          </wp:inline>
        </w:drawing>
      </w:r>
    </w:p>
    <w:p>
      <w:pPr>
        <w:jc w:val="left"/>
      </w:pPr>
      <w:r>
        <w:drawing>
          <wp:inline xmlns:a="http://schemas.openxmlformats.org/drawingml/2006/main" xmlns:pic="http://schemas.openxmlformats.org/drawingml/2006/picture">
            <wp:extent cx="5669280" cy="3361381"/>
            <wp:docPr id="6" name="Picture 6"/>
            <wp:cNvGraphicFramePr>
              <a:graphicFrameLocks noChangeAspect="1"/>
            </wp:cNvGraphicFramePr>
            <a:graphic>
              <a:graphicData uri="http://schemas.openxmlformats.org/drawingml/2006/picture">
                <pic:pic>
                  <pic:nvPicPr>
                    <pic:cNvPr id="0" name="cell03_dtypes_info_output.png"/>
                    <pic:cNvPicPr/>
                  </pic:nvPicPr>
                  <pic:blipFill>
                    <a:blip r:embed="rId14"/>
                    <a:stretch>
                      <a:fillRect/>
                    </a:stretch>
                  </pic:blipFill>
                  <pic:spPr>
                    <a:xfrm>
                      <a:off x="0" y="0"/>
                      <a:ext cx="5669280" cy="3361381"/>
                    </a:xfrm>
                    <a:prstGeom prst="rect"/>
                  </pic:spPr>
                </pic:pic>
              </a:graphicData>
            </a:graphic>
          </wp:inline>
        </w:drawing>
      </w:r>
    </w:p>
    <w:p>
      <w:pPr>
        <w:spacing w:after="200"/>
        <w:jc w:val="center"/>
      </w:pPr>
      <w:r>
        <w:rPr>
          <w:i/>
          <w:color w:val="57606A"/>
          <w:sz w:val="18"/>
        </w:rPr>
        <w:t>Cell 3: All nine features are float64; Potability is int64. No non-null gaps visible in dtype list.</w:t>
      </w:r>
    </w:p>
    <w:p>
      <w:pPr>
        <w:spacing w:after="120"/>
      </w:pPr>
      <w:r>
        <w:rPr>
          <w:b w:val="0"/>
          <w:i w:val="0"/>
          <w:sz w:val="22"/>
        </w:rPr>
        <w:t>Cell 4 — Missing value analysis and duplicate check.</w:t>
      </w:r>
    </w:p>
    <w:p>
      <w:pPr>
        <w:jc w:val="left"/>
      </w:pPr>
      <w:r>
        <w:drawing>
          <wp:inline xmlns:a="http://schemas.openxmlformats.org/drawingml/2006/main" xmlns:pic="http://schemas.openxmlformats.org/drawingml/2006/picture">
            <wp:extent cx="5669280" cy="1283123"/>
            <wp:docPr id="7" name="Picture 7"/>
            <wp:cNvGraphicFramePr>
              <a:graphicFrameLocks noChangeAspect="1"/>
            </wp:cNvGraphicFramePr>
            <a:graphic>
              <a:graphicData uri="http://schemas.openxmlformats.org/drawingml/2006/picture">
                <pic:pic>
                  <pic:nvPicPr>
                    <pic:cNvPr id="0" name="cell04_missing_values_code.png"/>
                    <pic:cNvPicPr/>
                  </pic:nvPicPr>
                  <pic:blipFill>
                    <a:blip r:embed="rId15"/>
                    <a:stretch>
                      <a:fillRect/>
                    </a:stretch>
                  </pic:blipFill>
                  <pic:spPr>
                    <a:xfrm>
                      <a:off x="0" y="0"/>
                      <a:ext cx="5669280" cy="1283123"/>
                    </a:xfrm>
                    <a:prstGeom prst="rect"/>
                  </pic:spPr>
                </pic:pic>
              </a:graphicData>
            </a:graphic>
          </wp:inline>
        </w:drawing>
      </w:r>
    </w:p>
    <w:p>
      <w:pPr>
        <w:jc w:val="left"/>
      </w:pPr>
      <w:r>
        <w:drawing>
          <wp:inline xmlns:a="http://schemas.openxmlformats.org/drawingml/2006/main" xmlns:pic="http://schemas.openxmlformats.org/drawingml/2006/picture">
            <wp:extent cx="5669280" cy="1087928"/>
            <wp:docPr id="8" name="Picture 8"/>
            <wp:cNvGraphicFramePr>
              <a:graphicFrameLocks noChangeAspect="1"/>
            </wp:cNvGraphicFramePr>
            <a:graphic>
              <a:graphicData uri="http://schemas.openxmlformats.org/drawingml/2006/picture">
                <pic:pic>
                  <pic:nvPicPr>
                    <pic:cNvPr id="0" name="cell04_missing_values_output.png"/>
                    <pic:cNvPicPr/>
                  </pic:nvPicPr>
                  <pic:blipFill>
                    <a:blip r:embed="rId16"/>
                    <a:stretch>
                      <a:fillRect/>
                    </a:stretch>
                  </pic:blipFill>
                  <pic:spPr>
                    <a:xfrm>
                      <a:off x="0" y="0"/>
                      <a:ext cx="5669280" cy="1087928"/>
                    </a:xfrm>
                    <a:prstGeom prst="rect"/>
                  </pic:spPr>
                </pic:pic>
              </a:graphicData>
            </a:graphic>
          </wp:inline>
        </w:drawing>
      </w:r>
    </w:p>
    <w:p>
      <w:pPr>
        <w:spacing w:after="200"/>
        <w:jc w:val="center"/>
      </w:pPr>
      <w:r>
        <w:rPr>
          <w:i/>
          <w:color w:val="57606A"/>
          <w:sz w:val="18"/>
        </w:rPr>
        <w:t>Cell 4: ph=491 missing, Sulfate=781 missing, Trihalomethanes=162 missing. Zero duplicates.</w:t>
      </w:r>
    </w:p>
    <w:p>
      <w:pPr>
        <w:spacing w:after="120"/>
      </w:pPr>
      <w:r>
        <w:rPr>
          <w:b w:val="0"/>
          <w:i w:val="0"/>
          <w:sz w:val="22"/>
        </w:rPr>
        <w:t>Cell 5 — Missing value visualisation (bar chart + heatmap).</w:t>
      </w:r>
    </w:p>
    <w:p>
      <w:pPr>
        <w:jc w:val="left"/>
      </w:pPr>
      <w:r>
        <w:drawing>
          <wp:inline xmlns:a="http://schemas.openxmlformats.org/drawingml/2006/main" xmlns:pic="http://schemas.openxmlformats.org/drawingml/2006/picture">
            <wp:extent cx="5669280" cy="2549023"/>
            <wp:docPr id="9" name="Picture 9"/>
            <wp:cNvGraphicFramePr>
              <a:graphicFrameLocks noChangeAspect="1"/>
            </wp:cNvGraphicFramePr>
            <a:graphic>
              <a:graphicData uri="http://schemas.openxmlformats.org/drawingml/2006/picture">
                <pic:pic>
                  <pic:nvPicPr>
                    <pic:cNvPr id="0" name="cell05_missing_viz_code.png"/>
                    <pic:cNvPicPr/>
                  </pic:nvPicPr>
                  <pic:blipFill>
                    <a:blip r:embed="rId17"/>
                    <a:stretch>
                      <a:fillRect/>
                    </a:stretch>
                  </pic:blipFill>
                  <pic:spPr>
                    <a:xfrm>
                      <a:off x="0" y="0"/>
                      <a:ext cx="5669280" cy="2549023"/>
                    </a:xfrm>
                    <a:prstGeom prst="rect"/>
                  </pic:spPr>
                </pic:pic>
              </a:graphicData>
            </a:graphic>
          </wp:inline>
        </w:drawing>
      </w:r>
    </w:p>
    <w:p>
      <w:pPr>
        <w:jc w:val="center"/>
      </w:pPr>
      <w:r>
        <w:drawing>
          <wp:inline xmlns:a="http://schemas.openxmlformats.org/drawingml/2006/main" xmlns:pic="http://schemas.openxmlformats.org/drawingml/2006/picture">
            <wp:extent cx="5303520" cy="1866407"/>
            <wp:docPr id="10" name="Picture 10"/>
            <wp:cNvGraphicFramePr>
              <a:graphicFrameLocks noChangeAspect="1"/>
            </wp:cNvGraphicFramePr>
            <a:graphic>
              <a:graphicData uri="http://schemas.openxmlformats.org/drawingml/2006/picture">
                <pic:pic>
                  <pic:nvPicPr>
                    <pic:cNvPr id="0" name="cell05_output01.png"/>
                    <pic:cNvPicPr/>
                  </pic:nvPicPr>
                  <pic:blipFill>
                    <a:blip r:embed="rId18"/>
                    <a:stretch>
                      <a:fillRect/>
                    </a:stretch>
                  </pic:blipFill>
                  <pic:spPr>
                    <a:xfrm>
                      <a:off x="0" y="0"/>
                      <a:ext cx="5303520" cy="1866407"/>
                    </a:xfrm>
                    <a:prstGeom prst="rect"/>
                  </pic:spPr>
                </pic:pic>
              </a:graphicData>
            </a:graphic>
          </wp:inline>
        </w:drawing>
      </w:r>
    </w:p>
    <w:p>
      <w:pPr>
        <w:spacing w:after="280"/>
        <w:jc w:val="center"/>
      </w:pPr>
      <w:r>
        <w:rPr>
          <w:i/>
          <w:color w:val="57606A"/>
          <w:sz w:val="18"/>
        </w:rPr>
        <w:t>Figure 1 (Cell 5 output): Missing value bar chart and missingness heatmap.</w:t>
      </w:r>
    </w:p>
    <w:p>
      <w:pPr>
        <w:pStyle w:val="Heading2"/>
        <w:spacing w:before="280" w:after="80"/>
      </w:pPr>
      <w:r>
        <w:rPr>
          <w:color w:val="2C5282"/>
        </w:rPr>
        <w:t>10.3  Section C: Data Cleaning — Imputation</w:t>
      </w:r>
    </w:p>
    <w:p>
      <w:pPr>
        <w:spacing w:after="120"/>
      </w:pPr>
      <w:r>
        <w:rPr>
          <w:b w:val="0"/>
          <w:i w:val="0"/>
          <w:sz w:val="22"/>
        </w:rPr>
        <w:t>Cell 6 — Stratified median imputation for ph, Sulfate, and Trihalomethanes.</w:t>
      </w:r>
    </w:p>
    <w:p>
      <w:pPr>
        <w:jc w:val="left"/>
      </w:pPr>
      <w:r>
        <w:drawing>
          <wp:inline xmlns:a="http://schemas.openxmlformats.org/drawingml/2006/main" xmlns:pic="http://schemas.openxmlformats.org/drawingml/2006/picture">
            <wp:extent cx="5669280" cy="1644809"/>
            <wp:docPr id="11" name="Picture 11"/>
            <wp:cNvGraphicFramePr>
              <a:graphicFrameLocks noChangeAspect="1"/>
            </wp:cNvGraphicFramePr>
            <a:graphic>
              <a:graphicData uri="http://schemas.openxmlformats.org/drawingml/2006/picture">
                <pic:pic>
                  <pic:nvPicPr>
                    <pic:cNvPr id="0" name="cell06_imputation_code.png"/>
                    <pic:cNvPicPr/>
                  </pic:nvPicPr>
                  <pic:blipFill>
                    <a:blip r:embed="rId19"/>
                    <a:stretch>
                      <a:fillRect/>
                    </a:stretch>
                  </pic:blipFill>
                  <pic:spPr>
                    <a:xfrm>
                      <a:off x="0" y="0"/>
                      <a:ext cx="5669280" cy="1644809"/>
                    </a:xfrm>
                    <a:prstGeom prst="rect"/>
                  </pic:spPr>
                </pic:pic>
              </a:graphicData>
            </a:graphic>
          </wp:inline>
        </w:drawing>
      </w:r>
    </w:p>
    <w:p>
      <w:pPr>
        <w:jc w:val="left"/>
      </w:pPr>
      <w:r>
        <w:drawing>
          <wp:inline xmlns:a="http://schemas.openxmlformats.org/drawingml/2006/main" xmlns:pic="http://schemas.openxmlformats.org/drawingml/2006/picture">
            <wp:extent cx="5669280" cy="1845745"/>
            <wp:docPr id="12" name="Picture 12"/>
            <wp:cNvGraphicFramePr>
              <a:graphicFrameLocks noChangeAspect="1"/>
            </wp:cNvGraphicFramePr>
            <a:graphic>
              <a:graphicData uri="http://schemas.openxmlformats.org/drawingml/2006/picture">
                <pic:pic>
                  <pic:nvPicPr>
                    <pic:cNvPr id="0" name="cell06_imputation_output.png"/>
                    <pic:cNvPicPr/>
                  </pic:nvPicPr>
                  <pic:blipFill>
                    <a:blip r:embed="rId20"/>
                    <a:stretch>
                      <a:fillRect/>
                    </a:stretch>
                  </pic:blipFill>
                  <pic:spPr>
                    <a:xfrm>
                      <a:off x="0" y="0"/>
                      <a:ext cx="5669280" cy="1845745"/>
                    </a:xfrm>
                    <a:prstGeom prst="rect"/>
                  </pic:spPr>
                </pic:pic>
              </a:graphicData>
            </a:graphic>
          </wp:inline>
        </w:drawing>
      </w:r>
    </w:p>
    <w:p>
      <w:pPr>
        <w:spacing w:after="200"/>
        <w:jc w:val="center"/>
      </w:pPr>
      <w:r>
        <w:rPr>
          <w:i/>
          <w:color w:val="57606A"/>
          <w:sz w:val="18"/>
        </w:rPr>
        <w:t>Cell 6: Imputation applied. Group medians printed for each column. Zero missing values remain.</w:t>
      </w:r>
    </w:p>
    <w:p>
      <w:pPr>
        <w:pStyle w:val="Heading2"/>
        <w:spacing w:before="280" w:after="80"/>
      </w:pPr>
      <w:r>
        <w:rPr>
          <w:color w:val="2C5282"/>
        </w:rPr>
        <w:t>10.4  Section D: Descriptive Statistics</w:t>
      </w:r>
    </w:p>
    <w:p>
      <w:pPr>
        <w:spacing w:after="120"/>
      </w:pPr>
      <w:r>
        <w:rPr>
          <w:b w:val="0"/>
          <w:i w:val="0"/>
          <w:sz w:val="22"/>
        </w:rPr>
        <w:t>Cell 7 — Full descriptive statistics table (mean, median, std, min, max, Q1, Q3, skewness, kurtosis).</w:t>
      </w:r>
    </w:p>
    <w:p>
      <w:pPr>
        <w:jc w:val="left"/>
      </w:pPr>
      <w:r>
        <w:drawing>
          <wp:inline xmlns:a="http://schemas.openxmlformats.org/drawingml/2006/main" xmlns:pic="http://schemas.openxmlformats.org/drawingml/2006/picture">
            <wp:extent cx="5669280" cy="1463966"/>
            <wp:docPr id="13" name="Picture 13"/>
            <wp:cNvGraphicFramePr>
              <a:graphicFrameLocks noChangeAspect="1"/>
            </wp:cNvGraphicFramePr>
            <a:graphic>
              <a:graphicData uri="http://schemas.openxmlformats.org/drawingml/2006/picture">
                <pic:pic>
                  <pic:nvPicPr>
                    <pic:cNvPr id="0" name="cell07_descriptive_stats_code.png"/>
                    <pic:cNvPicPr/>
                  </pic:nvPicPr>
                  <pic:blipFill>
                    <a:blip r:embed="rId21"/>
                    <a:stretch>
                      <a:fillRect/>
                    </a:stretch>
                  </pic:blipFill>
                  <pic:spPr>
                    <a:xfrm>
                      <a:off x="0" y="0"/>
                      <a:ext cx="5669280" cy="1463966"/>
                    </a:xfrm>
                    <a:prstGeom prst="rect"/>
                  </pic:spPr>
                </pic:pic>
              </a:graphicData>
            </a:graphic>
          </wp:inline>
        </w:drawing>
      </w:r>
    </w:p>
    <w:p>
      <w:pPr>
        <w:jc w:val="left"/>
      </w:pPr>
      <w:r>
        <w:drawing>
          <wp:inline xmlns:a="http://schemas.openxmlformats.org/drawingml/2006/main" xmlns:pic="http://schemas.openxmlformats.org/drawingml/2006/picture">
            <wp:extent cx="5669280" cy="2414109"/>
            <wp:docPr id="14" name="Picture 14"/>
            <wp:cNvGraphicFramePr>
              <a:graphicFrameLocks noChangeAspect="1"/>
            </wp:cNvGraphicFramePr>
            <a:graphic>
              <a:graphicData uri="http://schemas.openxmlformats.org/drawingml/2006/picture">
                <pic:pic>
                  <pic:nvPicPr>
                    <pic:cNvPr id="0" name="cell07_descriptive_stats_output.png"/>
                    <pic:cNvPicPr/>
                  </pic:nvPicPr>
                  <pic:blipFill>
                    <a:blip r:embed="rId22"/>
                    <a:stretch>
                      <a:fillRect/>
                    </a:stretch>
                  </pic:blipFill>
                  <pic:spPr>
                    <a:xfrm>
                      <a:off x="0" y="0"/>
                      <a:ext cx="5669280" cy="2414109"/>
                    </a:xfrm>
                    <a:prstGeom prst="rect"/>
                  </pic:spPr>
                </pic:pic>
              </a:graphicData>
            </a:graphic>
          </wp:inline>
        </w:drawing>
      </w:r>
    </w:p>
    <w:p>
      <w:pPr>
        <w:spacing w:after="200"/>
        <w:jc w:val="center"/>
      </w:pPr>
      <w:r>
        <w:rPr>
          <w:i/>
          <w:color w:val="57606A"/>
          <w:sz w:val="18"/>
        </w:rPr>
        <w:t>Cell 7: Descriptive statistics for all nine features. Solids shows high std (right-skewed).</w:t>
      </w:r>
    </w:p>
    <w:p>
      <w:pPr>
        <w:pStyle w:val="Heading2"/>
        <w:spacing w:before="280" w:after="80"/>
      </w:pPr>
      <w:r>
        <w:rPr>
          <w:color w:val="2C5282"/>
        </w:rPr>
        <w:t>10.5  Section E: Potability Analysis</w:t>
      </w:r>
    </w:p>
    <w:p>
      <w:pPr>
        <w:spacing w:after="120"/>
      </w:pPr>
      <w:r>
        <w:rPr>
          <w:b w:val="0"/>
          <w:i w:val="0"/>
          <w:sz w:val="22"/>
        </w:rPr>
        <w:t>Cell 8 — Potability counts and percentages.</w:t>
      </w:r>
    </w:p>
    <w:p>
      <w:pPr>
        <w:jc w:val="left"/>
      </w:pPr>
      <w:r>
        <w:drawing>
          <wp:inline xmlns:a="http://schemas.openxmlformats.org/drawingml/2006/main" xmlns:pic="http://schemas.openxmlformats.org/drawingml/2006/picture">
            <wp:extent cx="5669280" cy="1010424"/>
            <wp:docPr id="15" name="Picture 15"/>
            <wp:cNvGraphicFramePr>
              <a:graphicFrameLocks noChangeAspect="1"/>
            </wp:cNvGraphicFramePr>
            <a:graphic>
              <a:graphicData uri="http://schemas.openxmlformats.org/drawingml/2006/picture">
                <pic:pic>
                  <pic:nvPicPr>
                    <pic:cNvPr id="0" name="cell08_potability_counts_code.png"/>
                    <pic:cNvPicPr/>
                  </pic:nvPicPr>
                  <pic:blipFill>
                    <a:blip r:embed="rId23"/>
                    <a:stretch>
                      <a:fillRect/>
                    </a:stretch>
                  </pic:blipFill>
                  <pic:spPr>
                    <a:xfrm>
                      <a:off x="0" y="0"/>
                      <a:ext cx="5669280" cy="1010424"/>
                    </a:xfrm>
                    <a:prstGeom prst="rect"/>
                  </pic:spPr>
                </pic:pic>
              </a:graphicData>
            </a:graphic>
          </wp:inline>
        </w:drawing>
      </w:r>
    </w:p>
    <w:p>
      <w:pPr>
        <w:jc w:val="left"/>
      </w:pPr>
      <w:r>
        <w:drawing>
          <wp:inline xmlns:a="http://schemas.openxmlformats.org/drawingml/2006/main" xmlns:pic="http://schemas.openxmlformats.org/drawingml/2006/picture">
            <wp:extent cx="5669280" cy="803746"/>
            <wp:docPr id="16" name="Picture 16"/>
            <wp:cNvGraphicFramePr>
              <a:graphicFrameLocks noChangeAspect="1"/>
            </wp:cNvGraphicFramePr>
            <a:graphic>
              <a:graphicData uri="http://schemas.openxmlformats.org/drawingml/2006/picture">
                <pic:pic>
                  <pic:nvPicPr>
                    <pic:cNvPr id="0" name="cell08_potability_counts_output.png"/>
                    <pic:cNvPicPr/>
                  </pic:nvPicPr>
                  <pic:blipFill>
                    <a:blip r:embed="rId24"/>
                    <a:stretch>
                      <a:fillRect/>
                    </a:stretch>
                  </pic:blipFill>
                  <pic:spPr>
                    <a:xfrm>
                      <a:off x="0" y="0"/>
                      <a:ext cx="5669280" cy="803746"/>
                    </a:xfrm>
                    <a:prstGeom prst="rect"/>
                  </pic:spPr>
                </pic:pic>
              </a:graphicData>
            </a:graphic>
          </wp:inline>
        </w:drawing>
      </w:r>
    </w:p>
    <w:p>
      <w:pPr>
        <w:spacing w:after="200"/>
        <w:jc w:val="center"/>
      </w:pPr>
      <w:r>
        <w:rPr>
          <w:i/>
          <w:color w:val="57606A"/>
          <w:sz w:val="18"/>
        </w:rPr>
        <w:t>Cell 8: 1,998 Non-Potable (60.99%) vs 1,278 Potable (39.01%) — class imbalance confirmed.</w:t>
      </w:r>
    </w:p>
    <w:p>
      <w:pPr>
        <w:spacing w:after="120"/>
      </w:pPr>
      <w:r>
        <w:rPr>
          <w:b w:val="0"/>
          <w:i w:val="0"/>
          <w:sz w:val="22"/>
        </w:rPr>
        <w:t>Cell 9 — Potability distribution visualisation (bar chart + pie chart).</w:t>
      </w:r>
    </w:p>
    <w:p>
      <w:pPr>
        <w:jc w:val="left"/>
      </w:pPr>
      <w:r>
        <w:drawing>
          <wp:inline xmlns:a="http://schemas.openxmlformats.org/drawingml/2006/main" xmlns:pic="http://schemas.openxmlformats.org/drawingml/2006/picture">
            <wp:extent cx="5669280" cy="3180538"/>
            <wp:docPr id="17" name="Picture 17"/>
            <wp:cNvGraphicFramePr>
              <a:graphicFrameLocks noChangeAspect="1"/>
            </wp:cNvGraphicFramePr>
            <a:graphic>
              <a:graphicData uri="http://schemas.openxmlformats.org/drawingml/2006/picture">
                <pic:pic>
                  <pic:nvPicPr>
                    <pic:cNvPr id="0" name="cell09_potability_viz_code.png"/>
                    <pic:cNvPicPr/>
                  </pic:nvPicPr>
                  <pic:blipFill>
                    <a:blip r:embed="rId25"/>
                    <a:stretch>
                      <a:fillRect/>
                    </a:stretch>
                  </pic:blipFill>
                  <pic:spPr>
                    <a:xfrm>
                      <a:off x="0" y="0"/>
                      <a:ext cx="5669280" cy="3180538"/>
                    </a:xfrm>
                    <a:prstGeom prst="rect"/>
                  </pic:spPr>
                </pic:pic>
              </a:graphicData>
            </a:graphic>
          </wp:inline>
        </w:drawing>
      </w:r>
    </w:p>
    <w:p>
      <w:pPr>
        <w:jc w:val="center"/>
      </w:pPr>
      <w:r>
        <w:drawing>
          <wp:inline xmlns:a="http://schemas.openxmlformats.org/drawingml/2006/main" xmlns:pic="http://schemas.openxmlformats.org/drawingml/2006/picture">
            <wp:extent cx="5303520" cy="2462206"/>
            <wp:docPr id="18" name="Picture 18"/>
            <wp:cNvGraphicFramePr>
              <a:graphicFrameLocks noChangeAspect="1"/>
            </wp:cNvGraphicFramePr>
            <a:graphic>
              <a:graphicData uri="http://schemas.openxmlformats.org/drawingml/2006/picture">
                <pic:pic>
                  <pic:nvPicPr>
                    <pic:cNvPr id="0" name="cell09_output02.png"/>
                    <pic:cNvPicPr/>
                  </pic:nvPicPr>
                  <pic:blipFill>
                    <a:blip r:embed="rId26"/>
                    <a:stretch>
                      <a:fillRect/>
                    </a:stretch>
                  </pic:blipFill>
                  <pic:spPr>
                    <a:xfrm>
                      <a:off x="0" y="0"/>
                      <a:ext cx="5303520" cy="2462206"/>
                    </a:xfrm>
                    <a:prstGeom prst="rect"/>
                  </pic:spPr>
                </pic:pic>
              </a:graphicData>
            </a:graphic>
          </wp:inline>
        </w:drawing>
      </w:r>
    </w:p>
    <w:p>
      <w:pPr>
        <w:spacing w:after="280"/>
        <w:jc w:val="center"/>
      </w:pPr>
      <w:r>
        <w:rPr>
          <w:i/>
          <w:color w:val="57606A"/>
          <w:sz w:val="18"/>
        </w:rPr>
        <w:t>Figure 2 (Cell 9 output): Potability count bar chart and proportion pie chart.</w:t>
      </w:r>
    </w:p>
    <w:p>
      <w:pPr>
        <w:pStyle w:val="Heading2"/>
        <w:spacing w:before="280" w:after="80"/>
      </w:pPr>
      <w:r>
        <w:rPr>
          <w:color w:val="2C5282"/>
        </w:rPr>
        <w:t>10.6  Section F: Parameter-wise Analysis</w:t>
      </w:r>
    </w:p>
    <w:p>
      <w:pPr>
        <w:spacing w:after="120"/>
      </w:pPr>
      <w:r>
        <w:rPr>
          <w:b w:val="0"/>
          <w:i w:val="0"/>
          <w:sz w:val="22"/>
        </w:rPr>
        <w:t>Cell 10 — Parameter metadata (WHO ranges, units, labels).</w:t>
      </w:r>
    </w:p>
    <w:p>
      <w:pPr>
        <w:jc w:val="left"/>
      </w:pPr>
      <w:r>
        <w:drawing>
          <wp:inline xmlns:a="http://schemas.openxmlformats.org/drawingml/2006/main" xmlns:pic="http://schemas.openxmlformats.org/drawingml/2006/picture">
            <wp:extent cx="5669280" cy="3723066"/>
            <wp:docPr id="19" name="Picture 19"/>
            <wp:cNvGraphicFramePr>
              <a:graphicFrameLocks noChangeAspect="1"/>
            </wp:cNvGraphicFramePr>
            <a:graphic>
              <a:graphicData uri="http://schemas.openxmlformats.org/drawingml/2006/picture">
                <pic:pic>
                  <pic:nvPicPr>
                    <pic:cNvPr id="0" name="cell10_param_metadata_code.png"/>
                    <pic:cNvPicPr/>
                  </pic:nvPicPr>
                  <pic:blipFill>
                    <a:blip r:embed="rId27"/>
                    <a:stretch>
                      <a:fillRect/>
                    </a:stretch>
                  </pic:blipFill>
                  <pic:spPr>
                    <a:xfrm>
                      <a:off x="0" y="0"/>
                      <a:ext cx="5669280" cy="3723066"/>
                    </a:xfrm>
                    <a:prstGeom prst="rect"/>
                  </pic:spPr>
                </pic:pic>
              </a:graphicData>
            </a:graphic>
          </wp:inline>
        </w:drawing>
      </w:r>
    </w:p>
    <w:p>
      <w:pPr>
        <w:jc w:val="left"/>
      </w:pPr>
      <w:r>
        <w:drawing>
          <wp:inline xmlns:a="http://schemas.openxmlformats.org/drawingml/2006/main" xmlns:pic="http://schemas.openxmlformats.org/drawingml/2006/picture">
            <wp:extent cx="5669280" cy="588457"/>
            <wp:docPr id="20" name="Picture 20"/>
            <wp:cNvGraphicFramePr>
              <a:graphicFrameLocks noChangeAspect="1"/>
            </wp:cNvGraphicFramePr>
            <a:graphic>
              <a:graphicData uri="http://schemas.openxmlformats.org/drawingml/2006/picture">
                <pic:pic>
                  <pic:nvPicPr>
                    <pic:cNvPr id="0" name="cell10_param_metadata_output.png"/>
                    <pic:cNvPicPr/>
                  </pic:nvPicPr>
                  <pic:blipFill>
                    <a:blip r:embed="rId28"/>
                    <a:stretch>
                      <a:fillRect/>
                    </a:stretch>
                  </pic:blipFill>
                  <pic:spPr>
                    <a:xfrm>
                      <a:off x="0" y="0"/>
                      <a:ext cx="5669280" cy="588457"/>
                    </a:xfrm>
                    <a:prstGeom prst="rect"/>
                  </pic:spPr>
                </pic:pic>
              </a:graphicData>
            </a:graphic>
          </wp:inline>
        </w:drawing>
      </w:r>
    </w:p>
    <w:p>
      <w:pPr>
        <w:spacing w:after="200"/>
        <w:jc w:val="center"/>
      </w:pPr>
      <w:r>
        <w:rPr>
          <w:i/>
          <w:color w:val="57606A"/>
          <w:sz w:val="18"/>
        </w:rPr>
        <w:t>Cell 10: WHO reference ranges, units, and display labels configured.</w:t>
      </w:r>
    </w:p>
    <w:p>
      <w:pPr>
        <w:spacing w:after="120"/>
      </w:pPr>
      <w:r>
        <w:rPr>
          <w:b w:val="0"/>
          <w:i w:val="0"/>
          <w:sz w:val="22"/>
        </w:rPr>
        <w:t>Cell 11 — Overlapping histogram + KDE distributions split by potability class.</w:t>
      </w:r>
    </w:p>
    <w:p>
      <w:pPr>
        <w:jc w:val="left"/>
      </w:pPr>
      <w:r>
        <w:drawing>
          <wp:inline xmlns:a="http://schemas.openxmlformats.org/drawingml/2006/main" xmlns:pic="http://schemas.openxmlformats.org/drawingml/2006/picture">
            <wp:extent cx="5669280" cy="2187337"/>
            <wp:docPr id="21" name="Picture 21"/>
            <wp:cNvGraphicFramePr>
              <a:graphicFrameLocks noChangeAspect="1"/>
            </wp:cNvGraphicFramePr>
            <a:graphic>
              <a:graphicData uri="http://schemas.openxmlformats.org/drawingml/2006/picture">
                <pic:pic>
                  <pic:nvPicPr>
                    <pic:cNvPr id="0" name="cell11_distributions_code.png"/>
                    <pic:cNvPicPr/>
                  </pic:nvPicPr>
                  <pic:blipFill>
                    <a:blip r:embed="rId29"/>
                    <a:stretch>
                      <a:fillRect/>
                    </a:stretch>
                  </pic:blipFill>
                  <pic:spPr>
                    <a:xfrm>
                      <a:off x="0" y="0"/>
                      <a:ext cx="5669280" cy="2187337"/>
                    </a:xfrm>
                    <a:prstGeom prst="rect"/>
                  </pic:spPr>
                </pic:pic>
              </a:graphicData>
            </a:graphic>
          </wp:inline>
        </w:drawing>
      </w:r>
    </w:p>
    <w:p>
      <w:pPr>
        <w:jc w:val="center"/>
      </w:pPr>
      <w:r>
        <w:drawing>
          <wp:inline xmlns:a="http://schemas.openxmlformats.org/drawingml/2006/main" xmlns:pic="http://schemas.openxmlformats.org/drawingml/2006/picture">
            <wp:extent cx="5303520" cy="4503548"/>
            <wp:docPr id="22" name="Picture 22"/>
            <wp:cNvGraphicFramePr>
              <a:graphicFrameLocks noChangeAspect="1"/>
            </wp:cNvGraphicFramePr>
            <a:graphic>
              <a:graphicData uri="http://schemas.openxmlformats.org/drawingml/2006/picture">
                <pic:pic>
                  <pic:nvPicPr>
                    <pic:cNvPr id="0" name="cell11_output03.png"/>
                    <pic:cNvPicPr/>
                  </pic:nvPicPr>
                  <pic:blipFill>
                    <a:blip r:embed="rId30"/>
                    <a:stretch>
                      <a:fillRect/>
                    </a:stretch>
                  </pic:blipFill>
                  <pic:spPr>
                    <a:xfrm>
                      <a:off x="0" y="0"/>
                      <a:ext cx="5303520" cy="4503548"/>
                    </a:xfrm>
                    <a:prstGeom prst="rect"/>
                  </pic:spPr>
                </pic:pic>
              </a:graphicData>
            </a:graphic>
          </wp:inline>
        </w:drawing>
      </w:r>
    </w:p>
    <w:p>
      <w:pPr>
        <w:spacing w:after="280"/>
        <w:jc w:val="center"/>
      </w:pPr>
      <w:r>
        <w:rPr>
          <w:i/>
          <w:color w:val="57606A"/>
          <w:sz w:val="18"/>
        </w:rPr>
        <w:t>Figure 3 (Cell 11 output): Distribution plots for all nine parameters — Potable (green) vs Non-Potable (red).</w:t>
      </w:r>
    </w:p>
    <w:p>
      <w:pPr>
        <w:spacing w:after="120"/>
      </w:pPr>
      <w:r>
        <w:rPr>
          <w:b w:val="0"/>
          <w:i w:val="0"/>
          <w:sz w:val="22"/>
        </w:rPr>
        <w:t>Cell 12 — Notched boxplots for all parameters by potability group.</w:t>
      </w:r>
    </w:p>
    <w:p>
      <w:pPr>
        <w:jc w:val="left"/>
      </w:pPr>
      <w:r>
        <w:drawing>
          <wp:inline xmlns:a="http://schemas.openxmlformats.org/drawingml/2006/main" xmlns:pic="http://schemas.openxmlformats.org/drawingml/2006/picture">
            <wp:extent cx="5669280" cy="2818852"/>
            <wp:docPr id="23" name="Picture 23"/>
            <wp:cNvGraphicFramePr>
              <a:graphicFrameLocks noChangeAspect="1"/>
            </wp:cNvGraphicFramePr>
            <a:graphic>
              <a:graphicData uri="http://schemas.openxmlformats.org/drawingml/2006/picture">
                <pic:pic>
                  <pic:nvPicPr>
                    <pic:cNvPr id="0" name="cell12_boxplots_code.png"/>
                    <pic:cNvPicPr/>
                  </pic:nvPicPr>
                  <pic:blipFill>
                    <a:blip r:embed="rId31"/>
                    <a:stretch>
                      <a:fillRect/>
                    </a:stretch>
                  </pic:blipFill>
                  <pic:spPr>
                    <a:xfrm>
                      <a:off x="0" y="0"/>
                      <a:ext cx="5669280" cy="2818852"/>
                    </a:xfrm>
                    <a:prstGeom prst="rect"/>
                  </pic:spPr>
                </pic:pic>
              </a:graphicData>
            </a:graphic>
          </wp:inline>
        </w:drawing>
      </w:r>
    </w:p>
    <w:p>
      <w:pPr>
        <w:jc w:val="center"/>
      </w:pPr>
      <w:r>
        <w:drawing>
          <wp:inline xmlns:a="http://schemas.openxmlformats.org/drawingml/2006/main" xmlns:pic="http://schemas.openxmlformats.org/drawingml/2006/picture">
            <wp:extent cx="5303520" cy="4503548"/>
            <wp:docPr id="24" name="Picture 24"/>
            <wp:cNvGraphicFramePr>
              <a:graphicFrameLocks noChangeAspect="1"/>
            </wp:cNvGraphicFramePr>
            <a:graphic>
              <a:graphicData uri="http://schemas.openxmlformats.org/drawingml/2006/picture">
                <pic:pic>
                  <pic:nvPicPr>
                    <pic:cNvPr id="0" name="cell12_output04.png"/>
                    <pic:cNvPicPr/>
                  </pic:nvPicPr>
                  <pic:blipFill>
                    <a:blip r:embed="rId32"/>
                    <a:stretch>
                      <a:fillRect/>
                    </a:stretch>
                  </pic:blipFill>
                  <pic:spPr>
                    <a:xfrm>
                      <a:off x="0" y="0"/>
                      <a:ext cx="5303520" cy="4503548"/>
                    </a:xfrm>
                    <a:prstGeom prst="rect"/>
                  </pic:spPr>
                </pic:pic>
              </a:graphicData>
            </a:graphic>
          </wp:inline>
        </w:drawing>
      </w:r>
    </w:p>
    <w:p>
      <w:pPr>
        <w:spacing w:after="280"/>
        <w:jc w:val="center"/>
      </w:pPr>
      <w:r>
        <w:rPr>
          <w:i/>
          <w:color w:val="57606A"/>
          <w:sz w:val="18"/>
        </w:rPr>
        <w:t>Figure 4 (Cell 12 output): Notched boxplots — Non-Potable (red) vs Potable (green).</w:t>
      </w:r>
    </w:p>
    <w:p>
      <w:pPr>
        <w:spacing w:after="120"/>
      </w:pPr>
      <w:r>
        <w:rPr>
          <w:b w:val="0"/>
          <w:i w:val="0"/>
          <w:sz w:val="22"/>
        </w:rPr>
        <w:t>Cell 13 — Outlier analysis using IQR method (printed summary).</w:t>
      </w:r>
    </w:p>
    <w:p>
      <w:pPr>
        <w:jc w:val="left"/>
      </w:pPr>
      <w:r>
        <w:drawing>
          <wp:inline xmlns:a="http://schemas.openxmlformats.org/drawingml/2006/main" xmlns:pic="http://schemas.openxmlformats.org/drawingml/2006/picture">
            <wp:extent cx="5669280" cy="1825652"/>
            <wp:docPr id="25" name="Picture 25"/>
            <wp:cNvGraphicFramePr>
              <a:graphicFrameLocks noChangeAspect="1"/>
            </wp:cNvGraphicFramePr>
            <a:graphic>
              <a:graphicData uri="http://schemas.openxmlformats.org/drawingml/2006/picture">
                <pic:pic>
                  <pic:nvPicPr>
                    <pic:cNvPr id="0" name="cell13_outlier_analysis_code.png"/>
                    <pic:cNvPicPr/>
                  </pic:nvPicPr>
                  <pic:blipFill>
                    <a:blip r:embed="rId33"/>
                    <a:stretch>
                      <a:fillRect/>
                    </a:stretch>
                  </pic:blipFill>
                  <pic:spPr>
                    <a:xfrm>
                      <a:off x="0" y="0"/>
                      <a:ext cx="5669280" cy="1825652"/>
                    </a:xfrm>
                    <a:prstGeom prst="rect"/>
                  </pic:spPr>
                </pic:pic>
              </a:graphicData>
            </a:graphic>
          </wp:inline>
        </w:drawing>
      </w:r>
    </w:p>
    <w:p>
      <w:pPr>
        <w:jc w:val="left"/>
      </w:pPr>
      <w:r>
        <w:drawing>
          <wp:inline xmlns:a="http://schemas.openxmlformats.org/drawingml/2006/main" xmlns:pic="http://schemas.openxmlformats.org/drawingml/2006/picture">
            <wp:extent cx="5669280" cy="1372109"/>
            <wp:docPr id="26" name="Picture 26"/>
            <wp:cNvGraphicFramePr>
              <a:graphicFrameLocks noChangeAspect="1"/>
            </wp:cNvGraphicFramePr>
            <a:graphic>
              <a:graphicData uri="http://schemas.openxmlformats.org/drawingml/2006/picture">
                <pic:pic>
                  <pic:nvPicPr>
                    <pic:cNvPr id="0" name="cell13_outlier_analysis_output.png"/>
                    <pic:cNvPicPr/>
                  </pic:nvPicPr>
                  <pic:blipFill>
                    <a:blip r:embed="rId34"/>
                    <a:stretch>
                      <a:fillRect/>
                    </a:stretch>
                  </pic:blipFill>
                  <pic:spPr>
                    <a:xfrm>
                      <a:off x="0" y="0"/>
                      <a:ext cx="5669280" cy="1372109"/>
                    </a:xfrm>
                    <a:prstGeom prst="rect"/>
                  </pic:spPr>
                </pic:pic>
              </a:graphicData>
            </a:graphic>
          </wp:inline>
        </w:drawing>
      </w:r>
    </w:p>
    <w:p>
      <w:pPr>
        <w:spacing w:after="200"/>
        <w:jc w:val="center"/>
      </w:pPr>
      <w:r>
        <w:rPr>
          <w:i/>
          <w:color w:val="57606A"/>
          <w:sz w:val="18"/>
        </w:rPr>
        <w:t>Cell 13: IQR fence values and outlier counts per parameter. Solids has the most outliers.</w:t>
      </w:r>
    </w:p>
    <w:p>
      <w:pPr>
        <w:spacing w:after="120"/>
      </w:pPr>
      <w:r>
        <w:rPr>
          <w:b w:val="0"/>
          <w:i w:val="0"/>
          <w:sz w:val="22"/>
        </w:rPr>
        <w:t>Cell 14 — Outlier count bar chart visualisation.</w:t>
      </w:r>
    </w:p>
    <w:p>
      <w:pPr>
        <w:jc w:val="left"/>
      </w:pPr>
      <w:r>
        <w:drawing>
          <wp:inline xmlns:a="http://schemas.openxmlformats.org/drawingml/2006/main" xmlns:pic="http://schemas.openxmlformats.org/drawingml/2006/picture">
            <wp:extent cx="5669280" cy="1914637"/>
            <wp:docPr id="27" name="Picture 27"/>
            <wp:cNvGraphicFramePr>
              <a:graphicFrameLocks noChangeAspect="1"/>
            </wp:cNvGraphicFramePr>
            <a:graphic>
              <a:graphicData uri="http://schemas.openxmlformats.org/drawingml/2006/picture">
                <pic:pic>
                  <pic:nvPicPr>
                    <pic:cNvPr id="0" name="cell14_outlier_bar_code.png"/>
                    <pic:cNvPicPr/>
                  </pic:nvPicPr>
                  <pic:blipFill>
                    <a:blip r:embed="rId35"/>
                    <a:stretch>
                      <a:fillRect/>
                    </a:stretch>
                  </pic:blipFill>
                  <pic:spPr>
                    <a:xfrm>
                      <a:off x="0" y="0"/>
                      <a:ext cx="5669280" cy="1914637"/>
                    </a:xfrm>
                    <a:prstGeom prst="rect"/>
                  </pic:spPr>
                </pic:pic>
              </a:graphicData>
            </a:graphic>
          </wp:inline>
        </w:drawing>
      </w:r>
    </w:p>
    <w:p>
      <w:pPr>
        <w:jc w:val="center"/>
      </w:pPr>
      <w:r>
        <w:drawing>
          <wp:inline xmlns:a="http://schemas.openxmlformats.org/drawingml/2006/main" xmlns:pic="http://schemas.openxmlformats.org/drawingml/2006/picture">
            <wp:extent cx="5303520" cy="2180088"/>
            <wp:docPr id="28" name="Picture 28"/>
            <wp:cNvGraphicFramePr>
              <a:graphicFrameLocks noChangeAspect="1"/>
            </wp:cNvGraphicFramePr>
            <a:graphic>
              <a:graphicData uri="http://schemas.openxmlformats.org/drawingml/2006/picture">
                <pic:pic>
                  <pic:nvPicPr>
                    <pic:cNvPr id="0" name="cell14_output05.png"/>
                    <pic:cNvPicPr/>
                  </pic:nvPicPr>
                  <pic:blipFill>
                    <a:blip r:embed="rId36"/>
                    <a:stretch>
                      <a:fillRect/>
                    </a:stretch>
                  </pic:blipFill>
                  <pic:spPr>
                    <a:xfrm>
                      <a:off x="0" y="0"/>
                      <a:ext cx="5303520" cy="2180088"/>
                    </a:xfrm>
                    <a:prstGeom prst="rect"/>
                  </pic:spPr>
                </pic:pic>
              </a:graphicData>
            </a:graphic>
          </wp:inline>
        </w:drawing>
      </w:r>
    </w:p>
    <w:p>
      <w:pPr>
        <w:spacing w:after="280"/>
        <w:jc w:val="center"/>
      </w:pPr>
      <w:r>
        <w:rPr>
          <w:i/>
          <w:color w:val="57606A"/>
          <w:sz w:val="18"/>
        </w:rPr>
        <w:t>Figure 5 (Cell 14 output): Number of outliers per parameter (IQR method).</w:t>
      </w:r>
    </w:p>
    <w:p>
      <w:pPr>
        <w:pStyle w:val="Heading2"/>
        <w:spacing w:before="280" w:after="80"/>
      </w:pPr>
      <w:r>
        <w:rPr>
          <w:color w:val="2C5282"/>
        </w:rPr>
        <w:t>10.7  Section G: Correlation Analysis</w:t>
      </w:r>
    </w:p>
    <w:p>
      <w:pPr>
        <w:spacing w:after="120"/>
      </w:pPr>
      <w:r>
        <w:rPr>
          <w:b w:val="0"/>
          <w:i w:val="0"/>
          <w:sz w:val="22"/>
        </w:rPr>
        <w:t>Cell 15 — Pearson correlation heatmap.</w:t>
      </w:r>
    </w:p>
    <w:p>
      <w:pPr>
        <w:jc w:val="left"/>
      </w:pPr>
      <w:r>
        <w:drawing>
          <wp:inline xmlns:a="http://schemas.openxmlformats.org/drawingml/2006/main" xmlns:pic="http://schemas.openxmlformats.org/drawingml/2006/picture">
            <wp:extent cx="5669280" cy="2729866"/>
            <wp:docPr id="29" name="Picture 29"/>
            <wp:cNvGraphicFramePr>
              <a:graphicFrameLocks noChangeAspect="1"/>
            </wp:cNvGraphicFramePr>
            <a:graphic>
              <a:graphicData uri="http://schemas.openxmlformats.org/drawingml/2006/picture">
                <pic:pic>
                  <pic:nvPicPr>
                    <pic:cNvPr id="0" name="cell15_correlation_code.png"/>
                    <pic:cNvPicPr/>
                  </pic:nvPicPr>
                  <pic:blipFill>
                    <a:blip r:embed="rId37"/>
                    <a:stretch>
                      <a:fillRect/>
                    </a:stretch>
                  </pic:blipFill>
                  <pic:spPr>
                    <a:xfrm>
                      <a:off x="0" y="0"/>
                      <a:ext cx="5669280" cy="2729866"/>
                    </a:xfrm>
                    <a:prstGeom prst="rect"/>
                  </pic:spPr>
                </pic:pic>
              </a:graphicData>
            </a:graphic>
          </wp:inline>
        </w:drawing>
      </w:r>
    </w:p>
    <w:p>
      <w:pPr>
        <w:jc w:val="center"/>
      </w:pPr>
      <w:r>
        <w:drawing>
          <wp:inline xmlns:a="http://schemas.openxmlformats.org/drawingml/2006/main" xmlns:pic="http://schemas.openxmlformats.org/drawingml/2006/picture">
            <wp:extent cx="5303520" cy="4604439"/>
            <wp:docPr id="30" name="Picture 30"/>
            <wp:cNvGraphicFramePr>
              <a:graphicFrameLocks noChangeAspect="1"/>
            </wp:cNvGraphicFramePr>
            <a:graphic>
              <a:graphicData uri="http://schemas.openxmlformats.org/drawingml/2006/picture">
                <pic:pic>
                  <pic:nvPicPr>
                    <pic:cNvPr id="0" name="cell15_output06.png"/>
                    <pic:cNvPicPr/>
                  </pic:nvPicPr>
                  <pic:blipFill>
                    <a:blip r:embed="rId38"/>
                    <a:stretch>
                      <a:fillRect/>
                    </a:stretch>
                  </pic:blipFill>
                  <pic:spPr>
                    <a:xfrm>
                      <a:off x="0" y="0"/>
                      <a:ext cx="5303520" cy="4604439"/>
                    </a:xfrm>
                    <a:prstGeom prst="rect"/>
                  </pic:spPr>
                </pic:pic>
              </a:graphicData>
            </a:graphic>
          </wp:inline>
        </w:drawing>
      </w:r>
    </w:p>
    <w:p>
      <w:pPr>
        <w:spacing w:after="280"/>
        <w:jc w:val="center"/>
      </w:pPr>
      <w:r>
        <w:rPr>
          <w:i/>
          <w:color w:val="57606A"/>
          <w:sz w:val="18"/>
        </w:rPr>
        <w:t>Figure 6 (Cell 15 output): Full Pearson correlation heatmap for all features + Potability.</w:t>
      </w:r>
    </w:p>
    <w:p>
      <w:pPr>
        <w:spacing w:after="120"/>
      </w:pPr>
      <w:r>
        <w:rPr>
          <w:b w:val="0"/>
          <w:i w:val="0"/>
          <w:sz w:val="22"/>
        </w:rPr>
        <w:t>Cell 16 — Printed correlation values with Potability (sorted).</w:t>
      </w:r>
    </w:p>
    <w:p>
      <w:pPr>
        <w:jc w:val="left"/>
      </w:pPr>
      <w:r>
        <w:drawing>
          <wp:inline xmlns:a="http://schemas.openxmlformats.org/drawingml/2006/main" xmlns:pic="http://schemas.openxmlformats.org/drawingml/2006/picture">
            <wp:extent cx="5669280" cy="2276324"/>
            <wp:docPr id="31" name="Picture 31"/>
            <wp:cNvGraphicFramePr>
              <a:graphicFrameLocks noChangeAspect="1"/>
            </wp:cNvGraphicFramePr>
            <a:graphic>
              <a:graphicData uri="http://schemas.openxmlformats.org/drawingml/2006/picture">
                <pic:pic>
                  <pic:nvPicPr>
                    <pic:cNvPr id="0" name="cell16_correlation_print_code.png"/>
                    <pic:cNvPicPr/>
                  </pic:nvPicPr>
                  <pic:blipFill>
                    <a:blip r:embed="rId39"/>
                    <a:stretch>
                      <a:fillRect/>
                    </a:stretch>
                  </pic:blipFill>
                  <pic:spPr>
                    <a:xfrm>
                      <a:off x="0" y="0"/>
                      <a:ext cx="5669280" cy="2276324"/>
                    </a:xfrm>
                    <a:prstGeom prst="rect"/>
                  </pic:spPr>
                </pic:pic>
              </a:graphicData>
            </a:graphic>
          </wp:inline>
        </w:drawing>
      </w:r>
    </w:p>
    <w:p>
      <w:pPr>
        <w:jc w:val="left"/>
      </w:pPr>
      <w:r>
        <w:drawing>
          <wp:inline xmlns:a="http://schemas.openxmlformats.org/drawingml/2006/main" xmlns:pic="http://schemas.openxmlformats.org/drawingml/2006/picture">
            <wp:extent cx="5669280" cy="1845745"/>
            <wp:docPr id="32" name="Picture 32"/>
            <wp:cNvGraphicFramePr>
              <a:graphicFrameLocks noChangeAspect="1"/>
            </wp:cNvGraphicFramePr>
            <a:graphic>
              <a:graphicData uri="http://schemas.openxmlformats.org/drawingml/2006/picture">
                <pic:pic>
                  <pic:nvPicPr>
                    <pic:cNvPr id="0" name="cell16_correlation_output.png"/>
                    <pic:cNvPicPr/>
                  </pic:nvPicPr>
                  <pic:blipFill>
                    <a:blip r:embed="rId40"/>
                    <a:stretch>
                      <a:fillRect/>
                    </a:stretch>
                  </pic:blipFill>
                  <pic:spPr>
                    <a:xfrm>
                      <a:off x="0" y="0"/>
                      <a:ext cx="5669280" cy="1845745"/>
                    </a:xfrm>
                    <a:prstGeom prst="rect"/>
                  </pic:spPr>
                </pic:pic>
              </a:graphicData>
            </a:graphic>
          </wp:inline>
        </w:drawing>
      </w:r>
    </w:p>
    <w:p>
      <w:pPr>
        <w:spacing w:after="200"/>
        <w:jc w:val="center"/>
      </w:pPr>
      <w:r>
        <w:rPr>
          <w:i/>
          <w:color w:val="57606A"/>
          <w:sz w:val="18"/>
        </w:rPr>
        <w:t>Cell 16: All feature–Potability Pearson correlations. Highest |r| &lt; 0.10 — no strong linear predictor.</w:t>
      </w:r>
    </w:p>
    <w:p>
      <w:pPr>
        <w:pStyle w:val="Heading2"/>
        <w:spacing w:before="280" w:after="80"/>
      </w:pPr>
      <w:r>
        <w:rPr>
          <w:color w:val="2C5282"/>
        </w:rPr>
        <w:t>10.8  Section H: Statistical Significance Testing</w:t>
      </w:r>
    </w:p>
    <w:p>
      <w:pPr>
        <w:spacing w:after="120"/>
      </w:pPr>
      <w:r>
        <w:rPr>
          <w:b w:val="0"/>
          <w:i w:val="0"/>
          <w:sz w:val="22"/>
        </w:rPr>
        <w:t>Cell 17 — −log₁₀(p-value) significance bar chart.</w:t>
      </w:r>
    </w:p>
    <w:p>
      <w:pPr>
        <w:jc w:val="left"/>
      </w:pPr>
      <w:r>
        <w:drawing>
          <wp:inline xmlns:a="http://schemas.openxmlformats.org/drawingml/2006/main" xmlns:pic="http://schemas.openxmlformats.org/drawingml/2006/picture">
            <wp:extent cx="5669280" cy="2549023"/>
            <wp:docPr id="33" name="Picture 33"/>
            <wp:cNvGraphicFramePr>
              <a:graphicFrameLocks noChangeAspect="1"/>
            </wp:cNvGraphicFramePr>
            <a:graphic>
              <a:graphicData uri="http://schemas.openxmlformats.org/drawingml/2006/picture">
                <pic:pic>
                  <pic:nvPicPr>
                    <pic:cNvPr id="0" name="cell17_significance_viz_code.png"/>
                    <pic:cNvPicPr/>
                  </pic:nvPicPr>
                  <pic:blipFill>
                    <a:blip r:embed="rId41"/>
                    <a:stretch>
                      <a:fillRect/>
                    </a:stretch>
                  </pic:blipFill>
                  <pic:spPr>
                    <a:xfrm>
                      <a:off x="0" y="0"/>
                      <a:ext cx="5669280" cy="2549023"/>
                    </a:xfrm>
                    <a:prstGeom prst="rect"/>
                  </pic:spPr>
                </pic:pic>
              </a:graphicData>
            </a:graphic>
          </wp:inline>
        </w:drawing>
      </w:r>
    </w:p>
    <w:p>
      <w:pPr>
        <w:jc w:val="center"/>
      </w:pPr>
      <w:r>
        <w:drawing>
          <wp:inline xmlns:a="http://schemas.openxmlformats.org/drawingml/2006/main" xmlns:pic="http://schemas.openxmlformats.org/drawingml/2006/picture">
            <wp:extent cx="5303520" cy="2180088"/>
            <wp:docPr id="34" name="Picture 34"/>
            <wp:cNvGraphicFramePr>
              <a:graphicFrameLocks noChangeAspect="1"/>
            </wp:cNvGraphicFramePr>
            <a:graphic>
              <a:graphicData uri="http://schemas.openxmlformats.org/drawingml/2006/picture">
                <pic:pic>
                  <pic:nvPicPr>
                    <pic:cNvPr id="0" name="cell17_output07.png"/>
                    <pic:cNvPicPr/>
                  </pic:nvPicPr>
                  <pic:blipFill>
                    <a:blip r:embed="rId42"/>
                    <a:stretch>
                      <a:fillRect/>
                    </a:stretch>
                  </pic:blipFill>
                  <pic:spPr>
                    <a:xfrm>
                      <a:off x="0" y="0"/>
                      <a:ext cx="5303520" cy="2180088"/>
                    </a:xfrm>
                    <a:prstGeom prst="rect"/>
                  </pic:spPr>
                </pic:pic>
              </a:graphicData>
            </a:graphic>
          </wp:inline>
        </w:drawing>
      </w:r>
    </w:p>
    <w:p>
      <w:pPr>
        <w:spacing w:after="280"/>
        <w:jc w:val="center"/>
      </w:pPr>
      <w:r>
        <w:rPr>
          <w:i/>
          <w:color w:val="57606A"/>
          <w:sz w:val="18"/>
        </w:rPr>
        <w:t>Figure 7 (Cell 17 output): −log₁₀(p) per parameter. Green bars exceed the α=0.05 threshold line.</w:t>
      </w:r>
    </w:p>
    <w:p>
      <w:pPr>
        <w:spacing w:after="120"/>
      </w:pPr>
      <w:r>
        <w:rPr>
          <w:b w:val="0"/>
          <w:i w:val="0"/>
          <w:sz w:val="22"/>
        </w:rPr>
        <w:t>Cell 18 — Mann-Whitney U test results table (printed).</w:t>
      </w:r>
    </w:p>
    <w:p>
      <w:pPr>
        <w:jc w:val="left"/>
      </w:pPr>
      <w:r>
        <w:drawing>
          <wp:inline xmlns:a="http://schemas.openxmlformats.org/drawingml/2006/main" xmlns:pic="http://schemas.openxmlformats.org/drawingml/2006/picture">
            <wp:extent cx="5669280" cy="2276324"/>
            <wp:docPr id="35" name="Picture 35"/>
            <wp:cNvGraphicFramePr>
              <a:graphicFrameLocks noChangeAspect="1"/>
            </wp:cNvGraphicFramePr>
            <a:graphic>
              <a:graphicData uri="http://schemas.openxmlformats.org/drawingml/2006/picture">
                <pic:pic>
                  <pic:nvPicPr>
                    <pic:cNvPr id="0" name="cell18_mannwhitney_code.png"/>
                    <pic:cNvPicPr/>
                  </pic:nvPicPr>
                  <pic:blipFill>
                    <a:blip r:embed="rId43"/>
                    <a:stretch>
                      <a:fillRect/>
                    </a:stretch>
                  </pic:blipFill>
                  <pic:spPr>
                    <a:xfrm>
                      <a:off x="0" y="0"/>
                      <a:ext cx="5669280" cy="2276324"/>
                    </a:xfrm>
                    <a:prstGeom prst="rect"/>
                  </pic:spPr>
                </pic:pic>
              </a:graphicData>
            </a:graphic>
          </wp:inline>
        </w:drawing>
      </w:r>
    </w:p>
    <w:p>
      <w:pPr>
        <w:jc w:val="left"/>
      </w:pPr>
      <w:r>
        <w:drawing>
          <wp:inline xmlns:a="http://schemas.openxmlformats.org/drawingml/2006/main" xmlns:pic="http://schemas.openxmlformats.org/drawingml/2006/picture">
            <wp:extent cx="5669280" cy="2603563"/>
            <wp:docPr id="36" name="Picture 36"/>
            <wp:cNvGraphicFramePr>
              <a:graphicFrameLocks noChangeAspect="1"/>
            </wp:cNvGraphicFramePr>
            <a:graphic>
              <a:graphicData uri="http://schemas.openxmlformats.org/drawingml/2006/picture">
                <pic:pic>
                  <pic:nvPicPr>
                    <pic:cNvPr id="0" name="cell18_mannwhitney_output.png"/>
                    <pic:cNvPicPr/>
                  </pic:nvPicPr>
                  <pic:blipFill>
                    <a:blip r:embed="rId44"/>
                    <a:stretch>
                      <a:fillRect/>
                    </a:stretch>
                  </pic:blipFill>
                  <pic:spPr>
                    <a:xfrm>
                      <a:off x="0" y="0"/>
                      <a:ext cx="5669280" cy="2603563"/>
                    </a:xfrm>
                    <a:prstGeom prst="rect"/>
                  </pic:spPr>
                </pic:pic>
              </a:graphicData>
            </a:graphic>
          </wp:inline>
        </w:drawing>
      </w:r>
    </w:p>
    <w:p>
      <w:pPr>
        <w:spacing w:after="200"/>
        <w:jc w:val="center"/>
      </w:pPr>
      <w:r>
        <w:rPr>
          <w:i/>
          <w:color w:val="57606A"/>
          <w:sz w:val="18"/>
        </w:rPr>
        <w:t>Cell 18: Full Mann-Whitney U results. Chloramines, Solids, Organic Carbon are significant (p &lt; 0.05).</w:t>
      </w:r>
    </w:p>
    <w:p>
      <w:pPr>
        <w:pStyle w:val="Heading2"/>
        <w:spacing w:before="280" w:after="80"/>
      </w:pPr>
      <w:r>
        <w:rPr>
          <w:color w:val="2C5282"/>
        </w:rPr>
        <w:t>10.9  Section I: Comparison Table &amp; Additional EDA Plots</w:t>
      </w:r>
    </w:p>
    <w:p>
      <w:pPr>
        <w:spacing w:after="120"/>
      </w:pPr>
      <w:r>
        <w:rPr>
          <w:b w:val="0"/>
          <w:i w:val="0"/>
          <w:sz w:val="22"/>
        </w:rPr>
        <w:t>Cell 19 — Potable vs Non-Potable comparison table (printed).</w:t>
      </w:r>
    </w:p>
    <w:p>
      <w:pPr>
        <w:jc w:val="left"/>
      </w:pPr>
      <w:r>
        <w:drawing>
          <wp:inline xmlns:a="http://schemas.openxmlformats.org/drawingml/2006/main" xmlns:pic="http://schemas.openxmlformats.org/drawingml/2006/picture">
            <wp:extent cx="5669280" cy="2549023"/>
            <wp:docPr id="37" name="Picture 37"/>
            <wp:cNvGraphicFramePr>
              <a:graphicFrameLocks noChangeAspect="1"/>
            </wp:cNvGraphicFramePr>
            <a:graphic>
              <a:graphicData uri="http://schemas.openxmlformats.org/drawingml/2006/picture">
                <pic:pic>
                  <pic:nvPicPr>
                    <pic:cNvPr id="0" name="cell19_comparison_table_code.png"/>
                    <pic:cNvPicPr/>
                  </pic:nvPicPr>
                  <pic:blipFill>
                    <a:blip r:embed="rId45"/>
                    <a:stretch>
                      <a:fillRect/>
                    </a:stretch>
                  </pic:blipFill>
                  <pic:spPr>
                    <a:xfrm>
                      <a:off x="0" y="0"/>
                      <a:ext cx="5669280" cy="2549023"/>
                    </a:xfrm>
                    <a:prstGeom prst="rect"/>
                  </pic:spPr>
                </pic:pic>
              </a:graphicData>
            </a:graphic>
          </wp:inline>
        </w:drawing>
      </w:r>
    </w:p>
    <w:p>
      <w:pPr>
        <w:jc w:val="left"/>
      </w:pPr>
      <w:r>
        <w:drawing>
          <wp:inline xmlns:a="http://schemas.openxmlformats.org/drawingml/2006/main" xmlns:pic="http://schemas.openxmlformats.org/drawingml/2006/picture">
            <wp:extent cx="5669280" cy="5445379"/>
            <wp:docPr id="38" name="Picture 38"/>
            <wp:cNvGraphicFramePr>
              <a:graphicFrameLocks noChangeAspect="1"/>
            </wp:cNvGraphicFramePr>
            <a:graphic>
              <a:graphicData uri="http://schemas.openxmlformats.org/drawingml/2006/picture">
                <pic:pic>
                  <pic:nvPicPr>
                    <pic:cNvPr id="0" name="cell23_comparison_table_output.png"/>
                    <pic:cNvPicPr/>
                  </pic:nvPicPr>
                  <pic:blipFill>
                    <a:blip r:embed="rId46"/>
                    <a:stretch>
                      <a:fillRect/>
                    </a:stretch>
                  </pic:blipFill>
                  <pic:spPr>
                    <a:xfrm>
                      <a:off x="0" y="0"/>
                      <a:ext cx="5669280" cy="5445379"/>
                    </a:xfrm>
                    <a:prstGeom prst="rect"/>
                  </pic:spPr>
                </pic:pic>
              </a:graphicData>
            </a:graphic>
          </wp:inline>
        </w:drawing>
      </w:r>
    </w:p>
    <w:p>
      <w:pPr>
        <w:spacing w:after="200"/>
        <w:jc w:val="center"/>
      </w:pPr>
      <w:r>
        <w:rPr>
          <w:i/>
          <w:color w:val="57606A"/>
          <w:sz w:val="18"/>
        </w:rPr>
        <w:t>Cell 19: Full comparison table — mean, median, difference, and p-value per parameter.</w:t>
      </w:r>
    </w:p>
    <w:p>
      <w:pPr>
        <w:spacing w:after="120"/>
      </w:pPr>
      <w:r>
        <w:rPr>
          <w:b w:val="0"/>
          <w:i w:val="0"/>
          <w:sz w:val="22"/>
        </w:rPr>
        <w:t>Cell 20 — Relative mean difference bar chart.</w:t>
      </w:r>
    </w:p>
    <w:p>
      <w:pPr>
        <w:jc w:val="left"/>
      </w:pPr>
      <w:r>
        <w:drawing>
          <wp:inline xmlns:a="http://schemas.openxmlformats.org/drawingml/2006/main" xmlns:pic="http://schemas.openxmlformats.org/drawingml/2006/picture">
            <wp:extent cx="5669280" cy="2549023"/>
            <wp:docPr id="39" name="Picture 39"/>
            <wp:cNvGraphicFramePr>
              <a:graphicFrameLocks noChangeAspect="1"/>
            </wp:cNvGraphicFramePr>
            <a:graphic>
              <a:graphicData uri="http://schemas.openxmlformats.org/drawingml/2006/picture">
                <pic:pic>
                  <pic:nvPicPr>
                    <pic:cNvPr id="0" name="cell20_mean_comparison_viz_code.png"/>
                    <pic:cNvPicPr/>
                  </pic:nvPicPr>
                  <pic:blipFill>
                    <a:blip r:embed="rId47"/>
                    <a:stretch>
                      <a:fillRect/>
                    </a:stretch>
                  </pic:blipFill>
                  <pic:spPr>
                    <a:xfrm>
                      <a:off x="0" y="0"/>
                      <a:ext cx="5669280" cy="2549023"/>
                    </a:xfrm>
                    <a:prstGeom prst="rect"/>
                  </pic:spPr>
                </pic:pic>
              </a:graphicData>
            </a:graphic>
          </wp:inline>
        </w:drawing>
      </w:r>
    </w:p>
    <w:p>
      <w:pPr>
        <w:jc w:val="center"/>
      </w:pPr>
      <w:r>
        <w:drawing>
          <wp:inline xmlns:a="http://schemas.openxmlformats.org/drawingml/2006/main" xmlns:pic="http://schemas.openxmlformats.org/drawingml/2006/picture">
            <wp:extent cx="5303520" cy="2354292"/>
            <wp:docPr id="40" name="Picture 40"/>
            <wp:cNvGraphicFramePr>
              <a:graphicFrameLocks noChangeAspect="1"/>
            </wp:cNvGraphicFramePr>
            <a:graphic>
              <a:graphicData uri="http://schemas.openxmlformats.org/drawingml/2006/picture">
                <pic:pic>
                  <pic:nvPicPr>
                    <pic:cNvPr id="0" name="cell20_output09.png"/>
                    <pic:cNvPicPr/>
                  </pic:nvPicPr>
                  <pic:blipFill>
                    <a:blip r:embed="rId48"/>
                    <a:stretch>
                      <a:fillRect/>
                    </a:stretch>
                  </pic:blipFill>
                  <pic:spPr>
                    <a:xfrm>
                      <a:off x="0" y="0"/>
                      <a:ext cx="5303520" cy="2354292"/>
                    </a:xfrm>
                    <a:prstGeom prst="rect"/>
                  </pic:spPr>
                </pic:pic>
              </a:graphicData>
            </a:graphic>
          </wp:inline>
        </w:drawing>
      </w:r>
    </w:p>
    <w:p>
      <w:pPr>
        <w:spacing w:after="280"/>
        <w:jc w:val="center"/>
      </w:pPr>
      <w:r>
        <w:rPr>
          <w:i/>
          <w:color w:val="57606A"/>
          <w:sz w:val="18"/>
        </w:rPr>
        <w:t>Figure 8 (Cell 20 output): Relative mean % difference (Potable − Non-Potable) per parameter.</w:t>
      </w:r>
    </w:p>
    <w:p>
      <w:pPr>
        <w:spacing w:after="120"/>
      </w:pPr>
      <w:r>
        <w:rPr>
          <w:b w:val="0"/>
          <w:i w:val="0"/>
          <w:sz w:val="22"/>
        </w:rPr>
        <w:t>Cell 21 — Scatter plots: pH vs Turbidity and Chloramines vs Solids.</w:t>
      </w:r>
    </w:p>
    <w:p>
      <w:pPr>
        <w:jc w:val="left"/>
      </w:pPr>
      <w:r>
        <w:drawing>
          <wp:inline xmlns:a="http://schemas.openxmlformats.org/drawingml/2006/main" xmlns:pic="http://schemas.openxmlformats.org/drawingml/2006/picture">
            <wp:extent cx="5669280" cy="2368180"/>
            <wp:docPr id="41" name="Picture 41"/>
            <wp:cNvGraphicFramePr>
              <a:graphicFrameLocks noChangeAspect="1"/>
            </wp:cNvGraphicFramePr>
            <a:graphic>
              <a:graphicData uri="http://schemas.openxmlformats.org/drawingml/2006/picture">
                <pic:pic>
                  <pic:nvPicPr>
                    <pic:cNvPr id="0" name="cell21_scatter_plots_code.png"/>
                    <pic:cNvPicPr/>
                  </pic:nvPicPr>
                  <pic:blipFill>
                    <a:blip r:embed="rId49"/>
                    <a:stretch>
                      <a:fillRect/>
                    </a:stretch>
                  </pic:blipFill>
                  <pic:spPr>
                    <a:xfrm>
                      <a:off x="0" y="0"/>
                      <a:ext cx="5669280" cy="2368180"/>
                    </a:xfrm>
                    <a:prstGeom prst="rect"/>
                  </pic:spPr>
                </pic:pic>
              </a:graphicData>
            </a:graphic>
          </wp:inline>
        </w:drawing>
      </w:r>
    </w:p>
    <w:p>
      <w:pPr>
        <w:jc w:val="center"/>
      </w:pPr>
      <w:r>
        <w:drawing>
          <wp:inline xmlns:a="http://schemas.openxmlformats.org/drawingml/2006/main" xmlns:pic="http://schemas.openxmlformats.org/drawingml/2006/picture">
            <wp:extent cx="5303520" cy="4503548"/>
            <wp:docPr id="42" name="Picture 42"/>
            <wp:cNvGraphicFramePr>
              <a:graphicFrameLocks noChangeAspect="1"/>
            </wp:cNvGraphicFramePr>
            <a:graphic>
              <a:graphicData uri="http://schemas.openxmlformats.org/drawingml/2006/picture">
                <pic:pic>
                  <pic:nvPicPr>
                    <pic:cNvPr id="0" name="cell21_output10.png"/>
                    <pic:cNvPicPr/>
                  </pic:nvPicPr>
                  <pic:blipFill>
                    <a:blip r:embed="rId50"/>
                    <a:stretch>
                      <a:fillRect/>
                    </a:stretch>
                  </pic:blipFill>
                  <pic:spPr>
                    <a:xfrm>
                      <a:off x="0" y="0"/>
                      <a:ext cx="5303520" cy="4503548"/>
                    </a:xfrm>
                    <a:prstGeom prst="rect"/>
                  </pic:spPr>
                </pic:pic>
              </a:graphicData>
            </a:graphic>
          </wp:inline>
        </w:drawing>
      </w:r>
    </w:p>
    <w:p>
      <w:pPr>
        <w:spacing w:after="280"/>
        <w:jc w:val="center"/>
      </w:pPr>
      <w:r>
        <w:rPr>
          <w:i/>
          <w:color w:val="57606A"/>
          <w:sz w:val="18"/>
        </w:rPr>
        <w:t>Figure 9 (Cell 21 output): Scatter plots coloured by potability class.</w:t>
      </w:r>
    </w:p>
    <w:p>
      <w:pPr>
        <w:spacing w:after="120"/>
      </w:pPr>
      <w:r>
        <w:rPr>
          <w:b w:val="0"/>
          <w:i w:val="0"/>
          <w:sz w:val="22"/>
        </w:rPr>
        <w:t>Cell 22 — Violin plots for all nine parameters by potability group.</w:t>
      </w:r>
    </w:p>
    <w:p>
      <w:pPr>
        <w:jc w:val="left"/>
      </w:pPr>
      <w:r>
        <w:drawing>
          <wp:inline xmlns:a="http://schemas.openxmlformats.org/drawingml/2006/main" xmlns:pic="http://schemas.openxmlformats.org/drawingml/2006/picture">
            <wp:extent cx="5669280" cy="1733795"/>
            <wp:docPr id="43" name="Picture 43"/>
            <wp:cNvGraphicFramePr>
              <a:graphicFrameLocks noChangeAspect="1"/>
            </wp:cNvGraphicFramePr>
            <a:graphic>
              <a:graphicData uri="http://schemas.openxmlformats.org/drawingml/2006/picture">
                <pic:pic>
                  <pic:nvPicPr>
                    <pic:cNvPr id="0" name="cell22_violin_plots_code.png"/>
                    <pic:cNvPicPr/>
                  </pic:nvPicPr>
                  <pic:blipFill>
                    <a:blip r:embed="rId51"/>
                    <a:stretch>
                      <a:fillRect/>
                    </a:stretch>
                  </pic:blipFill>
                  <pic:spPr>
                    <a:xfrm>
                      <a:off x="0" y="0"/>
                      <a:ext cx="5669280" cy="1733795"/>
                    </a:xfrm>
                    <a:prstGeom prst="rect"/>
                  </pic:spPr>
                </pic:pic>
              </a:graphicData>
            </a:graphic>
          </wp:inline>
        </w:drawing>
      </w:r>
    </w:p>
    <w:p>
      <w:pPr>
        <w:jc w:val="center"/>
      </w:pPr>
      <w:r>
        <w:drawing>
          <wp:inline xmlns:a="http://schemas.openxmlformats.org/drawingml/2006/main" xmlns:pic="http://schemas.openxmlformats.org/drawingml/2006/picture">
            <wp:extent cx="5303520" cy="4853459"/>
            <wp:docPr id="44" name="Picture 44"/>
            <wp:cNvGraphicFramePr>
              <a:graphicFrameLocks noChangeAspect="1"/>
            </wp:cNvGraphicFramePr>
            <a:graphic>
              <a:graphicData uri="http://schemas.openxmlformats.org/drawingml/2006/picture">
                <pic:pic>
                  <pic:nvPicPr>
                    <pic:cNvPr id="0" name="cell22_output11.png"/>
                    <pic:cNvPicPr/>
                  </pic:nvPicPr>
                  <pic:blipFill>
                    <a:blip r:embed="rId52"/>
                    <a:stretch>
                      <a:fillRect/>
                    </a:stretch>
                  </pic:blipFill>
                  <pic:spPr>
                    <a:xfrm>
                      <a:off x="0" y="0"/>
                      <a:ext cx="5303520" cy="4853459"/>
                    </a:xfrm>
                    <a:prstGeom prst="rect"/>
                  </pic:spPr>
                </pic:pic>
              </a:graphicData>
            </a:graphic>
          </wp:inline>
        </w:drawing>
      </w:r>
    </w:p>
    <w:p>
      <w:pPr>
        <w:spacing w:after="280"/>
        <w:jc w:val="center"/>
      </w:pPr>
      <w:r>
        <w:rPr>
          <w:i/>
          <w:color w:val="57606A"/>
          <w:sz w:val="18"/>
        </w:rPr>
        <w:t>Figure 10 (Cell 22 output): Violin plots showing full distributional shape per group.</w:t>
      </w:r>
    </w:p>
    <w:p>
      <w:pPr>
        <w:spacing w:after="120"/>
      </w:pPr>
      <w:r>
        <w:rPr>
          <w:b w:val="0"/>
          <w:i w:val="0"/>
          <w:sz w:val="22"/>
        </w:rPr>
        <w:t>Cell 23 — Pair plot for selected features.</w:t>
      </w:r>
    </w:p>
    <w:p>
      <w:pPr>
        <w:jc w:val="left"/>
      </w:pPr>
      <w:r>
        <w:drawing>
          <wp:inline xmlns:a="http://schemas.openxmlformats.org/drawingml/2006/main" xmlns:pic="http://schemas.openxmlformats.org/drawingml/2006/picture">
            <wp:extent cx="5669280" cy="5169809"/>
            <wp:docPr id="45" name="Picture 45"/>
            <wp:cNvGraphicFramePr>
              <a:graphicFrameLocks noChangeAspect="1"/>
            </wp:cNvGraphicFramePr>
            <a:graphic>
              <a:graphicData uri="http://schemas.openxmlformats.org/drawingml/2006/picture">
                <pic:pic>
                  <pic:nvPicPr>
                    <pic:cNvPr id="0" name="cell23_pairplot_code.png"/>
                    <pic:cNvPicPr/>
                  </pic:nvPicPr>
                  <pic:blipFill>
                    <a:blip r:embed="rId53"/>
                    <a:stretch>
                      <a:fillRect/>
                    </a:stretch>
                  </pic:blipFill>
                  <pic:spPr>
                    <a:xfrm>
                      <a:off x="0" y="0"/>
                      <a:ext cx="5669280" cy="5169809"/>
                    </a:xfrm>
                    <a:prstGeom prst="rect"/>
                  </pic:spPr>
                </pic:pic>
              </a:graphicData>
            </a:graphic>
          </wp:inline>
        </w:drawing>
      </w:r>
    </w:p>
    <w:p>
      <w:pPr>
        <w:jc w:val="center"/>
      </w:pPr>
      <w:r>
        <w:drawing>
          <wp:inline xmlns:a="http://schemas.openxmlformats.org/drawingml/2006/main" xmlns:pic="http://schemas.openxmlformats.org/drawingml/2006/picture">
            <wp:extent cx="5303520" cy="4503548"/>
            <wp:docPr id="46" name="Picture 46"/>
            <wp:cNvGraphicFramePr>
              <a:graphicFrameLocks noChangeAspect="1"/>
            </wp:cNvGraphicFramePr>
            <a:graphic>
              <a:graphicData uri="http://schemas.openxmlformats.org/drawingml/2006/picture">
                <pic:pic>
                  <pic:nvPicPr>
                    <pic:cNvPr id="0" name="cell11_output03.png"/>
                    <pic:cNvPicPr/>
                  </pic:nvPicPr>
                  <pic:blipFill>
                    <a:blip r:embed="rId30"/>
                    <a:stretch>
                      <a:fillRect/>
                    </a:stretch>
                  </pic:blipFill>
                  <pic:spPr>
                    <a:xfrm>
                      <a:off x="0" y="0"/>
                      <a:ext cx="5303520" cy="4503548"/>
                    </a:xfrm>
                    <a:prstGeom prst="rect"/>
                  </pic:spPr>
                </pic:pic>
              </a:graphicData>
            </a:graphic>
          </wp:inline>
        </w:drawing>
      </w:r>
    </w:p>
    <w:p>
      <w:pPr>
        <w:spacing w:after="280"/>
        <w:jc w:val="center"/>
      </w:pPr>
      <w:r>
        <w:rPr>
          <w:i/>
          <w:color w:val="57606A"/>
          <w:sz w:val="18"/>
        </w:rPr>
        <w:t>Figure 11 (Cell 23 output): Pair plot — pH, Hardness, Chloramines, Sulfate, Turbidity by potability.</w:t>
      </w:r>
    </w:p>
    <w:p>
      <w:pPr>
        <w:jc w:val="center"/>
      </w:pPr>
      <w:r>
        <w:drawing>
          <wp:inline xmlns:a="http://schemas.openxmlformats.org/drawingml/2006/main" xmlns:pic="http://schemas.openxmlformats.org/drawingml/2006/picture">
            <wp:extent cx="5303520" cy="4858237"/>
            <wp:docPr id="47" name="Picture 47"/>
            <wp:cNvGraphicFramePr>
              <a:graphicFrameLocks noChangeAspect="1"/>
            </wp:cNvGraphicFramePr>
            <a:graphic>
              <a:graphicData uri="http://schemas.openxmlformats.org/drawingml/2006/picture">
                <pic:pic>
                  <pic:nvPicPr>
                    <pic:cNvPr id="0" name="fig11_pairplot.png"/>
                    <pic:cNvPicPr/>
                  </pic:nvPicPr>
                  <pic:blipFill>
                    <a:blip r:embed="rId54"/>
                    <a:stretch>
                      <a:fillRect/>
                    </a:stretch>
                  </pic:blipFill>
                  <pic:spPr>
                    <a:xfrm>
                      <a:off x="0" y="0"/>
                      <a:ext cx="5303520" cy="4858237"/>
                    </a:xfrm>
                    <a:prstGeom prst="rect"/>
                  </pic:spPr>
                </pic:pic>
              </a:graphicData>
            </a:graphic>
          </wp:inline>
        </w:drawing>
      </w:r>
    </w:p>
    <w:p>
      <w:pPr>
        <w:spacing w:after="280"/>
        <w:jc w:val="center"/>
      </w:pPr>
      <w:r>
        <w:rPr>
          <w:i/>
          <w:color w:val="57606A"/>
          <w:sz w:val="18"/>
        </w:rPr>
        <w:t>Figure 11: Pair plot (generated from notebook Cell 23 execution).</w:t>
      </w:r>
    </w:p>
    <w:p>
      <w:pPr>
        <w:spacing w:after="120"/>
      </w:pPr>
      <w:r>
        <w:rPr>
          <w:b w:val="0"/>
          <w:i w:val="0"/>
          <w:sz w:val="22"/>
        </w:rPr>
        <w:t>Cell 24 — Key findings (printed).</w:t>
      </w:r>
    </w:p>
    <w:p>
      <w:pPr>
        <w:jc w:val="left"/>
      </w:pPr>
      <w:r>
        <w:drawing>
          <wp:inline xmlns:a="http://schemas.openxmlformats.org/drawingml/2006/main" xmlns:pic="http://schemas.openxmlformats.org/drawingml/2006/picture">
            <wp:extent cx="5669280" cy="740595"/>
            <wp:docPr id="48" name="Picture 48"/>
            <wp:cNvGraphicFramePr>
              <a:graphicFrameLocks noChangeAspect="1"/>
            </wp:cNvGraphicFramePr>
            <a:graphic>
              <a:graphicData uri="http://schemas.openxmlformats.org/drawingml/2006/picture">
                <pic:pic>
                  <pic:nvPicPr>
                    <pic:cNvPr id="0" name="cell24_key_findings_code.png"/>
                    <pic:cNvPicPr/>
                  </pic:nvPicPr>
                  <pic:blipFill>
                    <a:blip r:embed="rId55"/>
                    <a:stretch>
                      <a:fillRect/>
                    </a:stretch>
                  </pic:blipFill>
                  <pic:spPr>
                    <a:xfrm>
                      <a:off x="0" y="0"/>
                      <a:ext cx="5669280" cy="740595"/>
                    </a:xfrm>
                    <a:prstGeom prst="rect"/>
                  </pic:spPr>
                </pic:pic>
              </a:graphicData>
            </a:graphic>
          </wp:inline>
        </w:drawing>
      </w:r>
    </w:p>
    <w:p>
      <w:pPr>
        <w:jc w:val="left"/>
      </w:pPr>
      <w:r>
        <w:drawing>
          <wp:inline xmlns:a="http://schemas.openxmlformats.org/drawingml/2006/main" xmlns:pic="http://schemas.openxmlformats.org/drawingml/2006/picture">
            <wp:extent cx="5669280" cy="1466836"/>
            <wp:docPr id="49" name="Picture 49"/>
            <wp:cNvGraphicFramePr>
              <a:graphicFrameLocks noChangeAspect="1"/>
            </wp:cNvGraphicFramePr>
            <a:graphic>
              <a:graphicData uri="http://schemas.openxmlformats.org/drawingml/2006/picture">
                <pic:pic>
                  <pic:nvPicPr>
                    <pic:cNvPr id="0" name="cell24_key_findings_output.png"/>
                    <pic:cNvPicPr/>
                  </pic:nvPicPr>
                  <pic:blipFill>
                    <a:blip r:embed="rId56"/>
                    <a:stretch>
                      <a:fillRect/>
                    </a:stretch>
                  </pic:blipFill>
                  <pic:spPr>
                    <a:xfrm>
                      <a:off x="0" y="0"/>
                      <a:ext cx="5669280" cy="1466836"/>
                    </a:xfrm>
                    <a:prstGeom prst="rect"/>
                  </pic:spPr>
                </pic:pic>
              </a:graphicData>
            </a:graphic>
          </wp:inline>
        </w:drawing>
      </w:r>
    </w:p>
    <w:p>
      <w:pPr>
        <w:spacing w:after="200"/>
        <w:jc w:val="center"/>
      </w:pPr>
      <w:r>
        <w:rPr>
          <w:i/>
          <w:color w:val="57606A"/>
          <w:sz w:val="18"/>
        </w:rPr>
        <w:t>Cell 24: Structured key findings summary printed from actual calculated values.</w:t>
      </w:r>
    </w:p>
    <w:p>
      <w:pPr>
        <w:pBdr>
          <w:bottom w:val="single" w:sz="6" w:space="1" w:color="C0C0C0"/>
        </w:pBdr>
        <w:spacing w:after="160"/>
      </w:pPr>
    </w:p>
    <w:p>
      <w:pPr>
        <w:pStyle w:val="Heading1"/>
        <w:spacing w:before="280" w:after="80"/>
      </w:pPr>
      <w:r>
        <w:rPr>
          <w:color w:val="1F3864"/>
        </w:rPr>
        <w:t>11. Results &amp; Key Findings</w:t>
      </w:r>
    </w:p>
    <w:p>
      <w:pPr>
        <w:pStyle w:val="Heading2"/>
        <w:spacing w:before="280" w:after="80"/>
      </w:pPr>
      <w:r>
        <w:rPr>
          <w:color w:val="2C5282"/>
        </w:rPr>
        <w:t>11.1  Potable vs Non-Potable Comparison Table</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shd w:val="clear" w:color="auto" w:fill="1F3864"/>
          </w:tcPr>
          <w:p>
            <w:r>
              <w:rPr>
                <w:b/>
                <w:color w:val="FFFFFF"/>
                <w:sz w:val="18"/>
              </w:rPr>
              <w:t>Parameter</w:t>
            </w:r>
          </w:p>
        </w:tc>
        <w:tc>
          <w:tcPr>
            <w:tcW w:type="dxa" w:w="1377"/>
            <w:shd w:val="clear" w:color="auto" w:fill="1F3864"/>
          </w:tcPr>
          <w:p>
            <w:r>
              <w:rPr>
                <w:b/>
                <w:color w:val="FFFFFF"/>
                <w:sz w:val="18"/>
              </w:rPr>
              <w:t>Potable Mean</w:t>
            </w:r>
          </w:p>
        </w:tc>
        <w:tc>
          <w:tcPr>
            <w:tcW w:type="dxa" w:w="1377"/>
            <w:shd w:val="clear" w:color="auto" w:fill="1F3864"/>
          </w:tcPr>
          <w:p>
            <w:r>
              <w:rPr>
                <w:b/>
                <w:color w:val="FFFFFF"/>
                <w:sz w:val="18"/>
              </w:rPr>
              <w:t>Non-Potable Mean</w:t>
            </w:r>
          </w:p>
        </w:tc>
        <w:tc>
          <w:tcPr>
            <w:tcW w:type="dxa" w:w="1377"/>
            <w:shd w:val="clear" w:color="auto" w:fill="1F3864"/>
          </w:tcPr>
          <w:p>
            <w:r>
              <w:rPr>
                <w:b/>
                <w:color w:val="FFFFFF"/>
                <w:sz w:val="18"/>
              </w:rPr>
              <w:t>Diff</w:t>
            </w:r>
          </w:p>
        </w:tc>
        <w:tc>
          <w:tcPr>
            <w:tcW w:type="dxa" w:w="1377"/>
            <w:shd w:val="clear" w:color="auto" w:fill="1F3864"/>
          </w:tcPr>
          <w:p>
            <w:r>
              <w:rPr>
                <w:b/>
                <w:color w:val="FFFFFF"/>
                <w:sz w:val="18"/>
              </w:rPr>
              <w:t>Potable Median</w:t>
            </w:r>
          </w:p>
        </w:tc>
        <w:tc>
          <w:tcPr>
            <w:tcW w:type="dxa" w:w="1377"/>
            <w:shd w:val="clear" w:color="auto" w:fill="1F3864"/>
          </w:tcPr>
          <w:p>
            <w:r>
              <w:rPr>
                <w:b/>
                <w:color w:val="FFFFFF"/>
                <w:sz w:val="18"/>
              </w:rPr>
              <w:t>Non-Potable Median</w:t>
            </w:r>
          </w:p>
        </w:tc>
        <w:tc>
          <w:tcPr>
            <w:tcW w:type="dxa" w:w="1377"/>
            <w:shd w:val="clear" w:color="auto" w:fill="1F3864"/>
          </w:tcPr>
          <w:p>
            <w:r>
              <w:rPr>
                <w:b/>
                <w:color w:val="FFFFFF"/>
                <w:sz w:val="18"/>
              </w:rPr>
              <w:t>p-value</w:t>
            </w:r>
          </w:p>
        </w:tc>
      </w:tr>
      <w:tr>
        <w:tc>
          <w:tcPr>
            <w:tcW w:type="dxa" w:w="1377"/>
          </w:tcPr>
          <w:p>
            <w:r>
              <w:rPr>
                <w:sz w:val="18"/>
              </w:rPr>
              <w:t>pH</w:t>
            </w:r>
          </w:p>
        </w:tc>
        <w:tc>
          <w:tcPr>
            <w:tcW w:type="dxa" w:w="1377"/>
          </w:tcPr>
          <w:p>
            <w:r>
              <w:rPr>
                <w:sz w:val="18"/>
              </w:rPr>
              <w:t>7.0738</w:t>
            </w:r>
          </w:p>
        </w:tc>
        <w:tc>
          <w:tcPr>
            <w:tcW w:type="dxa" w:w="1377"/>
          </w:tcPr>
          <w:p>
            <w:r>
              <w:rPr>
                <w:sz w:val="18"/>
              </w:rPr>
              <w:t>7.0854</w:t>
            </w:r>
          </w:p>
        </w:tc>
        <w:tc>
          <w:tcPr>
            <w:tcW w:type="dxa" w:w="1377"/>
          </w:tcPr>
          <w:p>
            <w:r>
              <w:rPr>
                <w:sz w:val="18"/>
              </w:rPr>
              <w:t>-0.0116</w:t>
            </w:r>
          </w:p>
        </w:tc>
        <w:tc>
          <w:tcPr>
            <w:tcW w:type="dxa" w:w="1377"/>
          </w:tcPr>
          <w:p>
            <w:r>
              <w:rPr>
                <w:sz w:val="18"/>
              </w:rPr>
              <w:t>7.0368</w:t>
            </w:r>
          </w:p>
        </w:tc>
        <w:tc>
          <w:tcPr>
            <w:tcW w:type="dxa" w:w="1377"/>
          </w:tcPr>
          <w:p>
            <w:r>
              <w:rPr>
                <w:sz w:val="18"/>
              </w:rPr>
              <w:t>7.0355</w:t>
            </w:r>
          </w:p>
        </w:tc>
        <w:tc>
          <w:tcPr>
            <w:tcW w:type="dxa" w:w="1377"/>
          </w:tcPr>
          <w:p>
            <w:r>
              <w:rPr>
                <w:sz w:val="18"/>
              </w:rPr>
              <w:t>0.914</w:t>
            </w:r>
          </w:p>
        </w:tc>
      </w:tr>
      <w:tr>
        <w:tc>
          <w:tcPr>
            <w:tcW w:type="dxa" w:w="1377"/>
          </w:tcPr>
          <w:p>
            <w:r>
              <w:rPr>
                <w:sz w:val="18"/>
              </w:rPr>
              <w:t>Hardness</w:t>
            </w:r>
          </w:p>
        </w:tc>
        <w:tc>
          <w:tcPr>
            <w:tcW w:type="dxa" w:w="1377"/>
          </w:tcPr>
          <w:p>
            <w:r>
              <w:rPr>
                <w:sz w:val="18"/>
              </w:rPr>
              <w:t>195.8</w:t>
            </w:r>
          </w:p>
        </w:tc>
        <w:tc>
          <w:tcPr>
            <w:tcW w:type="dxa" w:w="1377"/>
          </w:tcPr>
          <w:p>
            <w:r>
              <w:rPr>
                <w:sz w:val="18"/>
              </w:rPr>
              <w:t>196.73</w:t>
            </w:r>
          </w:p>
        </w:tc>
        <w:tc>
          <w:tcPr>
            <w:tcW w:type="dxa" w:w="1377"/>
          </w:tcPr>
          <w:p>
            <w:r>
              <w:rPr>
                <w:sz w:val="18"/>
              </w:rPr>
              <w:t>-0.93</w:t>
            </w:r>
          </w:p>
        </w:tc>
        <w:tc>
          <w:tcPr>
            <w:tcW w:type="dxa" w:w="1377"/>
          </w:tcPr>
          <w:p>
            <w:r>
              <w:rPr>
                <w:sz w:val="18"/>
              </w:rPr>
              <w:t>196.63</w:t>
            </w:r>
          </w:p>
        </w:tc>
        <w:tc>
          <w:tcPr>
            <w:tcW w:type="dxa" w:w="1377"/>
          </w:tcPr>
          <w:p>
            <w:r>
              <w:rPr>
                <w:sz w:val="18"/>
              </w:rPr>
              <w:t>197.12</w:t>
            </w:r>
          </w:p>
        </w:tc>
        <w:tc>
          <w:tcPr>
            <w:tcW w:type="dxa" w:w="1377"/>
          </w:tcPr>
          <w:p>
            <w:r>
              <w:rPr>
                <w:sz w:val="18"/>
              </w:rPr>
              <w:t>0.268</w:t>
            </w:r>
          </w:p>
        </w:tc>
      </w:tr>
      <w:tr>
        <w:tc>
          <w:tcPr>
            <w:tcW w:type="dxa" w:w="1377"/>
          </w:tcPr>
          <w:p>
            <w:r>
              <w:rPr>
                <w:sz w:val="18"/>
              </w:rPr>
              <w:t>Solids (TDS)</w:t>
            </w:r>
          </w:p>
        </w:tc>
        <w:tc>
          <w:tcPr>
            <w:tcW w:type="dxa" w:w="1377"/>
          </w:tcPr>
          <w:p>
            <w:r>
              <w:rPr>
                <w:sz w:val="18"/>
              </w:rPr>
              <w:t>22383.99</w:t>
            </w:r>
          </w:p>
        </w:tc>
        <w:tc>
          <w:tcPr>
            <w:tcW w:type="dxa" w:w="1377"/>
          </w:tcPr>
          <w:p>
            <w:r>
              <w:rPr>
                <w:sz w:val="18"/>
              </w:rPr>
              <w:t>21777.49</w:t>
            </w:r>
          </w:p>
        </w:tc>
        <w:tc>
          <w:tcPr>
            <w:tcW w:type="dxa" w:w="1377"/>
          </w:tcPr>
          <w:p>
            <w:r>
              <w:rPr>
                <w:sz w:val="18"/>
              </w:rPr>
              <w:t>+606.5</w:t>
            </w:r>
          </w:p>
        </w:tc>
        <w:tc>
          <w:tcPr>
            <w:tcW w:type="dxa" w:w="1377"/>
          </w:tcPr>
          <w:p>
            <w:r>
              <w:rPr>
                <w:sz w:val="18"/>
              </w:rPr>
              <w:t>21199.39</w:t>
            </w:r>
          </w:p>
        </w:tc>
        <w:tc>
          <w:tcPr>
            <w:tcW w:type="dxa" w:w="1377"/>
          </w:tcPr>
          <w:p>
            <w:r>
              <w:rPr>
                <w:sz w:val="18"/>
              </w:rPr>
              <w:t>20809.62</w:t>
            </w:r>
          </w:p>
        </w:tc>
        <w:tc>
          <w:tcPr>
            <w:tcW w:type="dxa" w:w="1377"/>
            <w:shd w:val="clear" w:color="auto" w:fill="C6EFCE"/>
          </w:tcPr>
          <w:p>
            <w:r>
              <w:rPr>
                <w:sz w:val="18"/>
              </w:rPr>
              <w:t>0.04</w:t>
            </w:r>
          </w:p>
        </w:tc>
      </w:tr>
      <w:tr>
        <w:tc>
          <w:tcPr>
            <w:tcW w:type="dxa" w:w="1377"/>
          </w:tcPr>
          <w:p>
            <w:r>
              <w:rPr>
                <w:sz w:val="18"/>
              </w:rPr>
              <w:t>Chloramines</w:t>
            </w:r>
          </w:p>
        </w:tc>
        <w:tc>
          <w:tcPr>
            <w:tcW w:type="dxa" w:w="1377"/>
          </w:tcPr>
          <w:p>
            <w:r>
              <w:rPr>
                <w:sz w:val="18"/>
              </w:rPr>
              <w:t>7.169</w:t>
            </w:r>
          </w:p>
        </w:tc>
        <w:tc>
          <w:tcPr>
            <w:tcW w:type="dxa" w:w="1377"/>
          </w:tcPr>
          <w:p>
            <w:r>
              <w:rPr>
                <w:sz w:val="18"/>
              </w:rPr>
              <w:t>7.092</w:t>
            </w:r>
          </w:p>
        </w:tc>
        <w:tc>
          <w:tcPr>
            <w:tcW w:type="dxa" w:w="1377"/>
          </w:tcPr>
          <w:p>
            <w:r>
              <w:rPr>
                <w:sz w:val="18"/>
              </w:rPr>
              <w:t>+0.077</w:t>
            </w:r>
          </w:p>
        </w:tc>
        <w:tc>
          <w:tcPr>
            <w:tcW w:type="dxa" w:w="1377"/>
          </w:tcPr>
          <w:p>
            <w:r>
              <w:rPr>
                <w:sz w:val="18"/>
              </w:rPr>
              <w:t>7.215</w:t>
            </w:r>
          </w:p>
        </w:tc>
        <w:tc>
          <w:tcPr>
            <w:tcW w:type="dxa" w:w="1377"/>
          </w:tcPr>
          <w:p>
            <w:r>
              <w:rPr>
                <w:sz w:val="18"/>
              </w:rPr>
              <w:t>7.09</w:t>
            </w:r>
          </w:p>
        </w:tc>
        <w:tc>
          <w:tcPr>
            <w:tcW w:type="dxa" w:w="1377"/>
            <w:shd w:val="clear" w:color="auto" w:fill="C6EFCE"/>
          </w:tcPr>
          <w:p>
            <w:r>
              <w:rPr>
                <w:sz w:val="18"/>
              </w:rPr>
              <w:t>0.035</w:t>
            </w:r>
          </w:p>
        </w:tc>
      </w:tr>
      <w:tr>
        <w:tc>
          <w:tcPr>
            <w:tcW w:type="dxa" w:w="1377"/>
          </w:tcPr>
          <w:p>
            <w:r>
              <w:rPr>
                <w:sz w:val="18"/>
              </w:rPr>
              <w:t>Sulfate</w:t>
            </w:r>
          </w:p>
        </w:tc>
        <w:tc>
          <w:tcPr>
            <w:tcW w:type="dxa" w:w="1377"/>
          </w:tcPr>
          <w:p>
            <w:r>
              <w:rPr>
                <w:sz w:val="18"/>
              </w:rPr>
              <w:t>332.57</w:t>
            </w:r>
          </w:p>
        </w:tc>
        <w:tc>
          <w:tcPr>
            <w:tcW w:type="dxa" w:w="1377"/>
          </w:tcPr>
          <w:p>
            <w:r>
              <w:rPr>
                <w:sz w:val="18"/>
              </w:rPr>
              <w:t>334.56</w:t>
            </w:r>
          </w:p>
        </w:tc>
        <w:tc>
          <w:tcPr>
            <w:tcW w:type="dxa" w:w="1377"/>
          </w:tcPr>
          <w:p>
            <w:r>
              <w:rPr>
                <w:sz w:val="18"/>
              </w:rPr>
              <w:t>-1.99</w:t>
            </w:r>
          </w:p>
        </w:tc>
        <w:tc>
          <w:tcPr>
            <w:tcW w:type="dxa" w:w="1377"/>
          </w:tcPr>
          <w:p>
            <w:r>
              <w:rPr>
                <w:sz w:val="18"/>
              </w:rPr>
              <w:t>331.84</w:t>
            </w:r>
          </w:p>
        </w:tc>
        <w:tc>
          <w:tcPr>
            <w:tcW w:type="dxa" w:w="1377"/>
          </w:tcPr>
          <w:p>
            <w:r>
              <w:rPr>
                <w:sz w:val="18"/>
              </w:rPr>
              <w:t>333.39</w:t>
            </w:r>
          </w:p>
        </w:tc>
        <w:tc>
          <w:tcPr>
            <w:tcW w:type="dxa" w:w="1377"/>
          </w:tcPr>
          <w:p>
            <w:r>
              <w:rPr>
                <w:sz w:val="18"/>
              </w:rPr>
              <w:t>0.162</w:t>
            </w:r>
          </w:p>
        </w:tc>
      </w:tr>
      <w:tr>
        <w:tc>
          <w:tcPr>
            <w:tcW w:type="dxa" w:w="1377"/>
          </w:tcPr>
          <w:p>
            <w:r>
              <w:rPr>
                <w:sz w:val="18"/>
              </w:rPr>
              <w:t>Conductivity</w:t>
            </w:r>
          </w:p>
        </w:tc>
        <w:tc>
          <w:tcPr>
            <w:tcW w:type="dxa" w:w="1377"/>
          </w:tcPr>
          <w:p>
            <w:r>
              <w:rPr>
                <w:sz w:val="18"/>
              </w:rPr>
              <w:t>425.38</w:t>
            </w:r>
          </w:p>
        </w:tc>
        <w:tc>
          <w:tcPr>
            <w:tcW w:type="dxa" w:w="1377"/>
          </w:tcPr>
          <w:p>
            <w:r>
              <w:rPr>
                <w:sz w:val="18"/>
              </w:rPr>
              <w:t>426.73</w:t>
            </w:r>
          </w:p>
        </w:tc>
        <w:tc>
          <w:tcPr>
            <w:tcW w:type="dxa" w:w="1377"/>
          </w:tcPr>
          <w:p>
            <w:r>
              <w:rPr>
                <w:sz w:val="18"/>
              </w:rPr>
              <w:t>-1.35</w:t>
            </w:r>
          </w:p>
        </w:tc>
        <w:tc>
          <w:tcPr>
            <w:tcW w:type="dxa" w:w="1377"/>
          </w:tcPr>
          <w:p>
            <w:r>
              <w:rPr>
                <w:sz w:val="18"/>
              </w:rPr>
              <w:t>420.71</w:t>
            </w:r>
          </w:p>
        </w:tc>
        <w:tc>
          <w:tcPr>
            <w:tcW w:type="dxa" w:w="1377"/>
          </w:tcPr>
          <w:p>
            <w:r>
              <w:rPr>
                <w:sz w:val="18"/>
              </w:rPr>
              <w:t>422.23</w:t>
            </w:r>
          </w:p>
        </w:tc>
        <w:tc>
          <w:tcPr>
            <w:tcW w:type="dxa" w:w="1377"/>
          </w:tcPr>
          <w:p>
            <w:r>
              <w:rPr>
                <w:sz w:val="18"/>
              </w:rPr>
              <w:t>0.567</w:t>
            </w:r>
          </w:p>
        </w:tc>
      </w:tr>
      <w:tr>
        <w:tc>
          <w:tcPr>
            <w:tcW w:type="dxa" w:w="1377"/>
          </w:tcPr>
          <w:p>
            <w:r>
              <w:rPr>
                <w:sz w:val="18"/>
              </w:rPr>
              <w:t>Organic Carbon</w:t>
            </w:r>
          </w:p>
        </w:tc>
        <w:tc>
          <w:tcPr>
            <w:tcW w:type="dxa" w:w="1377"/>
          </w:tcPr>
          <w:p>
            <w:r>
              <w:rPr>
                <w:sz w:val="18"/>
              </w:rPr>
              <w:t>14.16</w:t>
            </w:r>
          </w:p>
        </w:tc>
        <w:tc>
          <w:tcPr>
            <w:tcW w:type="dxa" w:w="1377"/>
          </w:tcPr>
          <w:p>
            <w:r>
              <w:rPr>
                <w:sz w:val="18"/>
              </w:rPr>
              <w:t>14.36</w:t>
            </w:r>
          </w:p>
        </w:tc>
        <w:tc>
          <w:tcPr>
            <w:tcW w:type="dxa" w:w="1377"/>
          </w:tcPr>
          <w:p>
            <w:r>
              <w:rPr>
                <w:sz w:val="18"/>
              </w:rPr>
              <w:t>-0.2</w:t>
            </w:r>
          </w:p>
        </w:tc>
        <w:tc>
          <w:tcPr>
            <w:tcW w:type="dxa" w:w="1377"/>
          </w:tcPr>
          <w:p>
            <w:r>
              <w:rPr>
                <w:sz w:val="18"/>
              </w:rPr>
              <w:t>14.16</w:t>
            </w:r>
          </w:p>
        </w:tc>
        <w:tc>
          <w:tcPr>
            <w:tcW w:type="dxa" w:w="1377"/>
          </w:tcPr>
          <w:p>
            <w:r>
              <w:rPr>
                <w:sz w:val="18"/>
              </w:rPr>
              <w:t>14.29</w:t>
            </w:r>
          </w:p>
        </w:tc>
        <w:tc>
          <w:tcPr>
            <w:tcW w:type="dxa" w:w="1377"/>
            <w:shd w:val="clear" w:color="auto" w:fill="C6EFCE"/>
          </w:tcPr>
          <w:p>
            <w:r>
              <w:rPr>
                <w:sz w:val="18"/>
              </w:rPr>
              <w:t>0.047</w:t>
            </w:r>
          </w:p>
        </w:tc>
      </w:tr>
      <w:tr>
        <w:tc>
          <w:tcPr>
            <w:tcW w:type="dxa" w:w="1377"/>
          </w:tcPr>
          <w:p>
            <w:r>
              <w:rPr>
                <w:sz w:val="18"/>
              </w:rPr>
              <w:t>Trihalomethanes</w:t>
            </w:r>
          </w:p>
        </w:tc>
        <w:tc>
          <w:tcPr>
            <w:tcW w:type="dxa" w:w="1377"/>
          </w:tcPr>
          <w:p>
            <w:r>
              <w:rPr>
                <w:sz w:val="18"/>
              </w:rPr>
              <w:t>66.54</w:t>
            </w:r>
          </w:p>
        </w:tc>
        <w:tc>
          <w:tcPr>
            <w:tcW w:type="dxa" w:w="1377"/>
          </w:tcPr>
          <w:p>
            <w:r>
              <w:rPr>
                <w:sz w:val="18"/>
              </w:rPr>
              <w:t>66.3</w:t>
            </w:r>
          </w:p>
        </w:tc>
        <w:tc>
          <w:tcPr>
            <w:tcW w:type="dxa" w:w="1377"/>
          </w:tcPr>
          <w:p>
            <w:r>
              <w:rPr>
                <w:sz w:val="18"/>
              </w:rPr>
              <w:t>+0.24</w:t>
            </w:r>
          </w:p>
        </w:tc>
        <w:tc>
          <w:tcPr>
            <w:tcW w:type="dxa" w:w="1377"/>
          </w:tcPr>
          <w:p>
            <w:r>
              <w:rPr>
                <w:sz w:val="18"/>
              </w:rPr>
              <w:t>66.68</w:t>
            </w:r>
          </w:p>
        </w:tc>
        <w:tc>
          <w:tcPr>
            <w:tcW w:type="dxa" w:w="1377"/>
          </w:tcPr>
          <w:p>
            <w:r>
              <w:rPr>
                <w:sz w:val="18"/>
              </w:rPr>
              <w:t>66.54</w:t>
            </w:r>
          </w:p>
        </w:tc>
        <w:tc>
          <w:tcPr>
            <w:tcW w:type="dxa" w:w="1377"/>
          </w:tcPr>
          <w:p>
            <w:r>
              <w:rPr>
                <w:sz w:val="18"/>
              </w:rPr>
              <w:t>0.762</w:t>
            </w:r>
          </w:p>
        </w:tc>
      </w:tr>
      <w:tr>
        <w:tc>
          <w:tcPr>
            <w:tcW w:type="dxa" w:w="1377"/>
          </w:tcPr>
          <w:p>
            <w:r>
              <w:rPr>
                <w:sz w:val="18"/>
              </w:rPr>
              <w:t>Turbidity</w:t>
            </w:r>
          </w:p>
        </w:tc>
        <w:tc>
          <w:tcPr>
            <w:tcW w:type="dxa" w:w="1377"/>
          </w:tcPr>
          <w:p>
            <w:r>
              <w:rPr>
                <w:sz w:val="18"/>
              </w:rPr>
              <w:t>3.968</w:t>
            </w:r>
          </w:p>
        </w:tc>
        <w:tc>
          <w:tcPr>
            <w:tcW w:type="dxa" w:w="1377"/>
          </w:tcPr>
          <w:p>
            <w:r>
              <w:rPr>
                <w:sz w:val="18"/>
              </w:rPr>
              <w:t>3.966</w:t>
            </w:r>
          </w:p>
        </w:tc>
        <w:tc>
          <w:tcPr>
            <w:tcW w:type="dxa" w:w="1377"/>
          </w:tcPr>
          <w:p>
            <w:r>
              <w:rPr>
                <w:sz w:val="18"/>
              </w:rPr>
              <w:t>+0.002</w:t>
            </w:r>
          </w:p>
        </w:tc>
        <w:tc>
          <w:tcPr>
            <w:tcW w:type="dxa" w:w="1377"/>
          </w:tcPr>
          <w:p>
            <w:r>
              <w:rPr>
                <w:sz w:val="18"/>
              </w:rPr>
              <w:t>3.959</w:t>
            </w:r>
          </w:p>
        </w:tc>
        <w:tc>
          <w:tcPr>
            <w:tcW w:type="dxa" w:w="1377"/>
          </w:tcPr>
          <w:p>
            <w:r>
              <w:rPr>
                <w:sz w:val="18"/>
              </w:rPr>
              <w:t>3.948</w:t>
            </w:r>
          </w:p>
        </w:tc>
        <w:tc>
          <w:tcPr>
            <w:tcW w:type="dxa" w:w="1377"/>
          </w:tcPr>
          <w:p>
            <w:r>
              <w:rPr>
                <w:sz w:val="18"/>
              </w:rPr>
              <w:t>0.821</w:t>
            </w:r>
          </w:p>
        </w:tc>
      </w:tr>
    </w:tbl>
    <w:p/>
    <w:p>
      <w:pPr>
        <w:pStyle w:val="Heading2"/>
        <w:spacing w:before="280" w:after="80"/>
      </w:pPr>
      <w:r>
        <w:rPr>
          <w:color w:val="2C5282"/>
        </w:rPr>
        <w:t>11.2  Summary of Key Findings</w:t>
      </w:r>
    </w:p>
    <w:p>
      <w:pPr>
        <w:pStyle w:val="ListBullet"/>
      </w:pPr>
      <w:r>
        <w:rPr>
          <w:sz w:val="22"/>
        </w:rPr>
        <w:t>Dataset contains 3,276 samples across 9 physicochemical features + 1 binary label.</w:t>
      </w:r>
    </w:p>
    <w:p>
      <w:pPr>
        <w:pStyle w:val="ListBullet"/>
      </w:pPr>
      <w:r>
        <w:rPr>
          <w:sz w:val="22"/>
        </w:rPr>
        <w:t>Class imbalance: 60.99% Non-Potable vs 39.01% Potable — relevant for any ML pipeline.</w:t>
      </w:r>
    </w:p>
    <w:p>
      <w:pPr>
        <w:pStyle w:val="ListBullet"/>
      </w:pPr>
      <w:r>
        <w:rPr>
          <w:sz w:val="22"/>
        </w:rPr>
        <w:t>No duplicate rows; missing values in ph (15%), Sulfate (24%), Trihalomethanes (5%).</w:t>
      </w:r>
    </w:p>
    <w:p>
      <w:pPr>
        <w:pStyle w:val="ListBullet"/>
      </w:pPr>
      <w:r>
        <w:rPr>
          <w:sz w:val="22"/>
        </w:rPr>
        <w:t>Grouped median imputation preserves inter-class distributional differences.</w:t>
      </w:r>
    </w:p>
    <w:p>
      <w:pPr>
        <w:pStyle w:val="ListBullet"/>
      </w:pPr>
      <w:r>
        <w:rPr>
          <w:sz w:val="22"/>
        </w:rPr>
        <w:t>All feature–Potability Pearson correlations have |r| &lt; 0.10 — no strong linear predictor.</w:t>
      </w:r>
    </w:p>
    <w:p>
      <w:pPr>
        <w:pStyle w:val="ListBullet"/>
      </w:pPr>
      <w:r>
        <w:rPr>
          <w:sz w:val="22"/>
        </w:rPr>
        <w:t>Statistically significant parameters (Mann-Whitney U, α=0.05): Chloramines (p≈0.035), Solids (p≈0.040), Organic Carbon (p≈0.047).</w:t>
      </w:r>
    </w:p>
    <w:p>
      <w:pPr>
        <w:pStyle w:val="ListBullet"/>
      </w:pPr>
      <w:r>
        <w:rPr>
          <w:sz w:val="22"/>
        </w:rPr>
        <w:t>Potable water: slightly higher mean Chloramines (7.169 vs 7.092 ppm) and Solids (22,384 vs 21,777 mg/L).</w:t>
      </w:r>
    </w:p>
    <w:p>
      <w:pPr>
        <w:pStyle w:val="ListBullet"/>
      </w:pPr>
      <w:r>
        <w:rPr>
          <w:sz w:val="22"/>
        </w:rPr>
        <w:t>Non-potable water: marginally higher mean Organic Carbon (14.36 vs 14.16 ppm).</w:t>
      </w:r>
    </w:p>
    <w:p>
      <w:pPr>
        <w:pStyle w:val="ListBullet"/>
      </w:pPr>
      <w:r>
        <w:rPr>
          <w:sz w:val="22"/>
        </w:rPr>
        <w:t>pH, Hardness, Sulfate, Conductivity, Trihalomethanes, Turbidity: no significant group difference.</w:t>
      </w:r>
    </w:p>
    <w:p>
      <w:pPr>
        <w:pStyle w:val="ListBullet"/>
      </w:pPr>
      <w:r>
        <w:rPr>
          <w:sz w:val="22"/>
        </w:rPr>
        <w:t>Solids (TDS) has the most IQR outliers due to a right-skewed distribution.</w:t>
      </w:r>
    </w:p>
    <w:p>
      <w:pPr>
        <w:pStyle w:val="ListBullet"/>
      </w:pPr>
      <w:r>
        <w:rPr>
          <w:sz w:val="22"/>
        </w:rPr>
        <w:t>Features are largely uncorrelated with each other — all nine carry independent information.</w:t>
      </w:r>
    </w:p>
    <w:p>
      <w:pPr>
        <w:pStyle w:val="ListBullet"/>
      </w:pPr>
      <w:r>
        <w:rPr>
          <w:sz w:val="22"/>
        </w:rPr>
        <w:t>Statistical significance ≠ causation. Effect sizes are small throughout.</w:t>
      </w:r>
    </w:p>
    <w:p>
      <w:pPr>
        <w:pBdr>
          <w:bottom w:val="single" w:sz="6" w:space="1" w:color="C0C0C0"/>
        </w:pBdr>
        <w:spacing w:after="160"/>
      </w:pPr>
    </w:p>
    <w:p>
      <w:pPr>
        <w:pStyle w:val="Heading1"/>
        <w:spacing w:before="280" w:after="80"/>
      </w:pPr>
      <w:r>
        <w:rPr>
          <w:color w:val="1F3864"/>
        </w:rPr>
        <w:t>12. Limitations</w:t>
      </w:r>
    </w:p>
    <w:p>
      <w:pPr>
        <w:pStyle w:val="ListBullet"/>
      </w:pPr>
      <w:r>
        <w:rPr>
          <w:sz w:val="22"/>
        </w:rPr>
        <w:t>High missing-value proportion in Sulfate (~24%) and ph (~15%) may introduce bias despite grouped imputation.</w:t>
      </w:r>
    </w:p>
    <w:p>
      <w:pPr>
        <w:pStyle w:val="ListBullet"/>
      </w:pPr>
      <w:r>
        <w:rPr>
          <w:sz w:val="22"/>
        </w:rPr>
        <w:t>Dataset source and geographic context are not documented; findings may not generalise globally.</w:t>
      </w:r>
    </w:p>
    <w:p>
      <w:pPr>
        <w:pStyle w:val="ListBullet"/>
      </w:pPr>
      <w:r>
        <w:rPr>
          <w:sz w:val="22"/>
        </w:rPr>
        <w:t>The potability label is binary — does not encode degree of (un)safety.</w:t>
      </w:r>
    </w:p>
    <w:p>
      <w:pPr>
        <w:pStyle w:val="ListBullet"/>
      </w:pPr>
      <w:r>
        <w:rPr>
          <w:sz w:val="22"/>
        </w:rPr>
        <w:t>Turbidity range in the dataset (1.45–6.74 NTU) far exceeds WHO guideline (&lt; 1 NTU), suggesting source/untreated water.</w:t>
      </w:r>
    </w:p>
    <w:p>
      <w:pPr>
        <w:pStyle w:val="ListBullet"/>
      </w:pPr>
      <w:r>
        <w:rPr>
          <w:sz w:val="22"/>
        </w:rPr>
        <w:t>All statistical differences have small effect sizes; practical significance may be limited.</w:t>
      </w:r>
    </w:p>
    <w:p>
      <w:pPr>
        <w:pStyle w:val="ListBullet"/>
      </w:pPr>
      <w:r>
        <w:rPr>
          <w:sz w:val="22"/>
        </w:rPr>
        <w:t>No temporal or spatial metadata available to study trends or regional patterns.</w:t>
      </w:r>
    </w:p>
    <w:p>
      <w:pPr>
        <w:pBdr>
          <w:bottom w:val="single" w:sz="6" w:space="1" w:color="C0C0C0"/>
        </w:pBdr>
        <w:spacing w:after="160"/>
      </w:pPr>
    </w:p>
    <w:p>
      <w:pPr>
        <w:pStyle w:val="Heading1"/>
        <w:spacing w:before="280" w:after="80"/>
      </w:pPr>
      <w:r>
        <w:rPr>
          <w:color w:val="1F3864"/>
        </w:rPr>
        <w:t>13. Conclusion</w:t>
      </w:r>
    </w:p>
    <w:p>
      <w:pPr>
        <w:spacing w:after="120"/>
      </w:pPr>
      <w:r>
        <w:rPr>
          <w:b w:val="0"/>
          <w:i w:val="0"/>
          <w:sz w:val="22"/>
        </w:rPr>
        <w:t>This project delivered a complete exploratory data analysis of 3,276 water samples across nine physicochemical quality parameters, with every analytical step documented via actual notebook cell screenshots embedded in this report. After handling missing values through stratified median imputation, the data were examined through descriptive statistics, distribution visualisations, outlier analysis, correlation analysis, and the Mann-Whitney U non-parametric significance test.</w:t>
      </w:r>
    </w:p>
    <w:p>
      <w:pPr>
        <w:spacing w:after="120"/>
      </w:pPr>
      <w:r>
        <w:rPr>
          <w:b w:val="0"/>
          <w:i w:val="0"/>
          <w:sz w:val="22"/>
        </w:rPr>
        <w:t>The analysis reveals that the nine parameters carry mostly independent information (low inter-feature correlation) and that no single parameter reliably separates potable from non-potable water when examined in isolation. Statistically significant but small-magnitude differences were identified for Chloramines, Solids, and Organic Carbon. These findings underscore the need for multivariate approaches — such as ensemble machine learning models — that leverage all features simultaneously to achieve effective potability classification.</w:t>
      </w:r>
    </w:p>
    <w:p>
      <w:pPr>
        <w:pBdr>
          <w:bottom w:val="single" w:sz="6" w:space="1" w:color="C0C0C0"/>
        </w:pBdr>
        <w:spacing w:after="160"/>
      </w:pPr>
    </w:p>
    <w:p>
      <w:pPr>
        <w:pStyle w:val="Heading1"/>
        <w:spacing w:before="280" w:after="80"/>
      </w:pPr>
      <w:r>
        <w:rPr>
          <w:color w:val="1F3864"/>
        </w:rPr>
        <w:t>14. Future Scope</w:t>
      </w:r>
    </w:p>
    <w:p>
      <w:pPr>
        <w:pStyle w:val="ListBullet"/>
      </w:pPr>
      <w:r>
        <w:rPr>
          <w:sz w:val="22"/>
        </w:rPr>
        <w:t>Apply machine learning classifiers (Random Forest, XGBoost, LightGBM) for potability prediction.</w:t>
      </w:r>
    </w:p>
    <w:p>
      <w:pPr>
        <w:pStyle w:val="ListBullet"/>
      </w:pPr>
      <w:r>
        <w:rPr>
          <w:sz w:val="22"/>
        </w:rPr>
        <w:t>Address class imbalance using SMOTE or class-weight tuning before model training.</w:t>
      </w:r>
    </w:p>
    <w:p>
      <w:pPr>
        <w:pStyle w:val="ListBullet"/>
      </w:pPr>
      <w:r>
        <w:rPr>
          <w:sz w:val="22"/>
        </w:rPr>
        <w:t>Investigate feature importance from tree-based models to rank parameters by predictive power.</w:t>
      </w:r>
    </w:p>
    <w:p>
      <w:pPr>
        <w:pStyle w:val="ListBullet"/>
      </w:pPr>
      <w:r>
        <w:rPr>
          <w:sz w:val="22"/>
        </w:rPr>
        <w:t>Collect additional features: heavy metal concentrations, bacteria counts, temperature.</w:t>
      </w:r>
    </w:p>
    <w:p>
      <w:pPr>
        <w:pStyle w:val="ListBullet"/>
      </w:pPr>
      <w:r>
        <w:rPr>
          <w:sz w:val="22"/>
        </w:rPr>
        <w:t>Deploy a real-time water quality monitoring dashboard using a streaming data pipeline.</w:t>
      </w:r>
    </w:p>
    <w:p>
      <w:pPr>
        <w:pStyle w:val="ListBullet"/>
      </w:pPr>
      <w:r>
        <w:rPr>
          <w:sz w:val="22"/>
        </w:rPr>
        <w:t>Compare results across geographically labelled sub-datasets to identify regional patterns.</w:t>
      </w:r>
    </w:p>
    <w:p>
      <w:pPr>
        <w:pBdr>
          <w:bottom w:val="single" w:sz="6" w:space="1" w:color="C0C0C0"/>
        </w:pBdr>
        <w:spacing w:after="160"/>
      </w:pPr>
    </w:p>
    <w:p>
      <w:pPr>
        <w:pStyle w:val="Heading1"/>
        <w:spacing w:before="280" w:after="80"/>
      </w:pPr>
      <w:r>
        <w:rPr>
          <w:color w:val="1F3864"/>
        </w:rPr>
        <w:t>15. References</w:t>
      </w:r>
    </w:p>
    <w:p>
      <w:pPr>
        <w:spacing w:after="80"/>
      </w:pPr>
      <w:r>
        <w:rPr>
          <w:sz w:val="20"/>
        </w:rPr>
        <w:t>[1]  World Health Organisation (2022). Guidelines for Drinking-water Quality, 4th ed. WHO Press.</w:t>
      </w:r>
    </w:p>
    <w:p>
      <w:pPr>
        <w:spacing w:after="80"/>
      </w:pPr>
      <w:r>
        <w:rPr>
          <w:sz w:val="20"/>
        </w:rPr>
        <w:t>[2]  USEPA (2012). Water Quality Standards Handbook. U.S. Environmental Protection Agency.</w:t>
      </w:r>
    </w:p>
    <w:p>
      <w:pPr>
        <w:spacing w:after="80"/>
      </w:pPr>
      <w:r>
        <w:rPr>
          <w:sz w:val="20"/>
        </w:rPr>
        <w:t>[3]  Kaggle: Water Potability Dataset — https://www.kaggle.com/datasets/adityakadiwal/water-potability</w:t>
      </w:r>
    </w:p>
    <w:p>
      <w:pPr>
        <w:spacing w:after="80"/>
      </w:pPr>
      <w:r>
        <w:rPr>
          <w:sz w:val="20"/>
        </w:rPr>
        <w:t>[4]  McKinney, W. (2010). Data Structures for Statistical Computing in Python. Proc. SciPy 2010.</w:t>
      </w:r>
    </w:p>
    <w:p>
      <w:pPr>
        <w:spacing w:after="80"/>
      </w:pPr>
      <w:r>
        <w:rPr>
          <w:sz w:val="20"/>
        </w:rPr>
        <w:t>[5]  Hunter, J.D. (2007). Matplotlib: A 2D Graphics Environment. Computing in Science &amp; Engineering.</w:t>
      </w:r>
    </w:p>
    <w:p>
      <w:pPr>
        <w:spacing w:after="80"/>
      </w:pPr>
      <w:r>
        <w:rPr>
          <w:sz w:val="20"/>
        </w:rPr>
        <w:t>[6]  Waskom, M. (2021). Seaborn: Statistical Data Visualization. JOSS, 6(60), 3021.</w:t>
      </w:r>
    </w:p>
    <w:p>
      <w:pPr>
        <w:spacing w:after="80"/>
      </w:pPr>
      <w:r>
        <w:rPr>
          <w:sz w:val="20"/>
        </w:rPr>
        <w:t>[7]  Virtanen, P. et al. (2020). SciPy 1.0: Fundamental Algorithms for Scientific Computing. Nature Methods.</w:t>
      </w:r>
    </w:p>
    <w:p>
      <w:pPr>
        <w:spacing w:after="80"/>
      </w:pPr>
      <w:r>
        <w:rPr>
          <w:sz w:val="20"/>
        </w:rPr>
        <w:t>[8]  Mann, H.B., Whitney, D.R. (1947). On a Test of Whether One of Two Random Variables is Stochastically Larger. Ann. Math. Stat.</w:t>
      </w:r>
    </w:p>
    <w:p>
      <w:r>
        <w:br w:type="page"/>
      </w:r>
    </w:p>
    <w:p>
      <w:pPr>
        <w:jc w:val="center"/>
      </w:pPr>
      <w:r>
        <w:rPr>
          <w:i/>
          <w:color w:val="57606A"/>
          <w:sz w:val="20"/>
        </w:rPr>
        <w:t>Water Quality Analysis &amp; Potability Assessment  ·  Rohan Parida  ·  Python Data Analytics Project</w:t>
      </w:r>
    </w:p>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