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60" w:before="0" w:line="264" w:lineRule="auto"/>
      </w:pPr>
      <w:r>
        <w:rPr>
          <w:rFonts w:ascii="Calibri" w:cs="Calibri" w:eastAsia="Calibri" w:hAnsi="Calibri"/>
          <w:b/>
          <w:bCs/>
          <w:i w:val="false"/>
          <w:iCs w:val="false"/>
          <w:color w:val="1F3864"/>
          <w:sz w:val="64"/>
          <w:szCs w:val="64"/>
        </w:rPr>
        <w:t xml:space="preserve">Buy Local Bonds</w:t>
      </w:r>
    </w:p>
    <w:p>
      <w:pPr>
        <w:spacing w:after="160" w:before="0" w:line="264" w:lineRule="auto"/>
      </w:pPr>
      <w:r>
        <w:rPr>
          <w:rFonts w:ascii="Calibri" w:cs="Calibri" w:eastAsia="Calibri" w:hAnsi="Calibri"/>
          <w:b/>
          <w:bCs/>
          <w:i w:val="false"/>
          <w:iCs w:val="false"/>
          <w:color w:val="0E7C7B"/>
          <w:sz w:val="36"/>
          <w:szCs w:val="36"/>
        </w:rPr>
        <w:t xml:space="preserve">From Release 1 Backlog to a Defended Architecture</w:t>
      </w:r>
    </w:p>
    <w:p>
      <w:pPr>
        <w:pBdr>
          <w:bottom w:val="single" w:color="0E7C7B" w:sz="8" w:space="6"/>
        </w:pBdr>
        <w:spacing w:after="240" w:before="0" w:line="264" w:lineRule="auto"/>
      </w:pPr>
      <w:r>
        <w:rPr>
          <w:rFonts w:ascii="Calibri" w:cs="Calibri" w:eastAsia="Calibri" w:hAnsi="Calibri"/>
          <w:b w:val="false"/>
          <w:bCs w:val="false"/>
          <w:i/>
          <w:iCs/>
          <w:color w:val="404040"/>
          <w:sz w:val="24"/>
          <w:szCs w:val="24"/>
        </w:rPr>
        <w:t xml:space="preserve">Utility tree and quality attribute scenarios, context diagram, microservices, cloud architecture, decisions, analysis, hardening and review — learner assessment</w:t>
      </w:r>
    </w:p>
    <w:p>
      <w:pPr>
        <w:spacing w:after="240"/>
      </w:pPr>
    </w:p>
    <w:p>
      <w:pPr>
        <w:spacing w:after="120" w:before="0" w:line="264" w:lineRule="auto"/>
      </w:pPr>
      <w:r>
        <w:rPr>
          <w:rFonts w:ascii="Calibri" w:cs="Calibri" w:eastAsia="Calibri" w:hAnsi="Calibri"/>
          <w:b/>
          <w:bCs/>
          <w:i w:val="false"/>
          <w:iCs w:val="false"/>
          <w:color w:val="262626"/>
          <w:sz w:val="21"/>
          <w:szCs w:val="21"/>
        </w:rPr>
        <w:t xml:space="preserve">Course context: </w:t>
      </w:r>
      <w:r>
        <w:rPr>
          <w:rFonts w:ascii="Calibri" w:cs="Calibri" w:eastAsia="Calibri" w:hAnsi="Calibri"/>
          <w:b w:val="false"/>
          <w:bCs w:val="false"/>
          <w:i w:val="false"/>
          <w:iCs w:val="false"/>
          <w:color w:val="262626"/>
          <w:sz w:val="21"/>
          <w:szCs w:val="21"/>
        </w:rPr>
        <w:t xml:space="preserve">Technical Architecture Design &amp; Solutioning — From Requirements to a Candidate Solution; Quality Attributes &amp; Scenarios; Utility Tree; Context &amp; Solution Views; Microservice Decomposition; Cloud Compute &amp; Storage; Architecture Decision Records; Architecture Review (ATAM); Solution Hardening.</w:t>
      </w:r>
    </w:p>
    <w:p>
      <w:pPr>
        <w:spacing w:after="120" w:before="0" w:line="264" w:lineRule="auto"/>
      </w:pPr>
      <w:r>
        <w:rPr>
          <w:rFonts w:ascii="Calibri" w:cs="Calibri" w:eastAsia="Calibri" w:hAnsi="Calibri"/>
          <w:b/>
          <w:bCs/>
          <w:i w:val="false"/>
          <w:iCs w:val="false"/>
          <w:color w:val="262626"/>
          <w:sz w:val="21"/>
          <w:szCs w:val="21"/>
        </w:rPr>
        <w:t xml:space="preserve">Case: </w:t>
      </w:r>
      <w:r>
        <w:rPr>
          <w:rFonts w:ascii="Calibri" w:cs="Calibri" w:eastAsia="Calibri" w:hAnsi="Calibri"/>
          <w:b w:val="false"/>
          <w:bCs w:val="false"/>
          <w:i w:val="false"/>
          <w:iCs w:val="false"/>
          <w:color w:val="262626"/>
          <w:sz w:val="21"/>
          <w:szCs w:val="21"/>
        </w:rPr>
        <w:t xml:space="preserve">Meridian Financial / Buy Local Bonds (fictional; figures illustrative).</w:t>
      </w:r>
    </w:p>
    <w:p>
      <w:pPr>
        <w:spacing w:after="120" w:before="0" w:line="264" w:lineRule="auto"/>
      </w:pPr>
      <w:r>
        <w:rPr>
          <w:rFonts w:ascii="Calibri" w:cs="Calibri" w:eastAsia="Calibri" w:hAnsi="Calibri"/>
          <w:b/>
          <w:bCs/>
          <w:i w:val="false"/>
          <w:iCs w:val="false"/>
          <w:color w:val="262626"/>
          <w:sz w:val="21"/>
          <w:szCs w:val="21"/>
        </w:rPr>
        <w:t xml:space="preserve">Contents: </w:t>
      </w:r>
      <w:r>
        <w:rPr>
          <w:rFonts w:ascii="Calibri" w:cs="Calibri" w:eastAsia="Calibri" w:hAnsi="Calibri"/>
          <w:b w:val="false"/>
          <w:bCs w:val="false"/>
          <w:i w:val="false"/>
          <w:iCs w:val="false"/>
          <w:color w:val="262626"/>
          <w:sz w:val="21"/>
          <w:szCs w:val="21"/>
        </w:rPr>
        <w:t xml:space="preserve">Nine assessed steps, each with instructions, a template and the expected output.</w:t>
      </w:r>
    </w:p>
    <w:p>
      <w:pPr>
        <w:spacing w:after="280" w:before="0" w:line="264" w:lineRule="auto"/>
      </w:pPr>
      <w:r>
        <w:rPr>
          <w:rFonts w:ascii="Calibri" w:cs="Calibri" w:eastAsia="Calibri" w:hAnsi="Calibri"/>
          <w:b/>
          <w:bCs/>
          <w:i w:val="false"/>
          <w:iCs w:val="false"/>
          <w:color w:val="262626"/>
          <w:sz w:val="21"/>
          <w:szCs w:val="21"/>
        </w:rPr>
        <w:t xml:space="preserve">Prerequisite: </w:t>
      </w:r>
      <w:r>
        <w:rPr>
          <w:rFonts w:ascii="Calibri" w:cs="Calibri" w:eastAsia="Calibri" w:hAnsi="Calibri"/>
          <w:b w:val="false"/>
          <w:bCs w:val="false"/>
          <w:i w:val="false"/>
          <w:iCs w:val="false"/>
          <w:color w:val="262626"/>
          <w:sz w:val="21"/>
          <w:szCs w:val="21"/>
        </w:rPr>
        <w:t xml:space="preserve">Your team's Checkpoint 1 workbook — the baselined Release 1 backlog, the A-B-C-D-NF Register and the traceability matrix. Every step in this exercise builds on your own backlog; bring it.</w:t>
      </w:r>
    </w:p>
    <w:p>
      <w:pPr>
        <w:spacing w:after="120" w:before="120" w:line="264" w:lineRule="auto"/>
      </w:pPr>
      <w:r>
        <w:rPr>
          <w:rFonts w:ascii="Calibri" w:cs="Calibri" w:eastAsia="Calibri" w:hAnsi="Calibri"/>
          <w:b/>
          <w:bCs/>
          <w:i w:val="false"/>
          <w:iCs w:val="false"/>
          <w:color w:val="1F3864"/>
          <w:sz w:val="26"/>
          <w:szCs w:val="26"/>
        </w:rPr>
        <w:t xml:space="preserve">Table of contents</w:t>
      </w:r>
    </w:p>
    <w:p>
      <w:pPr>
        <w:tabs>
          <w:tab w:val="right" w:pos="9746" w:leader="dot"/>
        </w:tabs>
        <w:spacing w:after="40" w:line="252" w:lineRule="auto"/>
        <w:ind w:left="0"/>
      </w:pPr>
      <w:r>
        <w:rPr>
          <w:rFonts w:ascii="Calibri" w:cs="Calibri" w:eastAsia="Calibri" w:hAnsi="Calibri"/>
          <w:b w:val="false"/>
          <w:bCs w:val="false"/>
          <w:i w:val="false"/>
          <w:iCs w:val="false"/>
          <w:color w:val="262626"/>
          <w:sz w:val="20"/>
          <w:szCs w:val="20"/>
        </w:rPr>
        <w:t xml:space="preserve">Learner Assessment Handout</w:t>
      </w:r>
      <w:r>
        <w:rPr>
          <w:rFonts w:ascii="Calibri" w:cs="Calibri" w:eastAsia="Calibri" w:hAnsi="Calibri"/>
          <w:color w:val="262626"/>
          <w:sz w:val="20"/>
          <w:szCs w:val="20"/>
        </w:rPr>
        <w:tab/>
        <w:t xml:space="preserve">2</w:t>
      </w:r>
    </w:p>
    <w:p>
      <w:pPr>
        <w:tabs>
          <w:tab w:val="right" w:pos="9746" w:leader="dot"/>
        </w:tabs>
        <w:spacing w:after="40" w:line="252" w:lineRule="auto"/>
        <w:ind w:left="300"/>
      </w:pPr>
      <w:r>
        <w:rPr>
          <w:rFonts w:ascii="Calibri" w:cs="Calibri" w:eastAsia="Calibri" w:hAnsi="Calibri"/>
          <w:b w:val="false"/>
          <w:bCs w:val="false"/>
          <w:i w:val="false"/>
          <w:iCs w:val="false"/>
          <w:color w:val="262626"/>
          <w:sz w:val="20"/>
          <w:szCs w:val="20"/>
        </w:rPr>
        <w:t xml:space="preserve">Learning objectives</w:t>
      </w:r>
      <w:r>
        <w:rPr>
          <w:rFonts w:ascii="Calibri" w:cs="Calibri" w:eastAsia="Calibri" w:hAnsi="Calibri"/>
          <w:color w:val="262626"/>
          <w:sz w:val="20"/>
          <w:szCs w:val="20"/>
        </w:rPr>
        <w:tab/>
        <w:t xml:space="preserve">2</w:t>
      </w:r>
    </w:p>
    <w:p>
      <w:pPr>
        <w:tabs>
          <w:tab w:val="right" w:pos="9746" w:leader="dot"/>
        </w:tabs>
        <w:spacing w:after="40" w:line="252" w:lineRule="auto"/>
        <w:ind w:left="300"/>
      </w:pPr>
      <w:r>
        <w:rPr>
          <w:rFonts w:ascii="Calibri" w:cs="Calibri" w:eastAsia="Calibri" w:hAnsi="Calibri"/>
          <w:b w:val="false"/>
          <w:bCs w:val="false"/>
          <w:i w:val="false"/>
          <w:iCs w:val="false"/>
          <w:color w:val="262626"/>
          <w:sz w:val="20"/>
          <w:szCs w:val="20"/>
        </w:rPr>
        <w:t xml:space="preserve">Logistics</w:t>
      </w:r>
      <w:r>
        <w:rPr>
          <w:rFonts w:ascii="Calibri" w:cs="Calibri" w:eastAsia="Calibri" w:hAnsi="Calibri"/>
          <w:color w:val="262626"/>
          <w:sz w:val="20"/>
          <w:szCs w:val="20"/>
        </w:rPr>
        <w:tab/>
        <w:t xml:space="preserve">2</w:t>
      </w:r>
    </w:p>
    <w:p>
      <w:pPr>
        <w:tabs>
          <w:tab w:val="right" w:pos="9746" w:leader="dot"/>
        </w:tabs>
        <w:spacing w:after="40" w:line="252" w:lineRule="auto"/>
        <w:ind w:left="300"/>
      </w:pPr>
      <w:r>
        <w:rPr>
          <w:rFonts w:ascii="Calibri" w:cs="Calibri" w:eastAsia="Calibri" w:hAnsi="Calibri"/>
          <w:b w:val="false"/>
          <w:bCs w:val="false"/>
          <w:i w:val="false"/>
          <w:iCs w:val="false"/>
          <w:color w:val="262626"/>
          <w:sz w:val="20"/>
          <w:szCs w:val="20"/>
        </w:rPr>
        <w:t xml:space="preserve">Overview of the nine steps</w:t>
      </w:r>
      <w:r>
        <w:rPr>
          <w:rFonts w:ascii="Calibri" w:cs="Calibri" w:eastAsia="Calibri" w:hAnsi="Calibri"/>
          <w:color w:val="262626"/>
          <w:sz w:val="20"/>
          <w:szCs w:val="20"/>
        </w:rPr>
        <w:tab/>
        <w:t xml:space="preserve">3</w:t>
      </w:r>
    </w:p>
    <w:p>
      <w:pPr>
        <w:tabs>
          <w:tab w:val="right" w:pos="9746" w:leader="dot"/>
        </w:tabs>
        <w:spacing w:after="40" w:line="252" w:lineRule="auto"/>
        <w:ind w:left="300"/>
      </w:pPr>
      <w:r>
        <w:rPr>
          <w:rFonts w:ascii="Calibri" w:cs="Calibri" w:eastAsia="Calibri" w:hAnsi="Calibri"/>
          <w:b w:val="false"/>
          <w:bCs w:val="false"/>
          <w:i w:val="false"/>
          <w:iCs w:val="false"/>
          <w:color w:val="262626"/>
          <w:sz w:val="20"/>
          <w:szCs w:val="20"/>
        </w:rPr>
        <w:t xml:space="preserve">Step 1 — Harvest architectural drivers from your backlog (10 min)</w:t>
      </w:r>
      <w:r>
        <w:rPr>
          <w:rFonts w:ascii="Calibri" w:cs="Calibri" w:eastAsia="Calibri" w:hAnsi="Calibri"/>
          <w:color w:val="262626"/>
          <w:sz w:val="20"/>
          <w:szCs w:val="20"/>
        </w:rPr>
        <w:tab/>
        <w:t xml:space="preserve">4</w:t>
      </w:r>
    </w:p>
    <w:p>
      <w:pPr>
        <w:tabs>
          <w:tab w:val="right" w:pos="9746" w:leader="dot"/>
        </w:tabs>
        <w:spacing w:after="40" w:line="252" w:lineRule="auto"/>
        <w:ind w:left="300"/>
      </w:pPr>
      <w:r>
        <w:rPr>
          <w:rFonts w:ascii="Calibri" w:cs="Calibri" w:eastAsia="Calibri" w:hAnsi="Calibri"/>
          <w:b w:val="false"/>
          <w:bCs w:val="false"/>
          <w:i w:val="false"/>
          <w:iCs w:val="false"/>
          <w:color w:val="262626"/>
          <w:sz w:val="20"/>
          <w:szCs w:val="20"/>
        </w:rPr>
        <w:t xml:space="preserve">Step 2 — Build the utility tree and write quality attribute scenarios (35 min)</w:t>
      </w:r>
      <w:r>
        <w:rPr>
          <w:rFonts w:ascii="Calibri" w:cs="Calibri" w:eastAsia="Calibri" w:hAnsi="Calibri"/>
          <w:color w:val="262626"/>
          <w:sz w:val="20"/>
          <w:szCs w:val="20"/>
        </w:rPr>
        <w:tab/>
        <w:t xml:space="preserve">5</w:t>
      </w:r>
    </w:p>
    <w:p>
      <w:pPr>
        <w:tabs>
          <w:tab w:val="right" w:pos="9746" w:leader="dot"/>
        </w:tabs>
        <w:spacing w:after="40" w:line="252" w:lineRule="auto"/>
        <w:ind w:left="300"/>
      </w:pPr>
      <w:r>
        <w:rPr>
          <w:rFonts w:ascii="Calibri" w:cs="Calibri" w:eastAsia="Calibri" w:hAnsi="Calibri"/>
          <w:b w:val="false"/>
          <w:bCs w:val="false"/>
          <w:i w:val="false"/>
          <w:iCs w:val="false"/>
          <w:color w:val="262626"/>
          <w:sz w:val="20"/>
          <w:szCs w:val="20"/>
        </w:rPr>
        <w:t xml:space="preserve">Step 3 — Draw the context diagram (15 min)</w:t>
      </w:r>
      <w:r>
        <w:rPr>
          <w:rFonts w:ascii="Calibri" w:cs="Calibri" w:eastAsia="Calibri" w:hAnsi="Calibri"/>
          <w:color w:val="262626"/>
          <w:sz w:val="20"/>
          <w:szCs w:val="20"/>
        </w:rPr>
        <w:tab/>
        <w:t xml:space="preserve">7</w:t>
      </w:r>
    </w:p>
    <w:p>
      <w:pPr>
        <w:tabs>
          <w:tab w:val="right" w:pos="9746" w:leader="dot"/>
        </w:tabs>
        <w:spacing w:after="40" w:line="252" w:lineRule="auto"/>
        <w:ind w:left="300"/>
      </w:pPr>
      <w:r>
        <w:rPr>
          <w:rFonts w:ascii="Calibri" w:cs="Calibri" w:eastAsia="Calibri" w:hAnsi="Calibri"/>
          <w:b w:val="false"/>
          <w:bCs w:val="false"/>
          <w:i w:val="false"/>
          <w:iCs w:val="false"/>
          <w:color w:val="262626"/>
          <w:sz w:val="20"/>
          <w:szCs w:val="20"/>
        </w:rPr>
        <w:t xml:space="preserve">Step 4 — Decompose into microservices (25 min)</w:t>
      </w:r>
      <w:r>
        <w:rPr>
          <w:rFonts w:ascii="Calibri" w:cs="Calibri" w:eastAsia="Calibri" w:hAnsi="Calibri"/>
          <w:color w:val="262626"/>
          <w:sz w:val="20"/>
          <w:szCs w:val="20"/>
        </w:rPr>
        <w:tab/>
        <w:t xml:space="preserve">8</w:t>
      </w:r>
    </w:p>
    <w:p>
      <w:pPr>
        <w:tabs>
          <w:tab w:val="right" w:pos="9746" w:leader="dot"/>
        </w:tabs>
        <w:spacing w:after="40" w:line="252" w:lineRule="auto"/>
        <w:ind w:left="300"/>
      </w:pPr>
      <w:r>
        <w:rPr>
          <w:rFonts w:ascii="Calibri" w:cs="Calibri" w:eastAsia="Calibri" w:hAnsi="Calibri"/>
          <w:b w:val="false"/>
          <w:bCs w:val="false"/>
          <w:i w:val="false"/>
          <w:iCs w:val="false"/>
          <w:color w:val="262626"/>
          <w:sz w:val="20"/>
          <w:szCs w:val="20"/>
        </w:rPr>
        <w:t xml:space="preserve">Step 5 — Map the cloud architecture: compute and storage per service (20 min)</w:t>
      </w:r>
      <w:r>
        <w:rPr>
          <w:rFonts w:ascii="Calibri" w:cs="Calibri" w:eastAsia="Calibri" w:hAnsi="Calibri"/>
          <w:color w:val="262626"/>
          <w:sz w:val="20"/>
          <w:szCs w:val="20"/>
        </w:rPr>
        <w:tab/>
        <w:t xml:space="preserve">9</w:t>
      </w:r>
    </w:p>
    <w:p>
      <w:pPr>
        <w:tabs>
          <w:tab w:val="right" w:pos="9746" w:leader="dot"/>
        </w:tabs>
        <w:spacing w:after="40" w:line="252" w:lineRule="auto"/>
        <w:ind w:left="300"/>
      </w:pPr>
      <w:r>
        <w:rPr>
          <w:rFonts w:ascii="Calibri" w:cs="Calibri" w:eastAsia="Calibri" w:hAnsi="Calibri"/>
          <w:b w:val="false"/>
          <w:bCs w:val="false"/>
          <w:i w:val="false"/>
          <w:iCs w:val="false"/>
          <w:color w:val="262626"/>
          <w:sz w:val="20"/>
          <w:szCs w:val="20"/>
        </w:rPr>
        <w:t xml:space="preserve">Step 6 — Record the decisions as ADRs (15 min)</w:t>
      </w:r>
      <w:r>
        <w:rPr>
          <w:rFonts w:ascii="Calibri" w:cs="Calibri" w:eastAsia="Calibri" w:hAnsi="Calibri"/>
          <w:color w:val="262626"/>
          <w:sz w:val="20"/>
          <w:szCs w:val="20"/>
        </w:rPr>
        <w:tab/>
        <w:t xml:space="preserve">10</w:t>
      </w:r>
    </w:p>
    <w:p>
      <w:pPr>
        <w:tabs>
          <w:tab w:val="right" w:pos="9746" w:leader="dot"/>
        </w:tabs>
        <w:spacing w:after="40" w:line="252" w:lineRule="auto"/>
        <w:ind w:left="300"/>
      </w:pPr>
      <w:r>
        <w:rPr>
          <w:rFonts w:ascii="Calibri" w:cs="Calibri" w:eastAsia="Calibri" w:hAnsi="Calibri"/>
          <w:b w:val="false"/>
          <w:bCs w:val="false"/>
          <w:i w:val="false"/>
          <w:iCs w:val="false"/>
          <w:color w:val="262626"/>
          <w:sz w:val="20"/>
          <w:szCs w:val="20"/>
        </w:rPr>
        <w:t xml:space="preserve">Step 7 — Analyse the design: sensitivity, trade-offs, risks, non-risks (15 min)</w:t>
      </w:r>
      <w:r>
        <w:rPr>
          <w:rFonts w:ascii="Calibri" w:cs="Calibri" w:eastAsia="Calibri" w:hAnsi="Calibri"/>
          <w:color w:val="262626"/>
          <w:sz w:val="20"/>
          <w:szCs w:val="20"/>
        </w:rPr>
        <w:tab/>
        <w:t xml:space="preserve">11</w:t>
      </w:r>
    </w:p>
    <w:p>
      <w:pPr>
        <w:tabs>
          <w:tab w:val="right" w:pos="9746" w:leader="dot"/>
        </w:tabs>
        <w:spacing w:after="40" w:line="252" w:lineRule="auto"/>
        <w:ind w:left="300"/>
      </w:pPr>
      <w:r>
        <w:rPr>
          <w:rFonts w:ascii="Calibri" w:cs="Calibri" w:eastAsia="Calibri" w:hAnsi="Calibri"/>
          <w:b w:val="false"/>
          <w:bCs w:val="false"/>
          <w:i w:val="false"/>
          <w:iCs w:val="false"/>
          <w:color w:val="262626"/>
          <w:sz w:val="20"/>
          <w:szCs w:val="20"/>
        </w:rPr>
        <w:t xml:space="preserve">Step 8 — Harden the solution (15 min)</w:t>
      </w:r>
      <w:r>
        <w:rPr>
          <w:rFonts w:ascii="Calibri" w:cs="Calibri" w:eastAsia="Calibri" w:hAnsi="Calibri"/>
          <w:color w:val="262626"/>
          <w:sz w:val="20"/>
          <w:szCs w:val="20"/>
        </w:rPr>
        <w:tab/>
        <w:t xml:space="preserve">12</w:t>
      </w:r>
    </w:p>
    <w:p>
      <w:pPr>
        <w:tabs>
          <w:tab w:val="right" w:pos="9746" w:leader="dot"/>
        </w:tabs>
        <w:spacing w:after="40" w:line="252" w:lineRule="auto"/>
        <w:ind w:left="300"/>
      </w:pPr>
      <w:r>
        <w:rPr>
          <w:rFonts w:ascii="Calibri" w:cs="Calibri" w:eastAsia="Calibri" w:hAnsi="Calibri"/>
          <w:b w:val="false"/>
          <w:bCs w:val="false"/>
          <w:i w:val="false"/>
          <w:iCs w:val="false"/>
          <w:color w:val="262626"/>
          <w:sz w:val="20"/>
          <w:szCs w:val="20"/>
        </w:rPr>
        <w:t xml:space="preserve">Step 9 — Architecture review clinic (30 min)</w:t>
      </w:r>
      <w:r>
        <w:rPr>
          <w:rFonts w:ascii="Calibri" w:cs="Calibri" w:eastAsia="Calibri" w:hAnsi="Calibri"/>
          <w:color w:val="262626"/>
          <w:sz w:val="20"/>
          <w:szCs w:val="20"/>
        </w:rPr>
        <w:tab/>
        <w:t xml:space="preserve">13</w:t>
      </w:r>
    </w:p>
    <w:p>
      <w:pPr>
        <w:pageBreakBefore/>
        <w:spacing w:after="0" w:before="0" w:line="264" w:lineRule="auto"/>
      </w:pPr>
      <w:r>
        <w:rPr>
          <w:rFonts w:ascii="Calibri" w:cs="Calibri" w:eastAsia="Calibri" w:hAnsi="Calibri"/>
          <w:b w:val="false"/>
          <w:bCs w:val="false"/>
          <w:i w:val="false"/>
          <w:iCs w:val="false"/>
          <w:color w:val="262626"/>
          <w:sz w:val="21"/>
          <w:szCs w:val="21"/>
        </w:rPr>
        <w:t xml:space="preserve"/>
      </w:r>
    </w:p>
    <w:p>
      <w:pPr>
        <w:spacing w:after="160" w:before="60" w:line="264" w:lineRule="auto"/>
      </w:pPr>
      <w:r>
        <w:rPr>
          <w:rFonts w:ascii="Calibri" w:cs="Calibri" w:eastAsia="Calibri" w:hAnsi="Calibri"/>
          <w:b/>
          <w:bCs/>
          <w:i w:val="false"/>
          <w:iCs w:val="false"/>
          <w:color w:val="1F3864"/>
          <w:sz w:val="32"/>
          <w:szCs w:val="32"/>
        </w:rPr>
        <w:t xml:space="preserve">Learner Assessment Handout</w:t>
      </w:r>
    </w:p>
    <w:p>
      <w:pPr>
        <w:spacing w:after="120" w:before="0" w:line="264" w:lineRule="auto"/>
      </w:pPr>
      <w:r>
        <w:rPr>
          <w:rFonts w:ascii="Calibri" w:cs="Calibri" w:eastAsia="Calibri" w:hAnsi="Calibri"/>
          <w:b/>
          <w:bCs/>
          <w:i w:val="false"/>
          <w:iCs w:val="false"/>
          <w:color w:val="262626"/>
          <w:sz w:val="21"/>
          <w:szCs w:val="21"/>
        </w:rPr>
        <w:t xml:space="preserve">Exercise: From Release 1 Backlog to a Defended Architecture — Buy Local Bonds (BLB)</w:t>
      </w:r>
    </w:p>
    <w:p>
      <w:pPr>
        <w:spacing w:after="120" w:before="0" w:line="264" w:lineRule="auto"/>
      </w:pPr>
      <w:r>
        <w:rPr>
          <w:rFonts w:ascii="Calibri" w:cs="Calibri" w:eastAsia="Calibri" w:hAnsi="Calibri"/>
          <w:b w:val="false"/>
          <w:bCs w:val="false"/>
          <w:i w:val="false"/>
          <w:iCs w:val="false"/>
          <w:color w:val="262626"/>
          <w:sz w:val="21"/>
          <w:szCs w:val="21"/>
        </w:rPr>
        <w:t xml:space="preserve">You are now the solution architecture team for Buy Local Bonds. In Checkpoint 1 you turned the case brief into a baselined, prioritised Release 1 backlog — that backlog is now agreed. Before anything gets built, Meridian's Global Technology Board wants to see a candidate architecture, and the Sarbanes-Oxley compliance committee wants evidence that regulatory obligations are designed in, not bolted on. Nine steps take you from an agreed backlog to a candidate solution — boundary drawn, services cut, cloud mapped — that you have analysed, hardened and defended in front of another team; each step has a deliverable that is assessed.</w:t>
      </w:r>
    </w:p>
    <w:p>
      <w:pPr>
        <w:spacing w:after="100" w:before="120" w:line="264" w:lineRule="auto"/>
      </w:pPr>
      <w:r>
        <w:rPr>
          <w:rFonts w:ascii="Calibri" w:cs="Calibri" w:eastAsia="Calibri" w:hAnsi="Calibri"/>
          <w:b/>
          <w:bCs/>
          <w:i w:val="false"/>
          <w:iCs w:val="false"/>
          <w:color w:val="0E7C7B"/>
          <w:sz w:val="26"/>
          <w:szCs w:val="26"/>
        </w:rPr>
        <w:t xml:space="preserve">Learning objectives</w:t>
      </w:r>
    </w:p>
    <w:p>
      <w:pPr>
        <w:spacing w:after="120" w:before="0" w:line="264" w:lineRule="auto"/>
      </w:pPr>
      <w:r>
        <w:rPr>
          <w:rFonts w:ascii="Calibri" w:cs="Calibri" w:eastAsia="Calibri" w:hAnsi="Calibri"/>
          <w:b w:val="false"/>
          <w:bCs w:val="false"/>
          <w:i w:val="false"/>
          <w:iCs w:val="false"/>
          <w:color w:val="262626"/>
          <w:sz w:val="21"/>
          <w:szCs w:val="21"/>
        </w:rPr>
        <w:t xml:space="preserve">By the end of this exercise you will be able to:</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Derive architectural drivers — key functional requirements, business drivers, constraints and quality concerns — from an agreed Release 1 backlog.</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Build a utility tree that maps business drivers to architectural properties, and write six-part quality attribute scenarios that make the driving concerns measurable.</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Draw a context diagram that fixes the system boundary — every user and external system, every flow labelled — before any technology is chosen.</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Decompose a system into microservices with a single responsibility, owned data, and a justified interaction style (event-driven or request/response) per service.</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Map every service to cloud compute (VM, containers, serverless) and the right kind of database or storage, with cost and effort treated as first-class constraints.</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Record consequential choices as architecture decision records, and analyse a design for sensitivity points, trade-off points, risks and non-risks.</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Harden a design against failure modes with a known blast radius, then present and defend it in an ATAM-style review, recording unresolved risks and specialist hand-offs honestly.</w:t>
      </w:r>
    </w:p>
    <w:p>
      <w:pPr>
        <w:spacing w:after="120" w:before="160" w:line="264" w:lineRule="auto"/>
      </w:pPr>
      <w:r>
        <w:rPr>
          <w:rFonts w:ascii="Calibri" w:cs="Calibri" w:eastAsia="Calibri" w:hAnsi="Calibri"/>
          <w:b/>
          <w:bCs/>
          <w:i w:val="false"/>
          <w:iCs w:val="false"/>
          <w:color w:val="0E7C7B"/>
          <w:sz w:val="26"/>
          <w:szCs w:val="26"/>
        </w:rPr>
        <w:t xml:space="preserve">Logistics</w:t>
      </w:r>
    </w:p>
    <w:tbl>
      <w:tblPr>
        <w:tblW w:type="dxa" w:w="9746"/>
        <w:tblBorders>
          <w:top w:val="single" w:color="666666" w:sz="4"/>
          <w:left w:val="single" w:color="666666" w:sz="4"/>
          <w:bottom w:val="single" w:color="666666" w:sz="4"/>
          <w:right w:val="single" w:color="666666" w:sz="4"/>
          <w:insideH w:val="single" w:color="666666" w:sz="4"/>
          <w:insideV w:val="single" w:color="666666" w:sz="4"/>
        </w:tblBorders>
      </w:tblPr>
      <w:tblGrid>
        <w:gridCol w:w="1800"/>
        <w:gridCol w:w="7946"/>
      </w:tblGrid>
      <w:tr>
        <w:trPr>
          <w:tblHeader/>
        </w:trPr>
        <w:tc>
          <w:tcPr>
            <w:tcW w:type="dxa" w:w="18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Item</w:t>
            </w:r>
          </w:p>
        </w:tc>
        <w:tc>
          <w:tcPr>
            <w:tcW w:type="dxa" w:w="7946"/>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Detail</w:t>
            </w:r>
          </w:p>
        </w:tc>
      </w:tr>
      <w:tr>
        <w:tc>
          <w:tcPr>
            <w:tcW w:type="dxa" w:w="18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Team format</w:t>
            </w:r>
          </w:p>
        </w:tc>
        <w:tc>
          <w:tcPr>
            <w:tcW w:type="dxa" w:w="7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Same teams of 4–5 as Checkpoint 1. One person acts as Lead Architect (owns design calls and answers first in the review); rotate the role at Step 6. In Step 9 every team also serves as the review panel for another team.</w:t>
            </w:r>
          </w:p>
        </w:tc>
      </w:tr>
      <w:tr>
        <w:tc>
          <w:tcPr>
            <w:tcW w:type="dxa" w:w="18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Inputs</w:t>
            </w:r>
          </w:p>
        </w:tc>
        <w:tc>
          <w:tcPr>
            <w:tcW w:type="dxa" w:w="7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Your team's Checkpoint 1 workbook (baselined Release 1 backlog, A-B-C-D-NF Register, traceability matrix); the Buy Local Bonds case brief; course chapters: Quality Attributes &amp; Scenarios, Utility Tree, Context &amp; Solution Views, Microservice Decomposition, Cloud Compute &amp; Storage, Architecture Decision Records, Architecture Review (ATAM), Solution Hardening.</w:t>
            </w:r>
          </w:p>
        </w:tc>
      </w:tr>
      <w:tr>
        <w:tc>
          <w:tcPr>
            <w:tcW w:type="dxa" w:w="18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Materials</w:t>
            </w:r>
          </w:p>
        </w:tc>
        <w:tc>
          <w:tcPr>
            <w:tcW w:type="dxa" w:w="7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Flip chart or whiteboard per team, sticky notes in two colours, the templates in this handout (or a shared document with one tab per step), a camera phone to capture the diagrams for submission.</w:t>
            </w:r>
          </w:p>
        </w:tc>
      </w:tr>
      <w:tr>
        <w:tc>
          <w:tcPr>
            <w:tcW w:type="dxa" w:w="18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Total time</w:t>
            </w:r>
          </w:p>
        </w:tc>
        <w:tc>
          <w:tcPr>
            <w:tcW w:type="dxa" w:w="7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3 hours across nine steps (timings per step below). Can be split over two sessions: Steps 1–4 (drivers, scenarios, boundary, services), then Steps 5–9 (cloud, decisions, analysis and review).</w:t>
            </w:r>
          </w:p>
        </w:tc>
      </w:tr>
      <w:tr>
        <w:tc>
          <w:tcPr>
            <w:tcW w:type="dxa" w:w="18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Submission</w:t>
            </w:r>
          </w:p>
        </w:tc>
        <w:tc>
          <w:tcPr>
            <w:tcW w:type="dxa" w:w="7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One consolidated workbook or document per team containing the nine deliverables, photographs of the Step 2 utility tree, Step 3 context diagram and Step 4 service diagram, plus the review record your panel produced for the team you reviewed in Step 9.</w:t>
            </w:r>
          </w:p>
        </w:tc>
      </w:tr>
      <w:tr>
        <w:tc>
          <w:tcPr>
            <w:tcW w:type="dxa" w:w="18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Ground rules</w:t>
            </w:r>
          </w:p>
        </w:tc>
        <w:tc>
          <w:tcPr>
            <w:tcW w:type="dxa" w:w="7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Work from your own Checkpoint 1 backlog — do not re-scope it now; if you discover a missing story, record it as an assumption and design on. Where the backlog and brief are silent (budget, launch date, volumes), do not invent facts silently — record the assumption with an owner who would confirm it. Name technology in vendor-neutral terms first (managed relational database, message queue, serverless containers); add the specific cloud service you would map it to second.</w:t>
            </w:r>
          </w:p>
        </w:tc>
      </w:tr>
    </w:tbl>
    <w:p>
      <w:pPr>
        <w:spacing w:after="120" w:before="200" w:line="264" w:lineRule="auto"/>
      </w:pPr>
      <w:r>
        <w:rPr>
          <w:rFonts w:ascii="Calibri" w:cs="Calibri" w:eastAsia="Calibri" w:hAnsi="Calibri"/>
          <w:b/>
          <w:bCs/>
          <w:i w:val="false"/>
          <w:iCs w:val="false"/>
          <w:color w:val="0E7C7B"/>
          <w:sz w:val="26"/>
          <w:szCs w:val="26"/>
        </w:rPr>
        <w:t xml:space="preserve">Overview of the nine steps</w:t>
      </w:r>
    </w:p>
    <w:tbl>
      <w:tblPr>
        <w:tblW w:type="dxa" w:w="9746"/>
        <w:tblBorders>
          <w:top w:val="single" w:color="666666" w:sz="4"/>
          <w:left w:val="single" w:color="666666" w:sz="4"/>
          <w:bottom w:val="single" w:color="666666" w:sz="4"/>
          <w:right w:val="single" w:color="666666" w:sz="4"/>
          <w:insideH w:val="single" w:color="666666" w:sz="4"/>
          <w:insideV w:val="single" w:color="666666" w:sz="4"/>
        </w:tblBorders>
      </w:tblPr>
      <w:tblGrid>
        <w:gridCol w:w="700"/>
        <w:gridCol w:w="3100"/>
        <w:gridCol w:w="4946"/>
        <w:gridCol w:w="1000"/>
      </w:tblGrid>
      <w:tr>
        <w:trPr>
          <w:tblHeader/>
        </w:trPr>
        <w:tc>
          <w:tcPr>
            <w:tcW w:type="dxa" w:w="7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Step</w:t>
            </w:r>
          </w:p>
        </w:tc>
        <w:tc>
          <w:tcPr>
            <w:tcW w:type="dxa" w:w="31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Activity</w:t>
            </w:r>
          </w:p>
        </w:tc>
        <w:tc>
          <w:tcPr>
            <w:tcW w:type="dxa" w:w="4946"/>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Deliverable</w:t>
            </w:r>
          </w:p>
        </w:tc>
        <w:tc>
          <w:tcPr>
            <w:tcW w:type="dxa" w:w="10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Time</w:t>
            </w:r>
          </w:p>
        </w:tc>
      </w:tr>
      <w:tr>
        <w:tc>
          <w:tcPr>
            <w:tcW w:type="dxa" w:w="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1</w:t>
            </w:r>
          </w:p>
        </w:tc>
        <w:tc>
          <w:tcPr>
            <w:tcW w:type="dxa" w:w="31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Harvest architectural drivers from your backlog</w:t>
            </w:r>
          </w:p>
        </w:tc>
        <w:tc>
          <w:tcPr>
            <w:tcW w:type="dxa" w:w="4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Driver Register (functional drivers, business drivers, constraints, quality concerns)</w:t>
            </w:r>
          </w:p>
        </w:tc>
        <w:tc>
          <w:tcPr>
            <w:tcW w:type="dxa" w:w="10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10 min</w:t>
            </w:r>
          </w:p>
        </w:tc>
      </w:tr>
      <w:tr>
        <w:tc>
          <w:tcPr>
            <w:tcW w:type="dxa" w:w="700"/>
            <w:shd w:fill="F2F2F2" w:val="clear"/>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2</w:t>
            </w:r>
          </w:p>
        </w:tc>
        <w:tc>
          <w:tcPr>
            <w:tcW w:type="dxa" w:w="3100"/>
            <w:shd w:fill="F2F2F2" w:val="clear"/>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Build the utility tree and write quality attribute scenarios</w:t>
            </w:r>
          </w:p>
        </w:tc>
        <w:tc>
          <w:tcPr>
            <w:tcW w:type="dxa" w:w="4946"/>
            <w:shd w:fill="F2F2F2" w:val="clear"/>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Utility tree with (Importance, Difficulty) ratings; six-part scenario card for every driving leaf</w:t>
            </w:r>
          </w:p>
        </w:tc>
        <w:tc>
          <w:tcPr>
            <w:tcW w:type="dxa" w:w="1000"/>
            <w:shd w:fill="F2F2F2" w:val="clear"/>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35 min</w:t>
            </w:r>
          </w:p>
        </w:tc>
      </w:tr>
      <w:tr>
        <w:tc>
          <w:tcPr>
            <w:tcW w:type="dxa" w:w="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3</w:t>
            </w:r>
          </w:p>
        </w:tc>
        <w:tc>
          <w:tcPr>
            <w:tcW w:type="dxa" w:w="31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Draw the context diagram</w:t>
            </w:r>
          </w:p>
        </w:tc>
        <w:tc>
          <w:tcPr>
            <w:tcW w:type="dxa" w:w="4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Context diagram with every actor and external system, plus the boundary inventory</w:t>
            </w:r>
          </w:p>
        </w:tc>
        <w:tc>
          <w:tcPr>
            <w:tcW w:type="dxa" w:w="10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15 min</w:t>
            </w:r>
          </w:p>
        </w:tc>
      </w:tr>
      <w:tr>
        <w:tc>
          <w:tcPr>
            <w:tcW w:type="dxa" w:w="700"/>
            <w:shd w:fill="F2F2F2" w:val="clear"/>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4</w:t>
            </w:r>
          </w:p>
        </w:tc>
        <w:tc>
          <w:tcPr>
            <w:tcW w:type="dxa" w:w="3100"/>
            <w:shd w:fill="F2F2F2" w:val="clear"/>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Decompose into microservices</w:t>
            </w:r>
          </w:p>
        </w:tc>
        <w:tc>
          <w:tcPr>
            <w:tcW w:type="dxa" w:w="4946"/>
            <w:shd w:fill="F2F2F2" w:val="clear"/>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Service catalogue and service diagram; interaction style decided per service</w:t>
            </w:r>
          </w:p>
        </w:tc>
        <w:tc>
          <w:tcPr>
            <w:tcW w:type="dxa" w:w="1000"/>
            <w:shd w:fill="F2F2F2" w:val="clear"/>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25 min</w:t>
            </w:r>
          </w:p>
        </w:tc>
      </w:tr>
      <w:tr>
        <w:tc>
          <w:tcPr>
            <w:tcW w:type="dxa" w:w="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5</w:t>
            </w:r>
          </w:p>
        </w:tc>
        <w:tc>
          <w:tcPr>
            <w:tcW w:type="dxa" w:w="31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Map the cloud architecture</w:t>
            </w:r>
          </w:p>
        </w:tc>
        <w:tc>
          <w:tcPr>
            <w:tcW w:type="dxa" w:w="4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Cloud architecture map: compute and storage per service, with rationale</w:t>
            </w:r>
          </w:p>
        </w:tc>
        <w:tc>
          <w:tcPr>
            <w:tcW w:type="dxa" w:w="10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20 min</w:t>
            </w:r>
          </w:p>
        </w:tc>
      </w:tr>
      <w:tr>
        <w:tc>
          <w:tcPr>
            <w:tcW w:type="dxa" w:w="700"/>
            <w:shd w:fill="F2F2F2" w:val="clear"/>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6</w:t>
            </w:r>
          </w:p>
        </w:tc>
        <w:tc>
          <w:tcPr>
            <w:tcW w:type="dxa" w:w="3100"/>
            <w:shd w:fill="F2F2F2" w:val="clear"/>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Record the decisions</w:t>
            </w:r>
          </w:p>
        </w:tc>
        <w:tc>
          <w:tcPr>
            <w:tcW w:type="dxa" w:w="4946"/>
            <w:shd w:fill="F2F2F2" w:val="clear"/>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Three architecture decision records, at least one decided on cost or effort</w:t>
            </w:r>
          </w:p>
        </w:tc>
        <w:tc>
          <w:tcPr>
            <w:tcW w:type="dxa" w:w="1000"/>
            <w:shd w:fill="F2F2F2" w:val="clear"/>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15 min</w:t>
            </w:r>
          </w:p>
        </w:tc>
      </w:tr>
      <w:tr>
        <w:tc>
          <w:tcPr>
            <w:tcW w:type="dxa" w:w="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7</w:t>
            </w:r>
          </w:p>
        </w:tc>
        <w:tc>
          <w:tcPr>
            <w:tcW w:type="dxa" w:w="31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Analyse the design</w:t>
            </w:r>
          </w:p>
        </w:tc>
        <w:tc>
          <w:tcPr>
            <w:tcW w:type="dxa" w:w="4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Register of sensitivity points, trade-off points, risks and non-risks</w:t>
            </w:r>
          </w:p>
        </w:tc>
        <w:tc>
          <w:tcPr>
            <w:tcW w:type="dxa" w:w="10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15 min</w:t>
            </w:r>
          </w:p>
        </w:tc>
      </w:tr>
      <w:tr>
        <w:tc>
          <w:tcPr>
            <w:tcW w:type="dxa" w:w="700"/>
            <w:shd w:fill="F2F2F2" w:val="clear"/>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8</w:t>
            </w:r>
          </w:p>
        </w:tc>
        <w:tc>
          <w:tcPr>
            <w:tcW w:type="dxa" w:w="3100"/>
            <w:shd w:fill="F2F2F2" w:val="clear"/>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Harden the solution</w:t>
            </w:r>
          </w:p>
        </w:tc>
        <w:tc>
          <w:tcPr>
            <w:tcW w:type="dxa" w:w="4946"/>
            <w:shd w:fill="F2F2F2" w:val="clear"/>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Hardening table: failure modes, blast radius, design answers, hand-offs</w:t>
            </w:r>
          </w:p>
        </w:tc>
        <w:tc>
          <w:tcPr>
            <w:tcW w:type="dxa" w:w="1000"/>
            <w:shd w:fill="F2F2F2" w:val="clear"/>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15 min</w:t>
            </w:r>
          </w:p>
        </w:tc>
      </w:tr>
      <w:tr>
        <w:tc>
          <w:tcPr>
            <w:tcW w:type="dxa" w:w="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9</w:t>
            </w:r>
          </w:p>
        </w:tc>
        <w:tc>
          <w:tcPr>
            <w:tcW w:type="dxa" w:w="31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Architecture review clinic</w:t>
            </w:r>
          </w:p>
        </w:tc>
        <w:tc>
          <w:tcPr>
            <w:tcW w:type="dxa" w:w="4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Review record: challenges, responses, outcomes, unresolved risks and hand-offs</w:t>
            </w:r>
          </w:p>
        </w:tc>
        <w:tc>
          <w:tcPr>
            <w:tcW w:type="dxa" w:w="10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30 min</w:t>
            </w:r>
          </w:p>
        </w:tc>
      </w:tr>
    </w:tbl>
    <w:p>
      <w:pPr>
        <w:pageBreakBefore/>
        <w:spacing w:after="0" w:before="0" w:line="264" w:lineRule="auto"/>
      </w:pPr>
      <w:r>
        <w:rPr>
          <w:rFonts w:ascii="Calibri" w:cs="Calibri" w:eastAsia="Calibri" w:hAnsi="Calibri"/>
          <w:b w:val="false"/>
          <w:bCs w:val="false"/>
          <w:i w:val="false"/>
          <w:iCs w:val="false"/>
          <w:color w:val="262626"/>
          <w:sz w:val="21"/>
          <w:szCs w:val="21"/>
        </w:rPr>
        <w:t xml:space="preserve"/>
      </w:r>
    </w:p>
    <w:p>
      <w:pPr>
        <w:spacing w:after="140" w:before="120" w:line="264" w:lineRule="auto"/>
      </w:pPr>
      <w:r>
        <w:rPr>
          <w:rFonts w:ascii="Calibri" w:cs="Calibri" w:eastAsia="Calibri" w:hAnsi="Calibri"/>
          <w:b/>
          <w:bCs/>
          <w:i w:val="false"/>
          <w:iCs w:val="false"/>
          <w:color w:val="0E7C7B"/>
          <w:sz w:val="26"/>
          <w:szCs w:val="26"/>
        </w:rPr>
        <w:t xml:space="preserve">Step 1 — Harvest architectural drivers from your backlog (10 min)</w:t>
      </w:r>
    </w:p>
    <w:p>
      <w:pPr>
        <w:spacing w:after="80" w:before="100" w:line="264" w:lineRule="auto"/>
      </w:pPr>
      <w:r>
        <w:rPr>
          <w:rFonts w:ascii="Calibri" w:cs="Calibri" w:eastAsia="Calibri" w:hAnsi="Calibri"/>
          <w:b/>
          <w:bCs/>
          <w:i w:val="false"/>
          <w:iCs w:val="false"/>
          <w:color w:val="262626"/>
          <w:sz w:val="22"/>
          <w:szCs w:val="22"/>
        </w:rPr>
        <w:t xml:space="preserve">Purpose</w:t>
      </w:r>
    </w:p>
    <w:p>
      <w:pPr>
        <w:spacing w:after="120" w:before="0" w:line="264" w:lineRule="auto"/>
      </w:pPr>
      <w:r>
        <w:rPr>
          <w:rFonts w:ascii="Calibri" w:cs="Calibri" w:eastAsia="Calibri" w:hAnsi="Calibri"/>
          <w:b w:val="false"/>
          <w:bCs w:val="false"/>
          <w:i w:val="false"/>
          <w:iCs w:val="false"/>
          <w:color w:val="262626"/>
          <w:sz w:val="21"/>
          <w:szCs w:val="21"/>
        </w:rPr>
        <w:t xml:space="preserve">An architecture is not shaped by every story equally. A handful of requirements, business drivers and constraints do the shaping; the rest ride along. Before designing anything, agree what those drivers are — pulled from the backlog you baselined, not re-invented.</w:t>
      </w:r>
    </w:p>
    <w:p>
      <w:pPr>
        <w:spacing w:after="80" w:before="100" w:line="264" w:lineRule="auto"/>
      </w:pPr>
      <w:r>
        <w:rPr>
          <w:rFonts w:ascii="Calibri" w:cs="Calibri" w:eastAsia="Calibri" w:hAnsi="Calibri"/>
          <w:b/>
          <w:bCs/>
          <w:i w:val="false"/>
          <w:iCs w:val="false"/>
          <w:color w:val="262626"/>
          <w:sz w:val="22"/>
          <w:szCs w:val="22"/>
        </w:rPr>
        <w:t xml:space="preserve">Instructions</w:t>
      </w:r>
    </w:p>
    <w:p>
      <w:pPr>
        <w:pStyle w:val="ListParagraph"/>
        <w:numPr>
          <w:ilvl w:val="0"/>
          <w:numId w:val="3"/>
        </w:numPr>
        <w:spacing w:after="80" w:before="0" w:line="264" w:lineRule="auto"/>
      </w:pPr>
      <w:r>
        <w:rPr>
          <w:rFonts w:ascii="Calibri" w:cs="Calibri" w:eastAsia="Calibri" w:hAnsi="Calibri"/>
          <w:b w:val="false"/>
          <w:bCs w:val="false"/>
          <w:i w:val="false"/>
          <w:iCs w:val="false"/>
          <w:color w:val="262626"/>
          <w:sz w:val="21"/>
          <w:szCs w:val="21"/>
        </w:rPr>
        <w:t xml:space="preserve">Lay out your Release 1 backlog from Checkpoint 1. From your Must stories, pick the 4–6 that force the shape of the system — the ones the customer journey cannot happen without (typically: find bonds near me, understand what a bond pays, buy directly, get confirmation).</w:t>
      </w:r>
    </w:p>
    <w:p>
      <w:pPr>
        <w:pStyle w:val="ListParagraph"/>
        <w:numPr>
          <w:ilvl w:val="0"/>
          <w:numId w:val="3"/>
        </w:numPr>
        <w:spacing w:after="80" w:before="0" w:line="264" w:lineRule="auto"/>
      </w:pPr>
      <w:r>
        <w:rPr>
          <w:rFonts w:ascii="Calibri" w:cs="Calibri" w:eastAsia="Calibri" w:hAnsi="Calibri"/>
          <w:b w:val="false"/>
          <w:bCs w:val="false"/>
          <w:i w:val="false"/>
          <w:iCs w:val="false"/>
          <w:color w:val="262626"/>
          <w:sz w:val="21"/>
          <w:szCs w:val="21"/>
        </w:rPr>
        <w:t xml:space="preserve">From the case brief and your A-B-C-D-NF Register, pull the business drivers (why Meridian is doing this) and the constraints (phone and desktop, disclosure / suitability / record-keeping obligations, third-party market data, existing customers first).</w:t>
      </w:r>
    </w:p>
    <w:p>
      <w:pPr>
        <w:pStyle w:val="ListParagraph"/>
        <w:numPr>
          <w:ilvl w:val="0"/>
          <w:numId w:val="3"/>
        </w:numPr>
        <w:spacing w:after="80" w:before="0" w:line="264" w:lineRule="auto"/>
      </w:pPr>
      <w:r>
        <w:rPr>
          <w:rFonts w:ascii="Calibri" w:cs="Calibri" w:eastAsia="Calibri" w:hAnsi="Calibri"/>
          <w:b w:val="false"/>
          <w:bCs w:val="false"/>
          <w:i w:val="false"/>
          <w:iCs w:val="false"/>
          <w:color w:val="262626"/>
          <w:sz w:val="21"/>
          <w:szCs w:val="21"/>
        </w:rPr>
        <w:t xml:space="preserve">List the quality concerns you captured as non-functional register items. Keep them raw — do not phrase them as scenarios yet; that is Step 2.</w:t>
      </w:r>
    </w:p>
    <w:p>
      <w:pPr>
        <w:pStyle w:val="ListParagraph"/>
        <w:numPr>
          <w:ilvl w:val="0"/>
          <w:numId w:val="3"/>
        </w:numPr>
        <w:spacing w:after="80" w:before="0" w:line="264" w:lineRule="auto"/>
      </w:pPr>
      <w:r>
        <w:rPr>
          <w:rFonts w:ascii="Calibri" w:cs="Calibri" w:eastAsia="Calibri" w:hAnsi="Calibri"/>
          <w:b w:val="false"/>
          <w:bCs w:val="false"/>
          <w:i w:val="false"/>
          <w:iCs w:val="false"/>
          <w:color w:val="262626"/>
          <w:sz w:val="21"/>
          <w:szCs w:val="21"/>
        </w:rPr>
        <w:t xml:space="preserve">Give every entry an ID (FD1…, BD1…, CN1…, QC1…) so later steps can trace to it. If a driver traces to nothing in your backlog or the brief, either it is not a driver or your backlog missed a story — record which, as an assumption with an owner.</w:t>
      </w:r>
    </w:p>
    <w:p>
      <w:pPr>
        <w:spacing w:after="80" w:before="100" w:line="264" w:lineRule="auto"/>
      </w:pPr>
      <w:r>
        <w:rPr>
          <w:rFonts w:ascii="Calibri" w:cs="Calibri" w:eastAsia="Calibri" w:hAnsi="Calibri"/>
          <w:b/>
          <w:bCs/>
          <w:i w:val="false"/>
          <w:iCs w:val="false"/>
          <w:color w:val="262626"/>
          <w:sz w:val="22"/>
          <w:szCs w:val="22"/>
        </w:rPr>
        <w:t xml:space="preserve">Template: Driver Register</w:t>
      </w:r>
    </w:p>
    <w:tbl>
      <w:tblPr>
        <w:tblW w:type="dxa" w:w="9746"/>
        <w:tblBorders>
          <w:top w:val="single" w:color="666666" w:sz="4"/>
          <w:left w:val="single" w:color="666666" w:sz="4"/>
          <w:bottom w:val="single" w:color="666666" w:sz="4"/>
          <w:right w:val="single" w:color="666666" w:sz="4"/>
          <w:insideH w:val="single" w:color="666666" w:sz="4"/>
          <w:insideV w:val="single" w:color="666666" w:sz="4"/>
        </w:tblBorders>
      </w:tblPr>
      <w:tblGrid>
        <w:gridCol w:w="700"/>
        <w:gridCol w:w="4046"/>
        <w:gridCol w:w="2600"/>
        <w:gridCol w:w="2400"/>
      </w:tblGrid>
      <w:tr>
        <w:trPr>
          <w:tblHeader/>
        </w:trPr>
        <w:tc>
          <w:tcPr>
            <w:tcW w:type="dxa" w:w="7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ID</w:t>
            </w:r>
          </w:p>
        </w:tc>
        <w:tc>
          <w:tcPr>
            <w:tcW w:type="dxa" w:w="4046"/>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Driver (one line)</w:t>
            </w:r>
          </w:p>
        </w:tc>
        <w:tc>
          <w:tcPr>
            <w:tcW w:type="dxa" w:w="26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Kind (Functional / Business / Constraint / Quality concern)</w:t>
            </w:r>
          </w:p>
        </w:tc>
        <w:tc>
          <w:tcPr>
            <w:tcW w:type="dxa" w:w="24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Source (story ID / brief / register item)</w:t>
            </w:r>
          </w:p>
        </w:tc>
      </w:tr>
      <w:tr>
        <w:tc>
          <w:tcPr>
            <w:tcW w:type="dxa" w:w="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40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6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40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6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40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6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40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6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40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6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40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6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bl>
    <w:p>
      <w:pPr>
        <w:spacing w:after="80" w:before="100" w:line="264" w:lineRule="auto"/>
      </w:pPr>
      <w:r>
        <w:rPr>
          <w:rFonts w:ascii="Calibri" w:cs="Calibri" w:eastAsia="Calibri" w:hAnsi="Calibri"/>
          <w:b/>
          <w:bCs/>
          <w:i w:val="false"/>
          <w:iCs w:val="false"/>
          <w:color w:val="262626"/>
          <w:sz w:val="22"/>
          <w:szCs w:val="22"/>
        </w:rPr>
        <w:t xml:space="preserve">Expected output</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4–6 functional drivers, each tracing to a Must story in your own baselined backlog.</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3–4 business drivers taken from "Why Meridian is interested" — growth, younger investors, differentiation, local positioning.</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The regulatory, platform and third-party-data items recorded as constraints, not as quality concerns.</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Five or more raw quality concerns, none yet written as a scenario.</w:t>
      </w:r>
    </w:p>
    <w:p>
      <w:pPr>
        <w:pageBreakBefore/>
        <w:spacing w:after="0" w:before="0" w:line="264" w:lineRule="auto"/>
      </w:pPr>
      <w:r>
        <w:rPr>
          <w:rFonts w:ascii="Calibri" w:cs="Calibri" w:eastAsia="Calibri" w:hAnsi="Calibri"/>
          <w:b w:val="false"/>
          <w:bCs w:val="false"/>
          <w:i w:val="false"/>
          <w:iCs w:val="false"/>
          <w:color w:val="262626"/>
          <w:sz w:val="21"/>
          <w:szCs w:val="21"/>
        </w:rPr>
        <w:t xml:space="preserve"/>
      </w:r>
    </w:p>
    <w:p>
      <w:pPr>
        <w:spacing w:after="140" w:before="120" w:line="264" w:lineRule="auto"/>
      </w:pPr>
      <w:r>
        <w:rPr>
          <w:rFonts w:ascii="Calibri" w:cs="Calibri" w:eastAsia="Calibri" w:hAnsi="Calibri"/>
          <w:b/>
          <w:bCs/>
          <w:i w:val="false"/>
          <w:iCs w:val="false"/>
          <w:color w:val="0E7C7B"/>
          <w:sz w:val="26"/>
          <w:szCs w:val="26"/>
        </w:rPr>
        <w:t xml:space="preserve">Step 2 — Build the utility tree and write quality attribute scenarios (35 min)</w:t>
      </w:r>
    </w:p>
    <w:p>
      <w:pPr>
        <w:spacing w:after="80" w:before="100" w:line="264" w:lineRule="auto"/>
      </w:pPr>
      <w:r>
        <w:rPr>
          <w:rFonts w:ascii="Calibri" w:cs="Calibri" w:eastAsia="Calibri" w:hAnsi="Calibri"/>
          <w:b/>
          <w:bCs/>
          <w:i w:val="false"/>
          <w:iCs w:val="false"/>
          <w:color w:val="262626"/>
          <w:sz w:val="22"/>
          <w:szCs w:val="22"/>
        </w:rPr>
        <w:t xml:space="preserve">Purpose</w:t>
      </w:r>
    </w:p>
    <w:p>
      <w:pPr>
        <w:spacing w:after="120" w:before="0" w:line="264" w:lineRule="auto"/>
      </w:pPr>
      <w:r>
        <w:rPr>
          <w:rFonts w:ascii="Calibri" w:cs="Calibri" w:eastAsia="Calibri" w:hAnsi="Calibri"/>
          <w:b w:val="false"/>
          <w:bCs w:val="false"/>
          <w:i w:val="false"/>
          <w:iCs w:val="false"/>
          <w:color w:val="262626"/>
          <w:sz w:val="21"/>
          <w:szCs w:val="21"/>
        </w:rPr>
        <w:t xml:space="preserve">In a real ATAM these happen in one conversation: the utility tree surfaces and ranks what matters, and only the leaves that matter earn the effort of a full six-part scenario. "Secure" and "fast" are opinions until they are measurable; the tree decides which opinions are worth measuring. Two artifacts come out of this step — the rated tree, and a scenario card for every driving leaf.</w:t>
      </w:r>
    </w:p>
    <w:p>
      <w:pPr>
        <w:spacing w:after="80" w:before="100" w:line="264" w:lineRule="auto"/>
      </w:pPr>
      <w:r>
        <w:rPr>
          <w:rFonts w:ascii="Calibri" w:cs="Calibri" w:eastAsia="Calibri" w:hAnsi="Calibri"/>
          <w:b/>
          <w:bCs/>
          <w:i w:val="false"/>
          <w:iCs w:val="false"/>
          <w:color w:val="262626"/>
          <w:sz w:val="22"/>
          <w:szCs w:val="22"/>
        </w:rPr>
        <w:t xml:space="preserve">Instructions</w:t>
      </w:r>
    </w:p>
    <w:p>
      <w:pPr>
        <w:pStyle w:val="ListParagraph"/>
        <w:numPr>
          <w:ilvl w:val="0"/>
          <w:numId w:val="4"/>
        </w:numPr>
        <w:spacing w:after="80" w:before="0" w:line="264" w:lineRule="auto"/>
      </w:pPr>
      <w:r>
        <w:rPr>
          <w:rFonts w:ascii="Calibri" w:cs="Calibri" w:eastAsia="Calibri" w:hAnsi="Calibri"/>
          <w:b w:val="false"/>
          <w:bCs w:val="false"/>
          <w:i w:val="false"/>
          <w:iCs w:val="false"/>
          <w:color w:val="262626"/>
          <w:sz w:val="21"/>
          <w:szCs w:val="21"/>
        </w:rPr>
        <w:t xml:space="preserve">Draw the tree on the flip chart: the root is "utility"; the second level is the five quality attributes — performance, availability, security, cost, maintainability; the third level is refinements (for example availability → "market data outage", "planned deployment"). The leaves are one-line concerns, seeded from your Step 1 quality concerns and extended where the tree exposes gaps. Aim for 8–12 leaves across at least four attributes.</w:t>
      </w:r>
    </w:p>
    <w:p>
      <w:pPr>
        <w:pStyle w:val="ListParagraph"/>
        <w:numPr>
          <w:ilvl w:val="0"/>
          <w:numId w:val="4"/>
        </w:numPr>
        <w:spacing w:after="80" w:before="0" w:line="264" w:lineRule="auto"/>
      </w:pPr>
      <w:r>
        <w:rPr>
          <w:rFonts w:ascii="Calibri" w:cs="Calibri" w:eastAsia="Calibri" w:hAnsi="Calibri"/>
          <w:b w:val="false"/>
          <w:bCs w:val="false"/>
          <w:i w:val="false"/>
          <w:iCs w:val="false"/>
          <w:color w:val="262626"/>
          <w:sz w:val="21"/>
          <w:szCs w:val="21"/>
        </w:rPr>
        <w:t xml:space="preserve">Rate every leaf with the pair (Importance to the business, Difficulty to achieve), each High / Medium / Low. Importance is the Lead Architect's call, standing in for the Product Owner; difficulty is the team's engineering judgement. Rating everything (H,H) is refusing to prioritise — the panel in Step 9 will notice.</w:t>
      </w:r>
    </w:p>
    <w:p>
      <w:pPr>
        <w:pStyle w:val="ListParagraph"/>
        <w:numPr>
          <w:ilvl w:val="0"/>
          <w:numId w:val="4"/>
        </w:numPr>
        <w:spacing w:after="80" w:before="0" w:line="264" w:lineRule="auto"/>
      </w:pPr>
      <w:r>
        <w:rPr>
          <w:rFonts w:ascii="Calibri" w:cs="Calibri" w:eastAsia="Calibri" w:hAnsi="Calibri"/>
          <w:b w:val="false"/>
          <w:bCs w:val="false"/>
          <w:i w:val="false"/>
          <w:iCs w:val="false"/>
          <w:color w:val="262626"/>
          <w:sz w:val="21"/>
          <w:szCs w:val="21"/>
        </w:rPr>
        <w:t xml:space="preserve">Shortlist the driving leaves: every (H,H), plus (H,M) where the team wants it. Aim for 3–5. Check coverage both ways: every business driver from Step 1 has at least one driving leaf serving it, and every driving leaf serves a driver.</w:t>
      </w:r>
    </w:p>
    <w:p>
      <w:pPr>
        <w:pStyle w:val="ListParagraph"/>
        <w:numPr>
          <w:ilvl w:val="0"/>
          <w:numId w:val="4"/>
        </w:numPr>
        <w:spacing w:after="80" w:before="0" w:line="264" w:lineRule="auto"/>
      </w:pPr>
      <w:r>
        <w:rPr>
          <w:rFonts w:ascii="Calibri" w:cs="Calibri" w:eastAsia="Calibri" w:hAnsi="Calibri"/>
          <w:b w:val="false"/>
          <w:bCs w:val="false"/>
          <w:i w:val="false"/>
          <w:iCs w:val="false"/>
          <w:color w:val="262626"/>
          <w:sz w:val="21"/>
          <w:szCs w:val="21"/>
        </w:rPr>
        <w:t xml:space="preserve">Now write a full six-part scenario card for each driving leaf — and only for those: source, stimulus, artifact, environment, response, response measure. Every response measure must be a number or a checkable fact — no "quickly", "mostly" or "reasonable". Where the brief gives no figure, choose one and record it as an assumption naming who would confirm it (product, compliance, operations).</w:t>
      </w:r>
    </w:p>
    <w:p>
      <w:pPr>
        <w:pStyle w:val="ListParagraph"/>
        <w:numPr>
          <w:ilvl w:val="0"/>
          <w:numId w:val="4"/>
        </w:numPr>
        <w:spacing w:after="80" w:before="0" w:line="264" w:lineRule="auto"/>
      </w:pPr>
      <w:r>
        <w:rPr>
          <w:rFonts w:ascii="Calibri" w:cs="Calibri" w:eastAsia="Calibri" w:hAnsi="Calibri"/>
          <w:b w:val="false"/>
          <w:bCs w:val="false"/>
          <w:i w:val="false"/>
          <w:iCs w:val="false"/>
          <w:color w:val="262626"/>
          <w:sz w:val="21"/>
          <w:szCs w:val="21"/>
        </w:rPr>
        <w:t xml:space="preserve">At least one driving scenario must involve the third-party market data feed and at least one must involve a regulatory obligation (disclosure, suitability or record-keeping). If the tree ranked neither as driving, either re-examine the ratings or record the reason.</w:t>
      </w:r>
    </w:p>
    <w:p>
      <w:pPr>
        <w:pStyle w:val="ListParagraph"/>
        <w:numPr>
          <w:ilvl w:val="0"/>
          <w:numId w:val="4"/>
        </w:numPr>
        <w:spacing w:after="80" w:before="0" w:line="264" w:lineRule="auto"/>
      </w:pPr>
      <w:r>
        <w:rPr>
          <w:rFonts w:ascii="Calibri" w:cs="Calibri" w:eastAsia="Calibri" w:hAnsi="Calibri"/>
          <w:b w:val="false"/>
          <w:bCs w:val="false"/>
          <w:i w:val="false"/>
          <w:iCs w:val="false"/>
          <w:color w:val="262626"/>
          <w:sz w:val="21"/>
          <w:szCs w:val="21"/>
        </w:rPr>
        <w:t xml:space="preserve">Trace every scenario card to its leaf and its driver IDs from Step 1.</w:t>
      </w:r>
    </w:p>
    <w:p>
      <w:pPr>
        <w:spacing w:after="80" w:before="100" w:line="264" w:lineRule="auto"/>
      </w:pPr>
      <w:r>
        <w:rPr>
          <w:rFonts w:ascii="Calibri" w:cs="Calibri" w:eastAsia="Calibri" w:hAnsi="Calibri"/>
          <w:b/>
          <w:bCs/>
          <w:i w:val="false"/>
          <w:iCs w:val="false"/>
          <w:color w:val="262626"/>
          <w:sz w:val="22"/>
          <w:szCs w:val="22"/>
        </w:rPr>
        <w:t xml:space="preserve">Template: Utility tree table</w:t>
      </w:r>
    </w:p>
    <w:tbl>
      <w:tblPr>
        <w:tblW w:type="dxa" w:w="9746"/>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1700"/>
        <w:gridCol w:w="3146"/>
        <w:gridCol w:w="1300"/>
        <w:gridCol w:w="1250"/>
        <w:gridCol w:w="950"/>
      </w:tblGrid>
      <w:tr>
        <w:trPr>
          <w:tblHeader/>
        </w:trPr>
        <w:tc>
          <w:tcPr>
            <w:tcW w:type="dxa" w:w="14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Attribute</w:t>
            </w:r>
          </w:p>
        </w:tc>
        <w:tc>
          <w:tcPr>
            <w:tcW w:type="dxa" w:w="17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Refinement</w:t>
            </w:r>
          </w:p>
        </w:tc>
        <w:tc>
          <w:tcPr>
            <w:tcW w:type="dxa" w:w="3146"/>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Leaf concern (one line)</w:t>
            </w:r>
          </w:p>
        </w:tc>
        <w:tc>
          <w:tcPr>
            <w:tcW w:type="dxa" w:w="13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Importance H/M/L</w:t>
            </w:r>
          </w:p>
        </w:tc>
        <w:tc>
          <w:tcPr>
            <w:tcW w:type="dxa" w:w="125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Difficulty H/M/L</w:t>
            </w:r>
          </w:p>
        </w:tc>
        <w:tc>
          <w:tcPr>
            <w:tcW w:type="dxa" w:w="95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Driving? Y/N</w:t>
            </w:r>
          </w:p>
        </w:tc>
      </w:tr>
      <w:tr>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1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25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95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1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25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95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1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25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95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1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25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95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1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25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95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1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25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95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1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25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95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1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25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95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bl>
    <w:p>
      <w:pPr>
        <w:spacing w:after="80" w:before="100" w:line="264" w:lineRule="auto"/>
      </w:pPr>
      <w:r>
        <w:rPr>
          <w:rFonts w:ascii="Calibri" w:cs="Calibri" w:eastAsia="Calibri" w:hAnsi="Calibri"/>
          <w:b/>
          <w:bCs/>
          <w:i w:val="false"/>
          <w:iCs w:val="false"/>
          <w:color w:val="262626"/>
          <w:sz w:val="22"/>
          <w:szCs w:val="22"/>
        </w:rPr>
        <w:t xml:space="preserve">Template: Quality attribute scenario card (one per driving leaf)</w:t>
      </w:r>
    </w:p>
    <w:tbl>
      <w:tblPr>
        <w:tblW w:type="dxa" w:w="9746"/>
        <w:tblBorders>
          <w:top w:val="single" w:color="666666" w:sz="4"/>
          <w:left w:val="single" w:color="666666" w:sz="4"/>
          <w:bottom w:val="single" w:color="666666" w:sz="4"/>
          <w:right w:val="single" w:color="666666" w:sz="4"/>
          <w:insideH w:val="single" w:color="666666" w:sz="4"/>
          <w:insideV w:val="single" w:color="666666" w:sz="4"/>
        </w:tblBorders>
      </w:tblPr>
      <w:tblGrid>
        <w:gridCol w:w="2400"/>
        <w:gridCol w:w="7346"/>
      </w:tblGrid>
      <w:tr>
        <w:trPr>
          <w:tblHeader/>
        </w:trPr>
        <w:tc>
          <w:tcPr>
            <w:tcW w:type="dxa" w:w="24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Field</w:t>
            </w:r>
          </w:p>
        </w:tc>
        <w:tc>
          <w:tcPr>
            <w:tcW w:type="dxa" w:w="7346"/>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Content</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Scenario ID</w:t>
            </w:r>
          </w:p>
        </w:tc>
        <w:tc>
          <w:tcPr>
            <w:tcW w:type="dxa" w:w="7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QAS&lt;n&gt; — and the tree leaf it comes from</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Attribute</w:t>
            </w:r>
          </w:p>
        </w:tc>
        <w:tc>
          <w:tcPr>
            <w:tcW w:type="dxa" w:w="7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Performance / Availability / Security / Cost / Maintainability</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Source</w:t>
            </w:r>
          </w:p>
        </w:tc>
        <w:tc>
          <w:tcPr>
            <w:tcW w:type="dxa" w:w="7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Who or what generates the stimulus</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Stimulus</w:t>
            </w:r>
          </w:p>
        </w:tc>
        <w:tc>
          <w:tcPr>
            <w:tcW w:type="dxa" w:w="7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The event or condition arriving at the system</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Artifact</w:t>
            </w:r>
          </w:p>
        </w:tc>
        <w:tc>
          <w:tcPr>
            <w:tcW w:type="dxa" w:w="7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The part of the system stimulated</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Environment</w:t>
            </w:r>
          </w:p>
        </w:tc>
        <w:tc>
          <w:tcPr>
            <w:tcW w:type="dxa" w:w="7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Normal operation / peak / degraded / under attack …</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Response</w:t>
            </w:r>
          </w:p>
        </w:tc>
        <w:tc>
          <w:tcPr>
            <w:tcW w:type="dxa" w:w="7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What the system should do</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Response measure</w:t>
            </w:r>
          </w:p>
        </w:tc>
        <w:tc>
          <w:tcPr>
            <w:tcW w:type="dxa" w:w="7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The number or checkable fact that says it did</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Traces to</w:t>
            </w:r>
          </w:p>
        </w:tc>
        <w:tc>
          <w:tcPr>
            <w:tcW w:type="dxa" w:w="7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Driver ID(s) from Step 1</w:t>
            </w:r>
          </w:p>
        </w:tc>
      </w:tr>
    </w:tbl>
    <w:p>
      <w:pPr>
        <w:spacing w:after="80" w:before="100" w:line="264" w:lineRule="auto"/>
      </w:pPr>
      <w:r>
        <w:rPr>
          <w:rFonts w:ascii="Calibri" w:cs="Calibri" w:eastAsia="Calibri" w:hAnsi="Calibri"/>
          <w:b/>
          <w:bCs/>
          <w:i w:val="false"/>
          <w:iCs w:val="false"/>
          <w:color w:val="262626"/>
          <w:sz w:val="22"/>
          <w:szCs w:val="22"/>
        </w:rPr>
        <w:t xml:space="preserve">Expected output</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A tree of 8–12 rated leaves spanning at least four of the five attributes — not everything (H,H).</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3–5 driving leaves, each with a complete six-part scenario card; no cards written for non-driving leaves.</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Every response measure numeric or checkable; invented figures recorded as assumptions with a named confirming owner.</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A market-data-feed scenario and a regulatory-obligation scenario among the driving set — or the reason recorded.</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Coverage checked both ways: every business driver served by a driving leaf, every driving leaf serving a driver.</w:t>
      </w:r>
    </w:p>
    <w:p>
      <w:pPr>
        <w:pageBreakBefore/>
        <w:spacing w:after="0" w:before="0" w:line="264" w:lineRule="auto"/>
      </w:pPr>
      <w:r>
        <w:rPr>
          <w:rFonts w:ascii="Calibri" w:cs="Calibri" w:eastAsia="Calibri" w:hAnsi="Calibri"/>
          <w:b w:val="false"/>
          <w:bCs w:val="false"/>
          <w:i w:val="false"/>
          <w:iCs w:val="false"/>
          <w:color w:val="262626"/>
          <w:sz w:val="21"/>
          <w:szCs w:val="21"/>
        </w:rPr>
        <w:t xml:space="preserve"/>
      </w:r>
    </w:p>
    <w:p>
      <w:pPr>
        <w:spacing w:after="140" w:before="120" w:line="264" w:lineRule="auto"/>
      </w:pPr>
      <w:r>
        <w:rPr>
          <w:rFonts w:ascii="Calibri" w:cs="Calibri" w:eastAsia="Calibri" w:hAnsi="Calibri"/>
          <w:b/>
          <w:bCs/>
          <w:i w:val="false"/>
          <w:iCs w:val="false"/>
          <w:color w:val="0E7C7B"/>
          <w:sz w:val="26"/>
          <w:szCs w:val="26"/>
        </w:rPr>
        <w:t xml:space="preserve">Step 3 — Draw the context diagram (15 min)</w:t>
      </w:r>
    </w:p>
    <w:p>
      <w:pPr>
        <w:spacing w:after="80" w:before="100" w:line="264" w:lineRule="auto"/>
      </w:pPr>
      <w:r>
        <w:rPr>
          <w:rFonts w:ascii="Calibri" w:cs="Calibri" w:eastAsia="Calibri" w:hAnsi="Calibri"/>
          <w:b/>
          <w:bCs/>
          <w:i w:val="false"/>
          <w:iCs w:val="false"/>
          <w:color w:val="262626"/>
          <w:sz w:val="22"/>
          <w:szCs w:val="22"/>
        </w:rPr>
        <w:t xml:space="preserve">Purpose</w:t>
      </w:r>
    </w:p>
    <w:p>
      <w:pPr>
        <w:spacing w:after="120" w:before="0" w:line="264" w:lineRule="auto"/>
      </w:pPr>
      <w:r>
        <w:rPr>
          <w:rFonts w:ascii="Calibri" w:cs="Calibri" w:eastAsia="Calibri" w:hAnsi="Calibri"/>
          <w:b w:val="false"/>
          <w:bCs w:val="false"/>
          <w:i w:val="false"/>
          <w:iCs w:val="false"/>
          <w:color w:val="262626"/>
          <w:sz w:val="21"/>
          <w:szCs w:val="21"/>
        </w:rPr>
        <w:t xml:space="preserve">Before choosing services or technology, fix the boundary: who uses BLB, and which external systems it must talk to. The context diagram is the cheapest place to discover a missing dependency — cheaper than the service diagram, far cheaper than production.</w:t>
      </w:r>
    </w:p>
    <w:p>
      <w:pPr>
        <w:spacing w:after="80" w:before="100" w:line="264" w:lineRule="auto"/>
      </w:pPr>
      <w:r>
        <w:rPr>
          <w:rFonts w:ascii="Calibri" w:cs="Calibri" w:eastAsia="Calibri" w:hAnsi="Calibri"/>
          <w:b/>
          <w:bCs/>
          <w:i w:val="false"/>
          <w:iCs w:val="false"/>
          <w:color w:val="262626"/>
          <w:sz w:val="22"/>
          <w:szCs w:val="22"/>
        </w:rPr>
        <w:t xml:space="preserve">Instructions</w:t>
      </w:r>
    </w:p>
    <w:p>
      <w:pPr>
        <w:pStyle w:val="ListParagraph"/>
        <w:numPr>
          <w:ilvl w:val="0"/>
          <w:numId w:val="5"/>
        </w:numPr>
        <w:spacing w:after="80" w:before="0" w:line="264" w:lineRule="auto"/>
      </w:pPr>
      <w:r>
        <w:rPr>
          <w:rFonts w:ascii="Calibri" w:cs="Calibri" w:eastAsia="Calibri" w:hAnsi="Calibri"/>
          <w:b w:val="false"/>
          <w:bCs w:val="false"/>
          <w:i w:val="false"/>
          <w:iCs w:val="false"/>
          <w:color w:val="262626"/>
          <w:sz w:val="21"/>
          <w:szCs w:val="21"/>
        </w:rPr>
        <w:t xml:space="preserve">Draw BLB as a single box on the flip chart. Around it, place every kind of user (retail customer on phone and desktop; any internal users your backlog implies — compliance, operations) and every external system it touches: Meridian's existing customer and identity systems, the third-party market data provider, wherever the regulatory record is kept, and whatever moves the money when a bond is bought. If the brief is silent on one of these (payments usually), record the assumption with an owner — do not silently leave it off the diagram.</w:t>
      </w:r>
    </w:p>
    <w:p>
      <w:pPr>
        <w:pStyle w:val="ListParagraph"/>
        <w:numPr>
          <w:ilvl w:val="0"/>
          <w:numId w:val="5"/>
        </w:numPr>
        <w:spacing w:after="80" w:before="0" w:line="264" w:lineRule="auto"/>
      </w:pPr>
      <w:r>
        <w:rPr>
          <w:rFonts w:ascii="Calibri" w:cs="Calibri" w:eastAsia="Calibri" w:hAnsi="Calibri"/>
          <w:b w:val="false"/>
          <w:bCs w:val="false"/>
          <w:i w:val="false"/>
          <w:iCs w:val="false"/>
          <w:color w:val="262626"/>
          <w:sz w:val="21"/>
          <w:szCs w:val="21"/>
        </w:rPr>
        <w:t xml:space="preserve">Label every arrow with what flows across it — data or action, in both directions where both happen. "Uses" is not a label.</w:t>
      </w:r>
    </w:p>
    <w:p>
      <w:pPr>
        <w:pStyle w:val="ListParagraph"/>
        <w:numPr>
          <w:ilvl w:val="0"/>
          <w:numId w:val="5"/>
        </w:numPr>
        <w:spacing w:after="80" w:before="0" w:line="264" w:lineRule="auto"/>
      </w:pPr>
      <w:r>
        <w:rPr>
          <w:rFonts w:ascii="Calibri" w:cs="Calibri" w:eastAsia="Calibri" w:hAnsi="Calibri"/>
          <w:b w:val="false"/>
          <w:bCs w:val="false"/>
          <w:i w:val="false"/>
          <w:iCs w:val="false"/>
          <w:color w:val="262626"/>
          <w:sz w:val="21"/>
          <w:szCs w:val="21"/>
        </w:rPr>
        <w:t xml:space="preserve">Build the boundary inventory: one row per actor and external system, tracing it to the story or driver that puts it there. An element that traces to nothing comes off the diagram; a story that touches nothing outside the box is worth a second look.</w:t>
      </w:r>
    </w:p>
    <w:p>
      <w:pPr>
        <w:pStyle w:val="ListParagraph"/>
        <w:numPr>
          <w:ilvl w:val="0"/>
          <w:numId w:val="5"/>
        </w:numPr>
        <w:spacing w:after="80" w:before="0" w:line="264" w:lineRule="auto"/>
      </w:pPr>
      <w:r>
        <w:rPr>
          <w:rFonts w:ascii="Calibri" w:cs="Calibri" w:eastAsia="Calibri" w:hAnsi="Calibri"/>
          <w:b w:val="false"/>
          <w:bCs w:val="false"/>
          <w:i w:val="false"/>
          <w:iCs w:val="false"/>
          <w:color w:val="262626"/>
          <w:sz w:val="21"/>
          <w:szCs w:val="21"/>
        </w:rPr>
        <w:t xml:space="preserve">Walk your top Must story at this level (find → understand → buy → confirmation). Each leg must cross the boundary somewhere sensible; any leg with nowhere to go is a missing actor or system — add it or record it as a candidate risk for Step 7.</w:t>
      </w:r>
    </w:p>
    <w:p>
      <w:pPr>
        <w:spacing w:after="80" w:before="100" w:line="264" w:lineRule="auto"/>
      </w:pPr>
      <w:r>
        <w:rPr>
          <w:rFonts w:ascii="Calibri" w:cs="Calibri" w:eastAsia="Calibri" w:hAnsi="Calibri"/>
          <w:b/>
          <w:bCs/>
          <w:i w:val="false"/>
          <w:iCs w:val="false"/>
          <w:color w:val="262626"/>
          <w:sz w:val="22"/>
          <w:szCs w:val="22"/>
        </w:rPr>
        <w:t xml:space="preserve">Template: Boundary inventory</w:t>
      </w:r>
    </w:p>
    <w:tbl>
      <w:tblPr>
        <w:tblW w:type="dxa" w:w="9746"/>
        <w:tblBorders>
          <w:top w:val="single" w:color="666666" w:sz="4"/>
          <w:left w:val="single" w:color="666666" w:sz="4"/>
          <w:bottom w:val="single" w:color="666666" w:sz="4"/>
          <w:right w:val="single" w:color="666666" w:sz="4"/>
          <w:insideH w:val="single" w:color="666666" w:sz="4"/>
          <w:insideV w:val="single" w:color="666666" w:sz="4"/>
        </w:tblBorders>
      </w:tblPr>
      <w:tblGrid>
        <w:gridCol w:w="2500"/>
        <w:gridCol w:w="2946"/>
        <w:gridCol w:w="2200"/>
        <w:gridCol w:w="2100"/>
      </w:tblGrid>
      <w:tr>
        <w:trPr>
          <w:tblHeader/>
        </w:trPr>
        <w:tc>
          <w:tcPr>
            <w:tcW w:type="dxa" w:w="25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Element (actor / external system)</w:t>
            </w:r>
          </w:p>
        </w:tc>
        <w:tc>
          <w:tcPr>
            <w:tcW w:type="dxa" w:w="2946"/>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In or out flows (labels on its arrows)</w:t>
            </w:r>
          </w:p>
        </w:tc>
        <w:tc>
          <w:tcPr>
            <w:tcW w:type="dxa" w:w="22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Why it is there (story / driver ID)</w:t>
            </w:r>
          </w:p>
        </w:tc>
        <w:tc>
          <w:tcPr>
            <w:tcW w:type="dxa" w:w="21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Assumption? (owner who confirms)</w:t>
            </w:r>
          </w:p>
        </w:tc>
      </w:tr>
      <w:tr>
        <w:tc>
          <w:tcPr>
            <w:tcW w:type="dxa" w:w="2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1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2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1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2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1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2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1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2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1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2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9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1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bl>
    <w:p>
      <w:pPr>
        <w:spacing w:after="80" w:before="100" w:line="264" w:lineRule="auto"/>
      </w:pPr>
      <w:r>
        <w:rPr>
          <w:rFonts w:ascii="Calibri" w:cs="Calibri" w:eastAsia="Calibri" w:hAnsi="Calibri"/>
          <w:b/>
          <w:bCs/>
          <w:i w:val="false"/>
          <w:iCs w:val="false"/>
          <w:color w:val="262626"/>
          <w:sz w:val="22"/>
          <w:szCs w:val="22"/>
        </w:rPr>
        <w:t xml:space="preserve">Expected output</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A context diagram with BLB as one box, every user type and every external system from the brief and your backlog — nothing invented silently.</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Every arrow labelled with what flows, not "uses" or "talks to".</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A boundary inventory with every element traced to a story or driver ID; unsupported elements removed.</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The Must-story walk done at context level; anything missing (payments is the usual catch) recorded as an assumption or a candidate risk for Step 7.</w:t>
      </w:r>
    </w:p>
    <w:p>
      <w:pPr>
        <w:pageBreakBefore/>
        <w:spacing w:after="0" w:before="0" w:line="264" w:lineRule="auto"/>
      </w:pPr>
      <w:r>
        <w:rPr>
          <w:rFonts w:ascii="Calibri" w:cs="Calibri" w:eastAsia="Calibri" w:hAnsi="Calibri"/>
          <w:b w:val="false"/>
          <w:bCs w:val="false"/>
          <w:i w:val="false"/>
          <w:iCs w:val="false"/>
          <w:color w:val="262626"/>
          <w:sz w:val="21"/>
          <w:szCs w:val="21"/>
        </w:rPr>
        <w:t xml:space="preserve"/>
      </w:r>
    </w:p>
    <w:p>
      <w:pPr>
        <w:spacing w:after="140" w:before="120" w:line="264" w:lineRule="auto"/>
      </w:pPr>
      <w:r>
        <w:rPr>
          <w:rFonts w:ascii="Calibri" w:cs="Calibri" w:eastAsia="Calibri" w:hAnsi="Calibri"/>
          <w:b/>
          <w:bCs/>
          <w:i w:val="false"/>
          <w:iCs w:val="false"/>
          <w:color w:val="0E7C7B"/>
          <w:sz w:val="26"/>
          <w:szCs w:val="26"/>
        </w:rPr>
        <w:t xml:space="preserve">Step 4 — Decompose into microservices (25 min)</w:t>
      </w:r>
    </w:p>
    <w:p>
      <w:pPr>
        <w:spacing w:after="80" w:before="100" w:line="264" w:lineRule="auto"/>
      </w:pPr>
      <w:r>
        <w:rPr>
          <w:rFonts w:ascii="Calibri" w:cs="Calibri" w:eastAsia="Calibri" w:hAnsi="Calibri"/>
          <w:b/>
          <w:bCs/>
          <w:i w:val="false"/>
          <w:iCs w:val="false"/>
          <w:color w:val="262626"/>
          <w:sz w:val="22"/>
          <w:szCs w:val="22"/>
        </w:rPr>
        <w:t xml:space="preserve">Purpose</w:t>
      </w:r>
    </w:p>
    <w:p>
      <w:pPr>
        <w:spacing w:after="120" w:before="0" w:line="264" w:lineRule="auto"/>
      </w:pPr>
      <w:r>
        <w:rPr>
          <w:rFonts w:ascii="Calibri" w:cs="Calibri" w:eastAsia="Calibri" w:hAnsi="Calibri"/>
          <w:b w:val="false"/>
          <w:bCs w:val="false"/>
          <w:i w:val="false"/>
          <w:iCs w:val="false"/>
          <w:color w:val="262626"/>
          <w:sz w:val="21"/>
          <w:szCs w:val="21"/>
        </w:rPr>
        <w:t xml:space="preserve">Now cut the inside of the box into services. A good decomposition gives each service one responsibility and its own data, and decides per service how it talks — request/response or event-driven. This is where the reference patterns from the course stop being slideware and become your design.</w:t>
      </w:r>
    </w:p>
    <w:p>
      <w:pPr>
        <w:spacing w:after="80" w:before="100" w:line="264" w:lineRule="auto"/>
      </w:pPr>
      <w:r>
        <w:rPr>
          <w:rFonts w:ascii="Calibri" w:cs="Calibri" w:eastAsia="Calibri" w:hAnsi="Calibri"/>
          <w:b/>
          <w:bCs/>
          <w:i w:val="false"/>
          <w:iCs w:val="false"/>
          <w:color w:val="262626"/>
          <w:sz w:val="22"/>
          <w:szCs w:val="22"/>
        </w:rPr>
        <w:t xml:space="preserve">Instructions</w:t>
      </w:r>
    </w:p>
    <w:p>
      <w:pPr>
        <w:pStyle w:val="ListParagraph"/>
        <w:numPr>
          <w:ilvl w:val="0"/>
          <w:numId w:val="6"/>
        </w:numPr>
        <w:spacing w:after="80" w:before="0" w:line="264" w:lineRule="auto"/>
      </w:pPr>
      <w:r>
        <w:rPr>
          <w:rFonts w:ascii="Calibri" w:cs="Calibri" w:eastAsia="Calibri" w:hAnsi="Calibri"/>
          <w:b w:val="false"/>
          <w:bCs w:val="false"/>
          <w:i w:val="false"/>
          <w:iCs w:val="false"/>
          <w:color w:val="262626"/>
          <w:sz w:val="21"/>
          <w:szCs w:val="21"/>
        </w:rPr>
        <w:t xml:space="preserve">Start from your functional drivers and Must stories and group them into candidate services, each with a single responsibility — for BLB expect something like: bond catalogue &amp; search, market data ingest, customer &amp; suitability, order / buy flow, confirmation &amp; regulatory records. Aim for 4–7 services; more than that is slicing for fashion at this scale.</w:t>
      </w:r>
    </w:p>
    <w:p>
      <w:pPr>
        <w:pStyle w:val="ListParagraph"/>
        <w:numPr>
          <w:ilvl w:val="0"/>
          <w:numId w:val="6"/>
        </w:numPr>
        <w:spacing w:after="80" w:before="0" w:line="264" w:lineRule="auto"/>
      </w:pPr>
      <w:r>
        <w:rPr>
          <w:rFonts w:ascii="Calibri" w:cs="Calibri" w:eastAsia="Calibri" w:hAnsi="Calibri"/>
          <w:b w:val="false"/>
          <w:bCs w:val="false"/>
          <w:i w:val="false"/>
          <w:iCs w:val="false"/>
          <w:color w:val="262626"/>
          <w:sz w:val="21"/>
          <w:szCs w:val="21"/>
        </w:rPr>
        <w:t xml:space="preserve">For each service write one line of responsibility, the stories it serves, and the data it owns. Apply the ownership rule: a service owns its data, and no two services write the same store. If two services need to write the same data, the cut is wrong — recut.</w:t>
      </w:r>
    </w:p>
    <w:p>
      <w:pPr>
        <w:pStyle w:val="ListParagraph"/>
        <w:numPr>
          <w:ilvl w:val="0"/>
          <w:numId w:val="6"/>
        </w:numPr>
        <w:spacing w:after="80" w:before="0" w:line="264" w:lineRule="auto"/>
      </w:pPr>
      <w:r>
        <w:rPr>
          <w:rFonts w:ascii="Calibri" w:cs="Calibri" w:eastAsia="Calibri" w:hAnsi="Calibri"/>
          <w:b w:val="false"/>
          <w:bCs w:val="false"/>
          <w:i w:val="false"/>
          <w:iCs w:val="false"/>
          <w:color w:val="262626"/>
          <w:sz w:val="21"/>
          <w:szCs w:val="21"/>
        </w:rPr>
        <w:t xml:space="preserve">Decide the interaction style per service, not one style for the whole system: request/response (a synchronous API — natural for search and price lookups) or event-driven (publishes and consumes events asynchronously — natural for order placement, confirmations, record-keeping). Name the key APIs a service exposes or the events it publishes and consumes, and justify the style in one line against a driving scenario.</w:t>
      </w:r>
    </w:p>
    <w:p>
      <w:pPr>
        <w:pStyle w:val="ListParagraph"/>
        <w:numPr>
          <w:ilvl w:val="0"/>
          <w:numId w:val="6"/>
        </w:numPr>
        <w:spacing w:after="80" w:before="0" w:line="264" w:lineRule="auto"/>
      </w:pPr>
      <w:r>
        <w:rPr>
          <w:rFonts w:ascii="Calibri" w:cs="Calibri" w:eastAsia="Calibri" w:hAnsi="Calibri"/>
          <w:b w:val="false"/>
          <w:bCs w:val="false"/>
          <w:i w:val="false"/>
          <w:iCs w:val="false"/>
          <w:color w:val="262626"/>
          <w:sz w:val="21"/>
          <w:szCs w:val="21"/>
        </w:rPr>
        <w:t xml:space="preserve">Draw the service diagram: the services inside the BLB boundary, solid arrows for request/response calls, dashed arrows for events, and the external systems from your Step 3 context diagram at the edges. Every external arrow on the context diagram must land on exactly one service.</w:t>
      </w:r>
    </w:p>
    <w:p>
      <w:pPr>
        <w:pStyle w:val="ListParagraph"/>
        <w:numPr>
          <w:ilvl w:val="0"/>
          <w:numId w:val="6"/>
        </w:numPr>
        <w:spacing w:after="80" w:before="0" w:line="264" w:lineRule="auto"/>
      </w:pPr>
      <w:r>
        <w:rPr>
          <w:rFonts w:ascii="Calibri" w:cs="Calibri" w:eastAsia="Calibri" w:hAnsi="Calibri"/>
          <w:b w:val="false"/>
          <w:bCs w:val="false"/>
          <w:i w:val="false"/>
          <w:iCs w:val="false"/>
          <w:color w:val="262626"/>
          <w:sz w:val="21"/>
          <w:szCs w:val="21"/>
        </w:rPr>
        <w:t xml:space="preserve">Walk each driving scenario across the diagram. A story that crosses four or more services to complete is a chatty path — flag it as a candidate risk for Step 7.</w:t>
      </w:r>
    </w:p>
    <w:p>
      <w:pPr>
        <w:spacing w:after="80" w:before="100" w:line="264" w:lineRule="auto"/>
      </w:pPr>
      <w:r>
        <w:rPr>
          <w:rFonts w:ascii="Calibri" w:cs="Calibri" w:eastAsia="Calibri" w:hAnsi="Calibri"/>
          <w:b/>
          <w:bCs/>
          <w:i w:val="false"/>
          <w:iCs w:val="false"/>
          <w:color w:val="262626"/>
          <w:sz w:val="22"/>
          <w:szCs w:val="22"/>
        </w:rPr>
        <w:t xml:space="preserve">Template: Service catalogue</w:t>
      </w:r>
    </w:p>
    <w:tbl>
      <w:tblPr>
        <w:tblW w:type="dxa" w:w="9746"/>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2346"/>
        <w:gridCol w:w="1500"/>
        <w:gridCol w:w="1500"/>
        <w:gridCol w:w="2900"/>
      </w:tblGrid>
      <w:tr>
        <w:trPr>
          <w:tblHeader/>
        </w:trPr>
        <w:tc>
          <w:tcPr>
            <w:tcW w:type="dxa" w:w="15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Service</w:t>
            </w:r>
          </w:p>
        </w:tc>
        <w:tc>
          <w:tcPr>
            <w:tcW w:type="dxa" w:w="2346"/>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Responsibility (one line)</w:t>
            </w:r>
          </w:p>
        </w:tc>
        <w:tc>
          <w:tcPr>
            <w:tcW w:type="dxa" w:w="15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Serves stories / scenarios</w:t>
            </w:r>
          </w:p>
        </w:tc>
        <w:tc>
          <w:tcPr>
            <w:tcW w:type="dxa" w:w="15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Data it owns</w:t>
            </w:r>
          </w:p>
        </w:tc>
        <w:tc>
          <w:tcPr>
            <w:tcW w:type="dxa" w:w="29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Style (Req/Resp or Event-driven) + key APIs / events</w:t>
            </w:r>
          </w:p>
        </w:tc>
      </w:tr>
      <w:tr>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bl>
    <w:p>
      <w:pPr>
        <w:spacing w:after="80" w:before="100" w:line="264" w:lineRule="auto"/>
      </w:pPr>
      <w:r>
        <w:rPr>
          <w:rFonts w:ascii="Calibri" w:cs="Calibri" w:eastAsia="Calibri" w:hAnsi="Calibri"/>
          <w:b/>
          <w:bCs/>
          <w:i w:val="false"/>
          <w:iCs w:val="false"/>
          <w:color w:val="262626"/>
          <w:sz w:val="22"/>
          <w:szCs w:val="22"/>
        </w:rPr>
        <w:t xml:space="preserve">Expected output</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4–7 services, each with a single responsibility and its own data — no store written by two services.</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An interaction style decided per service with a one-line justification tied to a driving scenario; at least one service request/response and at least one event-driven, each defended rather than fashionable.</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A service diagram that distinguishes synchronous calls from events, with every context-diagram arrow landing on exactly one service.</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Driving scenarios walked across the diagram; chatty paths (4+ services per story) flagged as candidate risks for Step 7.</w:t>
      </w:r>
    </w:p>
    <w:p>
      <w:pPr>
        <w:pageBreakBefore/>
        <w:spacing w:after="0" w:before="0" w:line="264" w:lineRule="auto"/>
      </w:pPr>
      <w:r>
        <w:rPr>
          <w:rFonts w:ascii="Calibri" w:cs="Calibri" w:eastAsia="Calibri" w:hAnsi="Calibri"/>
          <w:b w:val="false"/>
          <w:bCs w:val="false"/>
          <w:i w:val="false"/>
          <w:iCs w:val="false"/>
          <w:color w:val="262626"/>
          <w:sz w:val="21"/>
          <w:szCs w:val="21"/>
        </w:rPr>
        <w:t xml:space="preserve"/>
      </w:r>
    </w:p>
    <w:p>
      <w:pPr>
        <w:spacing w:after="140" w:before="120" w:line="264" w:lineRule="auto"/>
      </w:pPr>
      <w:r>
        <w:rPr>
          <w:rFonts w:ascii="Calibri" w:cs="Calibri" w:eastAsia="Calibri" w:hAnsi="Calibri"/>
          <w:b/>
          <w:bCs/>
          <w:i w:val="false"/>
          <w:iCs w:val="false"/>
          <w:color w:val="0E7C7B"/>
          <w:sz w:val="26"/>
          <w:szCs w:val="26"/>
        </w:rPr>
        <w:t xml:space="preserve">Step 5 — Map the cloud architecture: compute and storage per service (20 min)</w:t>
      </w:r>
    </w:p>
    <w:p>
      <w:pPr>
        <w:spacing w:after="80" w:before="100" w:line="264" w:lineRule="auto"/>
      </w:pPr>
      <w:r>
        <w:rPr>
          <w:rFonts w:ascii="Calibri" w:cs="Calibri" w:eastAsia="Calibri" w:hAnsi="Calibri"/>
          <w:b/>
          <w:bCs/>
          <w:i w:val="false"/>
          <w:iCs w:val="false"/>
          <w:color w:val="262626"/>
          <w:sz w:val="22"/>
          <w:szCs w:val="22"/>
        </w:rPr>
        <w:t xml:space="preserve">Purpose</w:t>
      </w:r>
    </w:p>
    <w:p>
      <w:pPr>
        <w:spacing w:after="120" w:before="0" w:line="264" w:lineRule="auto"/>
      </w:pPr>
      <w:r>
        <w:rPr>
          <w:rFonts w:ascii="Calibri" w:cs="Calibri" w:eastAsia="Calibri" w:hAnsi="Calibri"/>
          <w:b w:val="false"/>
          <w:bCs w:val="false"/>
          <w:i w:val="false"/>
          <w:iCs w:val="false"/>
          <w:color w:val="262626"/>
          <w:sz w:val="21"/>
          <w:szCs w:val="21"/>
        </w:rPr>
        <w:t xml:space="preserve">A service is not deployable until it has compute to run on and storage to own. This step forces the choice for every service — and forbids one lazy answer for all of them. Choices are made vendor-neutral first, then mapped to the specific cloud service, with cost argued, not assumed.</w:t>
      </w:r>
    </w:p>
    <w:p>
      <w:pPr>
        <w:spacing w:after="80" w:before="100" w:line="264" w:lineRule="auto"/>
      </w:pPr>
      <w:r>
        <w:rPr>
          <w:rFonts w:ascii="Calibri" w:cs="Calibri" w:eastAsia="Calibri" w:hAnsi="Calibri"/>
          <w:b/>
          <w:bCs/>
          <w:i w:val="false"/>
          <w:iCs w:val="false"/>
          <w:color w:val="262626"/>
          <w:sz w:val="22"/>
          <w:szCs w:val="22"/>
        </w:rPr>
        <w:t xml:space="preserve">Instructions</w:t>
      </w:r>
    </w:p>
    <w:p>
      <w:pPr>
        <w:pStyle w:val="ListParagraph"/>
        <w:numPr>
          <w:ilvl w:val="0"/>
          <w:numId w:val="7"/>
        </w:numPr>
        <w:spacing w:after="80" w:before="0" w:line="264" w:lineRule="auto"/>
      </w:pPr>
      <w:r>
        <w:rPr>
          <w:rFonts w:ascii="Calibri" w:cs="Calibri" w:eastAsia="Calibri" w:hAnsi="Calibri"/>
          <w:b w:val="false"/>
          <w:bCs w:val="false"/>
          <w:i w:val="false"/>
          <w:iCs w:val="false"/>
          <w:color w:val="262626"/>
          <w:sz w:val="21"/>
          <w:szCs w:val="21"/>
        </w:rPr>
        <w:t xml:space="preserve">For each service choose its compute: virtual machines (IaaS), containers on a managed Kubernetes cluster, serverless containers (e.g. Cloud Run), or functions (e.g. Cloud Functions). Justify against the service's traffic shape and driving scenarios — does it need scale-to-zero, burst scaling, steady throughput, or special runtime control? — and against operational effort: who patches what at each choice.</w:t>
      </w:r>
    </w:p>
    <w:p>
      <w:pPr>
        <w:pStyle w:val="ListParagraph"/>
        <w:numPr>
          <w:ilvl w:val="0"/>
          <w:numId w:val="7"/>
        </w:numPr>
        <w:spacing w:after="80" w:before="0" w:line="264" w:lineRule="auto"/>
      </w:pPr>
      <w:r>
        <w:rPr>
          <w:rFonts w:ascii="Calibri" w:cs="Calibri" w:eastAsia="Calibri" w:hAnsi="Calibri"/>
          <w:b w:val="false"/>
          <w:bCs w:val="false"/>
          <w:i w:val="false"/>
          <w:iCs w:val="false"/>
          <w:color w:val="262626"/>
          <w:sz w:val="21"/>
          <w:szCs w:val="21"/>
        </w:rPr>
        <w:t xml:space="preserve">For each service choose the kind of storage for the data it owns: relational (e.g. Cloud SQL), document (e.g. Firestore), cache (e.g. Memorystore), object storage (e.g. Cloud Storage) — and the messaging backbone for your event-driven services (e.g. Pub/Sub). Let consistency needs decide: the order flow and the regulatory record need transactional, durable answers; the search catalogue and market data cache do not.</w:t>
      </w:r>
    </w:p>
    <w:p>
      <w:pPr>
        <w:pStyle w:val="ListParagraph"/>
        <w:numPr>
          <w:ilvl w:val="0"/>
          <w:numId w:val="7"/>
        </w:numPr>
        <w:spacing w:after="80" w:before="0" w:line="264" w:lineRule="auto"/>
      </w:pPr>
      <w:r>
        <w:rPr>
          <w:rFonts w:ascii="Calibri" w:cs="Calibri" w:eastAsia="Calibri" w:hAnsi="Calibri"/>
          <w:b w:val="false"/>
          <w:bCs w:val="false"/>
          <w:i w:val="false"/>
          <w:iCs w:val="false"/>
          <w:color w:val="262626"/>
          <w:sz w:val="21"/>
          <w:szCs w:val="21"/>
        </w:rPr>
        <w:t xml:space="preserve">Add rows for the cross-cutting pieces every service leans on: identity and access (Meridian's existing customers sign in — federate, don't rebuild), and monitoring / logging.</w:t>
      </w:r>
    </w:p>
    <w:p>
      <w:pPr>
        <w:pStyle w:val="ListParagraph"/>
        <w:numPr>
          <w:ilvl w:val="0"/>
          <w:numId w:val="7"/>
        </w:numPr>
        <w:spacing w:after="80" w:before="0" w:line="264" w:lineRule="auto"/>
      </w:pPr>
      <w:r>
        <w:rPr>
          <w:rFonts w:ascii="Calibri" w:cs="Calibri" w:eastAsia="Calibri" w:hAnsi="Calibri"/>
          <w:b w:val="false"/>
          <w:bCs w:val="false"/>
          <w:i w:val="false"/>
          <w:iCs w:val="false"/>
          <w:color w:val="262626"/>
          <w:sz w:val="21"/>
          <w:szCs w:val="21"/>
        </w:rPr>
        <w:t xml:space="preserve">Check the map against the cost driver: mark the two most expensive rows and state in one line what you would change if the budget — still unapproved in the brief — comes back small. That line is evidence for the cost ADR in Step 6.</w:t>
      </w:r>
    </w:p>
    <w:p>
      <w:pPr>
        <w:spacing w:after="80" w:before="100" w:line="264" w:lineRule="auto"/>
      </w:pPr>
      <w:r>
        <w:rPr>
          <w:rFonts w:ascii="Calibri" w:cs="Calibri" w:eastAsia="Calibri" w:hAnsi="Calibri"/>
          <w:b/>
          <w:bCs/>
          <w:i w:val="false"/>
          <w:iCs w:val="false"/>
          <w:color w:val="262626"/>
          <w:sz w:val="22"/>
          <w:szCs w:val="22"/>
        </w:rPr>
        <w:t xml:space="preserve">Template: Cloud architecture map</w:t>
      </w:r>
    </w:p>
    <w:tbl>
      <w:tblPr>
        <w:tblW w:type="dxa" w:w="9746"/>
        <w:tblBorders>
          <w:top w:val="single" w:color="666666" w:sz="4"/>
          <w:left w:val="single" w:color="666666" w:sz="4"/>
          <w:bottom w:val="single" w:color="666666" w:sz="4"/>
          <w:right w:val="single" w:color="666666" w:sz="4"/>
          <w:insideH w:val="single" w:color="666666" w:sz="4"/>
          <w:insideV w:val="single" w:color="666666" w:sz="4"/>
        </w:tblBorders>
      </w:tblPr>
      <w:tblGrid>
        <w:gridCol w:w="1700"/>
        <w:gridCol w:w="1200"/>
        <w:gridCol w:w="2300"/>
        <w:gridCol w:w="2300"/>
        <w:gridCol w:w="2246"/>
      </w:tblGrid>
      <w:tr>
        <w:trPr>
          <w:tblHeader/>
        </w:trPr>
        <w:tc>
          <w:tcPr>
            <w:tcW w:type="dxa" w:w="17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Service / component</w:t>
            </w:r>
          </w:p>
        </w:tc>
        <w:tc>
          <w:tcPr>
            <w:tcW w:type="dxa" w:w="12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Style (from Step 4)</w:t>
            </w:r>
          </w:p>
        </w:tc>
        <w:tc>
          <w:tcPr>
            <w:tcW w:type="dxa" w:w="23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Compute (vendor-neutral → cloud service)</w:t>
            </w:r>
          </w:p>
        </w:tc>
        <w:tc>
          <w:tcPr>
            <w:tcW w:type="dxa" w:w="23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Storage / database (vendor-neutral → cloud service)</w:t>
            </w:r>
          </w:p>
        </w:tc>
        <w:tc>
          <w:tcPr>
            <w:tcW w:type="dxa" w:w="2246"/>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Why (scenario / cost, one line)</w:t>
            </w:r>
          </w:p>
        </w:tc>
      </w:tr>
      <w:tr>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bl>
    <w:p>
      <w:pPr>
        <w:spacing w:after="80" w:before="100" w:line="264" w:lineRule="auto"/>
      </w:pPr>
      <w:r>
        <w:rPr>
          <w:rFonts w:ascii="Calibri" w:cs="Calibri" w:eastAsia="Calibri" w:hAnsi="Calibri"/>
          <w:b/>
          <w:bCs/>
          <w:i w:val="false"/>
          <w:iCs w:val="false"/>
          <w:color w:val="262626"/>
          <w:sz w:val="22"/>
          <w:szCs w:val="22"/>
        </w:rPr>
        <w:t xml:space="preserve">Expected output</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Every service mapped to a compute choice and a storage choice, vendor-neutral term first, specific cloud service second.</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No single answer for everything: where two services get the same compute or storage, the sameness is justified, not defaulted.</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The regulatory record mapped to storage that satisfies the record-keeping obligation, with its durability / retention argument stated.</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Cross-cutting rows present (identity federated from Meridian, monitoring / logging, event backbone).</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The two most expensive rows marked, each with a one-line fallback if the budget comes back small.</w:t>
      </w:r>
    </w:p>
    <w:p>
      <w:pPr>
        <w:pageBreakBefore/>
        <w:spacing w:after="0" w:before="0" w:line="264" w:lineRule="auto"/>
      </w:pPr>
      <w:r>
        <w:rPr>
          <w:rFonts w:ascii="Calibri" w:cs="Calibri" w:eastAsia="Calibri" w:hAnsi="Calibri"/>
          <w:b w:val="false"/>
          <w:bCs w:val="false"/>
          <w:i w:val="false"/>
          <w:iCs w:val="false"/>
          <w:color w:val="262626"/>
          <w:sz w:val="21"/>
          <w:szCs w:val="21"/>
        </w:rPr>
        <w:t xml:space="preserve"/>
      </w:r>
    </w:p>
    <w:p>
      <w:pPr>
        <w:spacing w:after="140" w:before="120" w:line="264" w:lineRule="auto"/>
      </w:pPr>
      <w:r>
        <w:rPr>
          <w:rFonts w:ascii="Calibri" w:cs="Calibri" w:eastAsia="Calibri" w:hAnsi="Calibri"/>
          <w:b/>
          <w:bCs/>
          <w:i w:val="false"/>
          <w:iCs w:val="false"/>
          <w:color w:val="0E7C7B"/>
          <w:sz w:val="26"/>
          <w:szCs w:val="26"/>
        </w:rPr>
        <w:t xml:space="preserve">Step 6 — Record the decisions as ADRs (15 min)</w:t>
      </w:r>
    </w:p>
    <w:p>
      <w:pPr>
        <w:spacing w:after="80" w:before="100" w:line="264" w:lineRule="auto"/>
      </w:pPr>
      <w:r>
        <w:rPr>
          <w:rFonts w:ascii="Calibri" w:cs="Calibri" w:eastAsia="Calibri" w:hAnsi="Calibri"/>
          <w:b/>
          <w:bCs/>
          <w:i w:val="false"/>
          <w:iCs w:val="false"/>
          <w:color w:val="262626"/>
          <w:sz w:val="22"/>
          <w:szCs w:val="22"/>
        </w:rPr>
        <w:t xml:space="preserve">Purpose</w:t>
      </w:r>
    </w:p>
    <w:p>
      <w:pPr>
        <w:spacing w:after="120" w:before="0" w:line="264" w:lineRule="auto"/>
      </w:pPr>
      <w:r>
        <w:rPr>
          <w:rFonts w:ascii="Calibri" w:cs="Calibri" w:eastAsia="Calibri" w:hAnsi="Calibri"/>
          <w:b w:val="false"/>
          <w:bCs w:val="false"/>
          <w:i w:val="false"/>
          <w:iCs w:val="false"/>
          <w:color w:val="262626"/>
          <w:sz w:val="21"/>
          <w:szCs w:val="21"/>
        </w:rPr>
        <w:t xml:space="preserve">The diagrams show what was decided; an architecture decision record shows why, what else was on the table, and what it costs. Six months from now the ADR is the only defence against re-litigating the decision from scratch.</w:t>
      </w:r>
    </w:p>
    <w:p>
      <w:pPr>
        <w:spacing w:after="80" w:before="100" w:line="264" w:lineRule="auto"/>
      </w:pPr>
      <w:r>
        <w:rPr>
          <w:rFonts w:ascii="Calibri" w:cs="Calibri" w:eastAsia="Calibri" w:hAnsi="Calibri"/>
          <w:b/>
          <w:bCs/>
          <w:i w:val="false"/>
          <w:iCs w:val="false"/>
          <w:color w:val="262626"/>
          <w:sz w:val="22"/>
          <w:szCs w:val="22"/>
        </w:rPr>
        <w:t xml:space="preserve">Instructions</w:t>
      </w:r>
    </w:p>
    <w:p>
      <w:pPr>
        <w:pStyle w:val="ListParagraph"/>
        <w:numPr>
          <w:ilvl w:val="0"/>
          <w:numId w:val="8"/>
        </w:numPr>
        <w:spacing w:after="80" w:before="0" w:line="264" w:lineRule="auto"/>
      </w:pPr>
      <w:r>
        <w:rPr>
          <w:rFonts w:ascii="Calibri" w:cs="Calibri" w:eastAsia="Calibri" w:hAnsi="Calibri"/>
          <w:b w:val="false"/>
          <w:bCs w:val="false"/>
          <w:i w:val="false"/>
          <w:iCs w:val="false"/>
          <w:color w:val="262626"/>
          <w:sz w:val="21"/>
          <w:szCs w:val="21"/>
        </w:rPr>
        <w:t xml:space="preserve">Rotate the Lead Architect role.</w:t>
      </w:r>
    </w:p>
    <w:p>
      <w:pPr>
        <w:pStyle w:val="ListParagraph"/>
        <w:numPr>
          <w:ilvl w:val="0"/>
          <w:numId w:val="8"/>
        </w:numPr>
        <w:spacing w:after="80" w:before="0" w:line="264" w:lineRule="auto"/>
      </w:pPr>
      <w:r>
        <w:rPr>
          <w:rFonts w:ascii="Calibri" w:cs="Calibri" w:eastAsia="Calibri" w:hAnsi="Calibri"/>
          <w:b w:val="false"/>
          <w:bCs w:val="false"/>
          <w:i w:val="false"/>
          <w:iCs w:val="false"/>
          <w:color w:val="262626"/>
          <w:sz w:val="21"/>
          <w:szCs w:val="21"/>
        </w:rPr>
        <w:t xml:space="preserve">Pick the three most consequential decisions embedded in your Steps 3–5 design — the ones that would be expensive to reverse — not the three easiest to write up. At least one must record a compute or database choice from the cloud architecture map.</w:t>
      </w:r>
    </w:p>
    <w:p>
      <w:pPr>
        <w:pStyle w:val="ListParagraph"/>
        <w:numPr>
          <w:ilvl w:val="0"/>
          <w:numId w:val="8"/>
        </w:numPr>
        <w:spacing w:after="80" w:before="0" w:line="264" w:lineRule="auto"/>
      </w:pPr>
      <w:r>
        <w:rPr>
          <w:rFonts w:ascii="Calibri" w:cs="Calibri" w:eastAsia="Calibri" w:hAnsi="Calibri"/>
          <w:b w:val="false"/>
          <w:bCs w:val="false"/>
          <w:i w:val="false"/>
          <w:iCs w:val="false"/>
          <w:color w:val="262626"/>
          <w:sz w:val="21"/>
          <w:szCs w:val="21"/>
        </w:rPr>
        <w:t xml:space="preserve">Write each as an ADR: context (2–3 sentences), options considered (at least two real options, not one option and a strawman), the decision, and the consequences — good and bad.</w:t>
      </w:r>
    </w:p>
    <w:p>
      <w:pPr>
        <w:pStyle w:val="ListParagraph"/>
        <w:numPr>
          <w:ilvl w:val="0"/>
          <w:numId w:val="8"/>
        </w:numPr>
        <w:spacing w:after="80" w:before="0" w:line="264" w:lineRule="auto"/>
      </w:pPr>
      <w:r>
        <w:rPr>
          <w:rFonts w:ascii="Calibri" w:cs="Calibri" w:eastAsia="Calibri" w:hAnsi="Calibri"/>
          <w:b w:val="false"/>
          <w:bCs w:val="false"/>
          <w:i w:val="false"/>
          <w:iCs w:val="false"/>
          <w:color w:val="262626"/>
          <w:sz w:val="21"/>
          <w:szCs w:val="21"/>
        </w:rPr>
        <w:t xml:space="preserve">At least one ADR must be decided primarily on cost or effort: the cheaper or simpler option won over the technically nicer one. Make the cost logic visible in the consequences.</w:t>
      </w:r>
    </w:p>
    <w:p>
      <w:pPr>
        <w:pStyle w:val="ListParagraph"/>
        <w:numPr>
          <w:ilvl w:val="0"/>
          <w:numId w:val="8"/>
        </w:numPr>
        <w:spacing w:after="80" w:before="0" w:line="264" w:lineRule="auto"/>
      </w:pPr>
      <w:r>
        <w:rPr>
          <w:rFonts w:ascii="Calibri" w:cs="Calibri" w:eastAsia="Calibri" w:hAnsi="Calibri"/>
          <w:b w:val="false"/>
          <w:bCs w:val="false"/>
          <w:i w:val="false"/>
          <w:iCs w:val="false"/>
          <w:color w:val="262626"/>
          <w:sz w:val="21"/>
          <w:szCs w:val="21"/>
        </w:rPr>
        <w:t xml:space="preserve">Set status Accepted, and note in one line what future event would reopen the decision.</w:t>
      </w:r>
    </w:p>
    <w:p>
      <w:pPr>
        <w:spacing w:after="80" w:before="100" w:line="264" w:lineRule="auto"/>
      </w:pPr>
      <w:r>
        <w:rPr>
          <w:rFonts w:ascii="Calibri" w:cs="Calibri" w:eastAsia="Calibri" w:hAnsi="Calibri"/>
          <w:b/>
          <w:bCs/>
          <w:i w:val="false"/>
          <w:iCs w:val="false"/>
          <w:color w:val="262626"/>
          <w:sz w:val="22"/>
          <w:szCs w:val="22"/>
        </w:rPr>
        <w:t xml:space="preserve">Template: Architecture decision record</w:t>
      </w:r>
    </w:p>
    <w:tbl>
      <w:tblPr>
        <w:tblW w:type="dxa" w:w="9746"/>
        <w:tblBorders>
          <w:top w:val="single" w:color="666666" w:sz="4"/>
          <w:left w:val="single" w:color="666666" w:sz="4"/>
          <w:bottom w:val="single" w:color="666666" w:sz="4"/>
          <w:right w:val="single" w:color="666666" w:sz="4"/>
          <w:insideH w:val="single" w:color="666666" w:sz="4"/>
          <w:insideV w:val="single" w:color="666666" w:sz="4"/>
        </w:tblBorders>
      </w:tblPr>
      <w:tblGrid>
        <w:gridCol w:w="2400"/>
        <w:gridCol w:w="7346"/>
      </w:tblGrid>
      <w:tr>
        <w:trPr>
          <w:tblHeader/>
        </w:trPr>
        <w:tc>
          <w:tcPr>
            <w:tcW w:type="dxa" w:w="24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Field</w:t>
            </w:r>
          </w:p>
        </w:tc>
        <w:tc>
          <w:tcPr>
            <w:tcW w:type="dxa" w:w="7346"/>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Content</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ADR ID / Title</w:t>
            </w:r>
          </w:p>
        </w:tc>
        <w:tc>
          <w:tcPr>
            <w:tcW w:type="dxa" w:w="7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ADR&lt;n&gt;: short verb phrase, e.g. "Serve market data through a read-through cache"</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Status</w:t>
            </w:r>
          </w:p>
        </w:tc>
        <w:tc>
          <w:tcPr>
            <w:tcW w:type="dxa" w:w="7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Accepted — and what would reopen it</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Context</w:t>
            </w:r>
          </w:p>
        </w:tc>
        <w:tc>
          <w:tcPr>
            <w:tcW w:type="dxa" w:w="7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2–3 sentences: the forces at work, citing driving scenario / driver IDs</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Options considered</w:t>
            </w:r>
          </w:p>
        </w:tc>
        <w:tc>
          <w:tcPr>
            <w:tcW w:type="dxa" w:w="7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Option A … | Option B … (at least two real options)</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Decision</w:t>
            </w:r>
          </w:p>
        </w:tc>
        <w:tc>
          <w:tcPr>
            <w:tcW w:type="dxa" w:w="7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What was chosen</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Consequences</w:t>
            </w:r>
          </w:p>
        </w:tc>
        <w:tc>
          <w:tcPr>
            <w:tcW w:type="dxa" w:w="7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Good and bad, including cost and effort implications</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Traces to</w:t>
            </w:r>
          </w:p>
        </w:tc>
        <w:tc>
          <w:tcPr>
            <w:tcW w:type="dxa" w:w="73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Driving scenario / driver IDs</w:t>
            </w:r>
          </w:p>
        </w:tc>
      </w:tr>
    </w:tbl>
    <w:p>
      <w:pPr>
        <w:spacing w:after="80" w:before="100" w:line="264" w:lineRule="auto"/>
      </w:pPr>
      <w:r>
        <w:rPr>
          <w:rFonts w:ascii="Calibri" w:cs="Calibri" w:eastAsia="Calibri" w:hAnsi="Calibri"/>
          <w:b/>
          <w:bCs/>
          <w:i w:val="false"/>
          <w:iCs w:val="false"/>
          <w:color w:val="262626"/>
          <w:sz w:val="22"/>
          <w:szCs w:val="22"/>
        </w:rPr>
        <w:t xml:space="preserve">Expected output</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Three ADRs on genuinely consequential decisions, each with at least two real options considered; at least one records a compute or database choice.</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At least one ADR decided on cost or effort, with the reasoning visible — not asserted.</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Every ADR lists at least one negative consequence; an ADR with no downside is advertising, not a record.</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Every ADR traced to the driving scenarios or drivers it serves.</w:t>
      </w:r>
    </w:p>
    <w:p>
      <w:pPr>
        <w:pageBreakBefore/>
        <w:spacing w:after="0" w:before="0" w:line="264" w:lineRule="auto"/>
      </w:pPr>
      <w:r>
        <w:rPr>
          <w:rFonts w:ascii="Calibri" w:cs="Calibri" w:eastAsia="Calibri" w:hAnsi="Calibri"/>
          <w:b w:val="false"/>
          <w:bCs w:val="false"/>
          <w:i w:val="false"/>
          <w:iCs w:val="false"/>
          <w:color w:val="262626"/>
          <w:sz w:val="21"/>
          <w:szCs w:val="21"/>
        </w:rPr>
        <w:t xml:space="preserve"/>
      </w:r>
    </w:p>
    <w:p>
      <w:pPr>
        <w:spacing w:after="140" w:before="120" w:line="264" w:lineRule="auto"/>
      </w:pPr>
      <w:r>
        <w:rPr>
          <w:rFonts w:ascii="Calibri" w:cs="Calibri" w:eastAsia="Calibri" w:hAnsi="Calibri"/>
          <w:b/>
          <w:bCs/>
          <w:i w:val="false"/>
          <w:iCs w:val="false"/>
          <w:color w:val="0E7C7B"/>
          <w:sz w:val="26"/>
          <w:szCs w:val="26"/>
        </w:rPr>
        <w:t xml:space="preserve">Step 7 — Analyse the design: sensitivity, trade-offs, risks, non-risks (15 min)</w:t>
      </w:r>
    </w:p>
    <w:p>
      <w:pPr>
        <w:spacing w:after="80" w:before="100" w:line="264" w:lineRule="auto"/>
      </w:pPr>
      <w:r>
        <w:rPr>
          <w:rFonts w:ascii="Calibri" w:cs="Calibri" w:eastAsia="Calibri" w:hAnsi="Calibri"/>
          <w:b/>
          <w:bCs/>
          <w:i w:val="false"/>
          <w:iCs w:val="false"/>
          <w:color w:val="262626"/>
          <w:sz w:val="22"/>
          <w:szCs w:val="22"/>
        </w:rPr>
        <w:t xml:space="preserve">Purpose</w:t>
      </w:r>
    </w:p>
    <w:p>
      <w:pPr>
        <w:spacing w:after="120" w:before="0" w:line="264" w:lineRule="auto"/>
      </w:pPr>
      <w:r>
        <w:rPr>
          <w:rFonts w:ascii="Calibri" w:cs="Calibri" w:eastAsia="Calibri" w:hAnsi="Calibri"/>
          <w:b w:val="false"/>
          <w:bCs w:val="false"/>
          <w:i w:val="false"/>
          <w:iCs w:val="false"/>
          <w:color w:val="262626"/>
          <w:sz w:val="21"/>
          <w:szCs w:val="21"/>
        </w:rPr>
        <w:t xml:space="preserve">This is the analytical core of an architecture review. Walking driving scenarios against the design exposes where a single decision carries a response measure (a sensitivity point), where one decision pulls two attributes in opposite directions (a trade-off point), and what is genuinely risky versus examined-and-safe.</w:t>
      </w:r>
    </w:p>
    <w:p>
      <w:pPr>
        <w:spacing w:after="80" w:before="100" w:line="264" w:lineRule="auto"/>
      </w:pPr>
      <w:r>
        <w:rPr>
          <w:rFonts w:ascii="Calibri" w:cs="Calibri" w:eastAsia="Calibri" w:hAnsi="Calibri"/>
          <w:b/>
          <w:bCs/>
          <w:i w:val="false"/>
          <w:iCs w:val="false"/>
          <w:color w:val="262626"/>
          <w:sz w:val="22"/>
          <w:szCs w:val="22"/>
        </w:rPr>
        <w:t xml:space="preserve">Instructions</w:t>
      </w:r>
    </w:p>
    <w:p>
      <w:pPr>
        <w:pStyle w:val="ListParagraph"/>
        <w:numPr>
          <w:ilvl w:val="0"/>
          <w:numId w:val="9"/>
        </w:numPr>
        <w:spacing w:after="80" w:before="0" w:line="264" w:lineRule="auto"/>
      </w:pPr>
      <w:r>
        <w:rPr>
          <w:rFonts w:ascii="Calibri" w:cs="Calibri" w:eastAsia="Calibri" w:hAnsi="Calibri"/>
          <w:b w:val="false"/>
          <w:bCs w:val="false"/>
          <w:i w:val="false"/>
          <w:iCs w:val="false"/>
          <w:color w:val="262626"/>
          <w:sz w:val="21"/>
          <w:szCs w:val="21"/>
        </w:rPr>
        <w:t xml:space="preserve">Take each driving scenario from Step 2 and walk it through the service diagram and the cloud architecture map. Ask: which decisions does this scenario's response measure depend on? Each such decision is a sensitivity point — record it.</w:t>
      </w:r>
    </w:p>
    <w:p>
      <w:pPr>
        <w:pStyle w:val="ListParagraph"/>
        <w:numPr>
          <w:ilvl w:val="0"/>
          <w:numId w:val="9"/>
        </w:numPr>
        <w:spacing w:after="80" w:before="0" w:line="264" w:lineRule="auto"/>
      </w:pPr>
      <w:r>
        <w:rPr>
          <w:rFonts w:ascii="Calibri" w:cs="Calibri" w:eastAsia="Calibri" w:hAnsi="Calibri"/>
          <w:b w:val="false"/>
          <w:bCs w:val="false"/>
          <w:i w:val="false"/>
          <w:iCs w:val="false"/>
          <w:color w:val="262626"/>
          <w:sz w:val="21"/>
          <w:szCs w:val="21"/>
        </w:rPr>
        <w:t xml:space="preserve">Where one decision is a sensitivity point for two or more scenarios in opposite directions — it helps one attribute and hurts another — record it as a trade-off point and say which side you favoured and why.</w:t>
      </w:r>
    </w:p>
    <w:p>
      <w:pPr>
        <w:pStyle w:val="ListParagraph"/>
        <w:numPr>
          <w:ilvl w:val="0"/>
          <w:numId w:val="9"/>
        </w:numPr>
        <w:spacing w:after="80" w:before="0" w:line="264" w:lineRule="auto"/>
      </w:pPr>
      <w:r>
        <w:rPr>
          <w:rFonts w:ascii="Calibri" w:cs="Calibri" w:eastAsia="Calibri" w:hAnsi="Calibri"/>
          <w:b w:val="false"/>
          <w:bCs w:val="false"/>
          <w:i w:val="false"/>
          <w:iCs w:val="false"/>
          <w:color w:val="262626"/>
          <w:sz w:val="21"/>
          <w:szCs w:val="21"/>
        </w:rPr>
        <w:t xml:space="preserve">Record risks in the standard form: "Because &lt;decision or unknown&gt;, &lt;consequence&gt; may occur, affecting &lt;scenario / driver&gt;." Give every risk a status (Open / Mitigating / Accepted) and an owner. Fold in the candidate risks you flagged in Steps 3 and 4.</w:t>
      </w:r>
    </w:p>
    <w:p>
      <w:pPr>
        <w:pStyle w:val="ListParagraph"/>
        <w:numPr>
          <w:ilvl w:val="0"/>
          <w:numId w:val="9"/>
        </w:numPr>
        <w:spacing w:after="80" w:before="0" w:line="264" w:lineRule="auto"/>
      </w:pPr>
      <w:r>
        <w:rPr>
          <w:rFonts w:ascii="Calibri" w:cs="Calibri" w:eastAsia="Calibri" w:hAnsi="Calibri"/>
          <w:b w:val="false"/>
          <w:bCs w:val="false"/>
          <w:i w:val="false"/>
          <w:iCs w:val="false"/>
          <w:color w:val="262626"/>
          <w:sz w:val="21"/>
          <w:szCs w:val="21"/>
        </w:rPr>
        <w:t xml:space="preserve">Record non-risks too: decisions you examined and judged safe, each with its one-line argument. A review that produces only risks has not finished the analysis; a review that produces none has not started it.</w:t>
      </w:r>
    </w:p>
    <w:p>
      <w:pPr>
        <w:spacing w:after="80" w:before="100" w:line="264" w:lineRule="auto"/>
      </w:pPr>
      <w:r>
        <w:rPr>
          <w:rFonts w:ascii="Calibri" w:cs="Calibri" w:eastAsia="Calibri" w:hAnsi="Calibri"/>
          <w:b/>
          <w:bCs/>
          <w:i w:val="false"/>
          <w:iCs w:val="false"/>
          <w:color w:val="262626"/>
          <w:sz w:val="22"/>
          <w:szCs w:val="22"/>
        </w:rPr>
        <w:t xml:space="preserve">Template: Analysis register</w:t>
      </w:r>
    </w:p>
    <w:tbl>
      <w:tblPr>
        <w:tblW w:type="dxa" w:w="9746"/>
        <w:tblBorders>
          <w:top w:val="single" w:color="666666" w:sz="4"/>
          <w:left w:val="single" w:color="666666" w:sz="4"/>
          <w:bottom w:val="single" w:color="666666" w:sz="4"/>
          <w:right w:val="single" w:color="666666" w:sz="4"/>
          <w:insideH w:val="single" w:color="666666" w:sz="4"/>
          <w:insideV w:val="single" w:color="666666" w:sz="4"/>
        </w:tblBorders>
      </w:tblPr>
      <w:tblGrid>
        <w:gridCol w:w="1300"/>
        <w:gridCol w:w="3746"/>
        <w:gridCol w:w="1500"/>
        <w:gridCol w:w="1700"/>
        <w:gridCol w:w="1500"/>
      </w:tblGrid>
      <w:tr>
        <w:trPr>
          <w:tblHeader/>
        </w:trPr>
        <w:tc>
          <w:tcPr>
            <w:tcW w:type="dxa" w:w="13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ID (SP / TP / R / NR)</w:t>
            </w:r>
          </w:p>
        </w:tc>
        <w:tc>
          <w:tcPr>
            <w:tcW w:type="dxa" w:w="3746"/>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Statement</w:t>
            </w:r>
          </w:p>
        </w:tc>
        <w:tc>
          <w:tcPr>
            <w:tcW w:type="dxa" w:w="15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Affects scenario(s)</w:t>
            </w:r>
          </w:p>
        </w:tc>
        <w:tc>
          <w:tcPr>
            <w:tcW w:type="dxa" w:w="17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Decision(s) involved</w:t>
            </w:r>
          </w:p>
        </w:tc>
        <w:tc>
          <w:tcPr>
            <w:tcW w:type="dxa" w:w="15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Risks only: status + owner</w:t>
            </w:r>
          </w:p>
        </w:tc>
      </w:tr>
      <w:tr>
        <w:tc>
          <w:tcPr>
            <w:tcW w:type="dxa" w:w="1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7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7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7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7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7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7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7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3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7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bl>
    <w:p>
      <w:pPr>
        <w:spacing w:after="80" w:before="100" w:line="264" w:lineRule="auto"/>
      </w:pPr>
      <w:r>
        <w:rPr>
          <w:rFonts w:ascii="Calibri" w:cs="Calibri" w:eastAsia="Calibri" w:hAnsi="Calibri"/>
          <w:b/>
          <w:bCs/>
          <w:i w:val="false"/>
          <w:iCs w:val="false"/>
          <w:color w:val="262626"/>
          <w:sz w:val="22"/>
          <w:szCs w:val="22"/>
        </w:rPr>
        <w:t xml:space="preserve">Expected output</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At least three sensitivity points, each naming the decision and the response measure that depends on it.</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At least two trade-off points, at least one pitting security or a regulatory obligation against performance or cost.</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At least three risks in the because-form, each with status and owner; at least two non-risks with the argument recorded.</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Every register item names the scenario(s) it affects — nothing free-floating.</w:t>
      </w:r>
    </w:p>
    <w:p>
      <w:pPr>
        <w:pageBreakBefore/>
        <w:spacing w:after="0" w:before="0" w:line="264" w:lineRule="auto"/>
      </w:pPr>
      <w:r>
        <w:rPr>
          <w:rFonts w:ascii="Calibri" w:cs="Calibri" w:eastAsia="Calibri" w:hAnsi="Calibri"/>
          <w:b w:val="false"/>
          <w:bCs w:val="false"/>
          <w:i w:val="false"/>
          <w:iCs w:val="false"/>
          <w:color w:val="262626"/>
          <w:sz w:val="21"/>
          <w:szCs w:val="21"/>
        </w:rPr>
        <w:t xml:space="preserve"/>
      </w:r>
    </w:p>
    <w:p>
      <w:pPr>
        <w:spacing w:after="140" w:before="120" w:line="264" w:lineRule="auto"/>
      </w:pPr>
      <w:r>
        <w:rPr>
          <w:rFonts w:ascii="Calibri" w:cs="Calibri" w:eastAsia="Calibri" w:hAnsi="Calibri"/>
          <w:b/>
          <w:bCs/>
          <w:i w:val="false"/>
          <w:iCs w:val="false"/>
          <w:color w:val="0E7C7B"/>
          <w:sz w:val="26"/>
          <w:szCs w:val="26"/>
        </w:rPr>
        <w:t xml:space="preserve">Step 8 — Harden the solution (15 min)</w:t>
      </w:r>
    </w:p>
    <w:p>
      <w:pPr>
        <w:spacing w:after="80" w:before="100" w:line="264" w:lineRule="auto"/>
      </w:pPr>
      <w:r>
        <w:rPr>
          <w:rFonts w:ascii="Calibri" w:cs="Calibri" w:eastAsia="Calibri" w:hAnsi="Calibri"/>
          <w:b/>
          <w:bCs/>
          <w:i w:val="false"/>
          <w:iCs w:val="false"/>
          <w:color w:val="262626"/>
          <w:sz w:val="22"/>
          <w:szCs w:val="22"/>
        </w:rPr>
        <w:t xml:space="preserve">Purpose</w:t>
      </w:r>
    </w:p>
    <w:p>
      <w:pPr>
        <w:spacing w:after="120" w:before="0" w:line="264" w:lineRule="auto"/>
      </w:pPr>
      <w:r>
        <w:rPr>
          <w:rFonts w:ascii="Calibri" w:cs="Calibri" w:eastAsia="Calibri" w:hAnsi="Calibri"/>
          <w:b w:val="false"/>
          <w:bCs w:val="false"/>
          <w:i w:val="false"/>
          <w:iCs w:val="false"/>
          <w:color w:val="262626"/>
          <w:sz w:val="21"/>
          <w:szCs w:val="21"/>
        </w:rPr>
        <w:t xml:space="preserve">Designs are judged in their failure cases. Hardening asks, for each dependency and load-bearing service: what fails, how far the failure spreads, and what the design does about it — before an incident asks the same question in production.</w:t>
      </w:r>
    </w:p>
    <w:p>
      <w:pPr>
        <w:spacing w:after="80" w:before="100" w:line="264" w:lineRule="auto"/>
      </w:pPr>
      <w:r>
        <w:rPr>
          <w:rFonts w:ascii="Calibri" w:cs="Calibri" w:eastAsia="Calibri" w:hAnsi="Calibri"/>
          <w:b/>
          <w:bCs/>
          <w:i w:val="false"/>
          <w:iCs w:val="false"/>
          <w:color w:val="262626"/>
          <w:sz w:val="22"/>
          <w:szCs w:val="22"/>
        </w:rPr>
        <w:t xml:space="preserve">Instructions</w:t>
      </w:r>
    </w:p>
    <w:p>
      <w:pPr>
        <w:pStyle w:val="ListParagraph"/>
        <w:numPr>
          <w:ilvl w:val="0"/>
          <w:numId w:val="10"/>
        </w:numPr>
        <w:spacing w:after="80" w:before="0" w:line="264" w:lineRule="auto"/>
      </w:pPr>
      <w:r>
        <w:rPr>
          <w:rFonts w:ascii="Calibri" w:cs="Calibri" w:eastAsia="Calibri" w:hAnsi="Calibri"/>
          <w:b w:val="false"/>
          <w:bCs w:val="false"/>
          <w:i w:val="false"/>
          <w:iCs w:val="false"/>
          <w:color w:val="262626"/>
          <w:sz w:val="21"/>
          <w:szCs w:val="21"/>
        </w:rPr>
        <w:t xml:space="preserve">List your design's external dependencies (at minimum: the third-party market data feed, Meridian's identity / customer systems) plus the two services most load-bearing for your driving scenarios.</w:t>
      </w:r>
    </w:p>
    <w:p>
      <w:pPr>
        <w:pStyle w:val="ListParagraph"/>
        <w:numPr>
          <w:ilvl w:val="0"/>
          <w:numId w:val="10"/>
        </w:numPr>
        <w:spacing w:after="80" w:before="0" w:line="264" w:lineRule="auto"/>
      </w:pPr>
      <w:r>
        <w:rPr>
          <w:rFonts w:ascii="Calibri" w:cs="Calibri" w:eastAsia="Calibri" w:hAnsi="Calibri"/>
          <w:b w:val="false"/>
          <w:bCs w:val="false"/>
          <w:i w:val="false"/>
          <w:iCs w:val="false"/>
          <w:color w:val="262626"/>
          <w:sz w:val="21"/>
          <w:szCs w:val="21"/>
        </w:rPr>
        <w:t xml:space="preserve">For each, record its most likely failure mode, its blast radius — what breaks, for whom, and what still works — and the design answer: degrade, cache and serve stale, queue, retry, circuit-break, manual fallback… or an explicit statement that the exposure is accepted.</w:t>
      </w:r>
    </w:p>
    <w:p>
      <w:pPr>
        <w:pStyle w:val="ListParagraph"/>
        <w:numPr>
          <w:ilvl w:val="0"/>
          <w:numId w:val="10"/>
        </w:numPr>
        <w:spacing w:after="80" w:before="0" w:line="264" w:lineRule="auto"/>
      </w:pPr>
      <w:r>
        <w:rPr>
          <w:rFonts w:ascii="Calibri" w:cs="Calibri" w:eastAsia="Calibri" w:hAnsi="Calibri"/>
          <w:b w:val="false"/>
          <w:bCs w:val="false"/>
          <w:i w:val="false"/>
          <w:iCs w:val="false"/>
          <w:color w:val="262626"/>
          <w:sz w:val="21"/>
          <w:szCs w:val="21"/>
        </w:rPr>
        <w:t xml:space="preserve">The market data outage is mandatory: state precisely what a customer sees mid-purchase when bond data is stale or gone — stale price shown, purchase blocked, or purchase queued — and what compliance implication follows from your choice.</w:t>
      </w:r>
    </w:p>
    <w:p>
      <w:pPr>
        <w:pStyle w:val="ListParagraph"/>
        <w:numPr>
          <w:ilvl w:val="0"/>
          <w:numId w:val="10"/>
        </w:numPr>
        <w:spacing w:after="80" w:before="0" w:line="264" w:lineRule="auto"/>
      </w:pPr>
      <w:r>
        <w:rPr>
          <w:rFonts w:ascii="Calibri" w:cs="Calibri" w:eastAsia="Calibri" w:hAnsi="Calibri"/>
          <w:b w:val="false"/>
          <w:bCs w:val="false"/>
          <w:i w:val="false"/>
          <w:iCs w:val="false"/>
          <w:color w:val="262626"/>
          <w:sz w:val="21"/>
          <w:szCs w:val="21"/>
        </w:rPr>
        <w:t xml:space="preserve">Anything the team cannot resolve at this table becomes an unresolved risk with a specialist hand-off: name the specialism (security, cloud platform, compliance / legal, data) and the question they must answer.</w:t>
      </w:r>
    </w:p>
    <w:p>
      <w:pPr>
        <w:spacing w:after="80" w:before="100" w:line="264" w:lineRule="auto"/>
      </w:pPr>
      <w:r>
        <w:rPr>
          <w:rFonts w:ascii="Calibri" w:cs="Calibri" w:eastAsia="Calibri" w:hAnsi="Calibri"/>
          <w:b/>
          <w:bCs/>
          <w:i w:val="false"/>
          <w:iCs w:val="false"/>
          <w:color w:val="262626"/>
          <w:sz w:val="22"/>
          <w:szCs w:val="22"/>
        </w:rPr>
        <w:t xml:space="preserve">Template: Hardening table</w:t>
      </w:r>
    </w:p>
    <w:tbl>
      <w:tblPr>
        <w:tblW w:type="dxa" w:w="9746"/>
        <w:tblBorders>
          <w:top w:val="single" w:color="666666" w:sz="4"/>
          <w:left w:val="single" w:color="666666" w:sz="4"/>
          <w:bottom w:val="single" w:color="666666" w:sz="4"/>
          <w:right w:val="single" w:color="666666" w:sz="4"/>
          <w:insideH w:val="single" w:color="666666" w:sz="4"/>
          <w:insideV w:val="single" w:color="666666" w:sz="4"/>
        </w:tblBorders>
      </w:tblPr>
      <w:tblGrid>
        <w:gridCol w:w="1800"/>
        <w:gridCol w:w="1600"/>
        <w:gridCol w:w="1846"/>
        <w:gridCol w:w="1700"/>
        <w:gridCol w:w="1400"/>
        <w:gridCol w:w="1400"/>
      </w:tblGrid>
      <w:tr>
        <w:trPr>
          <w:tblHeader/>
        </w:trPr>
        <w:tc>
          <w:tcPr>
            <w:tcW w:type="dxa" w:w="18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Element / dependency</w:t>
            </w:r>
          </w:p>
        </w:tc>
        <w:tc>
          <w:tcPr>
            <w:tcW w:type="dxa" w:w="16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Failure mode</w:t>
            </w:r>
          </w:p>
        </w:tc>
        <w:tc>
          <w:tcPr>
            <w:tcW w:type="dxa" w:w="1846"/>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Blast radius</w:t>
            </w:r>
          </w:p>
        </w:tc>
        <w:tc>
          <w:tcPr>
            <w:tcW w:type="dxa" w:w="17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Design answer</w:t>
            </w:r>
          </w:p>
        </w:tc>
        <w:tc>
          <w:tcPr>
            <w:tcW w:type="dxa" w:w="14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Residual exposure</w:t>
            </w:r>
          </w:p>
        </w:tc>
        <w:tc>
          <w:tcPr>
            <w:tcW w:type="dxa" w:w="14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Hand-off (if any)</w:t>
            </w:r>
          </w:p>
        </w:tc>
      </w:tr>
      <w:tr>
        <w:tc>
          <w:tcPr>
            <w:tcW w:type="dxa" w:w="18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6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8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8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6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8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8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6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8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8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6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8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8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6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8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18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6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8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7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4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bl>
    <w:p>
      <w:pPr>
        <w:spacing w:after="80" w:before="100" w:line="264" w:lineRule="auto"/>
      </w:pPr>
      <w:r>
        <w:rPr>
          <w:rFonts w:ascii="Calibri" w:cs="Calibri" w:eastAsia="Calibri" w:hAnsi="Calibri"/>
          <w:b/>
          <w:bCs/>
          <w:i w:val="false"/>
          <w:iCs w:val="false"/>
          <w:color w:val="262626"/>
          <w:sz w:val="22"/>
          <w:szCs w:val="22"/>
        </w:rPr>
        <w:t xml:space="preserve">Expected output</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A hardening row for every external dependency and at least two internal services.</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The market-data outage answered precisely — what the customer sees mid-purchase — with its compliance consequence stated.</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Every row ends in a design answer or an explicit acceptance; no blanks.</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Unresolved items carried forward as named specialist hand-offs, not silently dropped.</w:t>
      </w:r>
    </w:p>
    <w:p>
      <w:pPr>
        <w:pageBreakBefore/>
        <w:spacing w:after="0" w:before="0" w:line="264" w:lineRule="auto"/>
      </w:pPr>
      <w:r>
        <w:rPr>
          <w:rFonts w:ascii="Calibri" w:cs="Calibri" w:eastAsia="Calibri" w:hAnsi="Calibri"/>
          <w:b w:val="false"/>
          <w:bCs w:val="false"/>
          <w:i w:val="false"/>
          <w:iCs w:val="false"/>
          <w:color w:val="262626"/>
          <w:sz w:val="21"/>
          <w:szCs w:val="21"/>
        </w:rPr>
        <w:t xml:space="preserve"/>
      </w:r>
    </w:p>
    <w:p>
      <w:pPr>
        <w:spacing w:after="140" w:before="120" w:line="264" w:lineRule="auto"/>
      </w:pPr>
      <w:r>
        <w:rPr>
          <w:rFonts w:ascii="Calibri" w:cs="Calibri" w:eastAsia="Calibri" w:hAnsi="Calibri"/>
          <w:b/>
          <w:bCs/>
          <w:i w:val="false"/>
          <w:iCs w:val="false"/>
          <w:color w:val="0E7C7B"/>
          <w:sz w:val="26"/>
          <w:szCs w:val="26"/>
        </w:rPr>
        <w:t xml:space="preserve">Step 9 — Architecture review clinic (30 min)</w:t>
      </w:r>
    </w:p>
    <w:p>
      <w:pPr>
        <w:spacing w:after="80" w:before="100" w:line="264" w:lineRule="auto"/>
      </w:pPr>
      <w:r>
        <w:rPr>
          <w:rFonts w:ascii="Calibri" w:cs="Calibri" w:eastAsia="Calibri" w:hAnsi="Calibri"/>
          <w:b/>
          <w:bCs/>
          <w:i w:val="false"/>
          <w:iCs w:val="false"/>
          <w:color w:val="262626"/>
          <w:sz w:val="22"/>
          <w:szCs w:val="22"/>
        </w:rPr>
        <w:t xml:space="preserve">Purpose</w:t>
      </w:r>
    </w:p>
    <w:p>
      <w:pPr>
        <w:spacing w:after="120" w:before="0" w:line="264" w:lineRule="auto"/>
      </w:pPr>
      <w:r>
        <w:rPr>
          <w:rFonts w:ascii="Calibri" w:cs="Calibri" w:eastAsia="Calibri" w:hAnsi="Calibri"/>
          <w:b w:val="false"/>
          <w:bCs w:val="false"/>
          <w:i w:val="false"/>
          <w:iCs w:val="false"/>
          <w:color w:val="262626"/>
          <w:sz w:val="21"/>
          <w:szCs w:val="21"/>
        </w:rPr>
        <w:t xml:space="preserve">ATAM in miniature: drivers are presented before the design, scenarios are walked against it, and the design earns its keep under challenge. A challenge answered well becomes a non-risk; a challenge answered badly becomes a risk with an owner — both outcomes are wins if they are recorded.</w:t>
      </w:r>
    </w:p>
    <w:p>
      <w:pPr>
        <w:spacing w:after="80" w:before="100" w:line="264" w:lineRule="auto"/>
      </w:pPr>
      <w:r>
        <w:rPr>
          <w:rFonts w:ascii="Calibri" w:cs="Calibri" w:eastAsia="Calibri" w:hAnsi="Calibri"/>
          <w:b/>
          <w:bCs/>
          <w:i w:val="false"/>
          <w:iCs w:val="false"/>
          <w:color w:val="262626"/>
          <w:sz w:val="22"/>
          <w:szCs w:val="22"/>
        </w:rPr>
        <w:t xml:space="preserve">Instructions</w:t>
      </w:r>
    </w:p>
    <w:p>
      <w:pPr>
        <w:pStyle w:val="ListParagraph"/>
        <w:numPr>
          <w:ilvl w:val="0"/>
          <w:numId w:val="11"/>
        </w:numPr>
        <w:spacing w:after="80" w:before="0" w:line="264" w:lineRule="auto"/>
      </w:pPr>
      <w:r>
        <w:rPr>
          <w:rFonts w:ascii="Calibri" w:cs="Calibri" w:eastAsia="Calibri" w:hAnsi="Calibri"/>
          <w:b w:val="false"/>
          <w:bCs w:val="false"/>
          <w:i w:val="false"/>
          <w:iCs w:val="false"/>
          <w:color w:val="262626"/>
          <w:sz w:val="21"/>
          <w:szCs w:val="21"/>
        </w:rPr>
        <w:t xml:space="preserve">Pair with another team. Each team presents for 5 minutes, in ATAM order — business drivers first, then the utility tree and driving scenarios, then the context diagram, then the service diagram and cloud architecture map, then the three ADRs. Drivers before design, always.</w:t>
      </w:r>
    </w:p>
    <w:p>
      <w:pPr>
        <w:pStyle w:val="ListParagraph"/>
        <w:numPr>
          <w:ilvl w:val="0"/>
          <w:numId w:val="11"/>
        </w:numPr>
        <w:spacing w:after="80" w:before="0" w:line="264" w:lineRule="auto"/>
      </w:pPr>
      <w:r>
        <w:rPr>
          <w:rFonts w:ascii="Calibri" w:cs="Calibri" w:eastAsia="Calibri" w:hAnsi="Calibri"/>
          <w:b w:val="false"/>
          <w:bCs w:val="false"/>
          <w:i w:val="false"/>
          <w:iCs w:val="false"/>
          <w:color w:val="262626"/>
          <w:sz w:val="21"/>
          <w:szCs w:val="21"/>
        </w:rPr>
        <w:t xml:space="preserve">The reviewing panel challenges for 7 minutes. Every challenge must name a scenario or driver, not taste: "Scenario QAS3 gives you 2 seconds — walk me through where that time goes across your services", not "I don't like Cloud Run". Across the challenges the panel must cover platform, data, security, cost and operating choices at least once each — and question any AI or automation component the design contains.</w:t>
      </w:r>
    </w:p>
    <w:p>
      <w:pPr>
        <w:pStyle w:val="ListParagraph"/>
        <w:numPr>
          <w:ilvl w:val="0"/>
          <w:numId w:val="11"/>
        </w:numPr>
        <w:spacing w:after="80" w:before="0" w:line="264" w:lineRule="auto"/>
      </w:pPr>
      <w:r>
        <w:rPr>
          <w:rFonts w:ascii="Calibri" w:cs="Calibri" w:eastAsia="Calibri" w:hAnsi="Calibri"/>
          <w:b w:val="false"/>
          <w:bCs w:val="false"/>
          <w:i w:val="false"/>
          <w:iCs w:val="false"/>
          <w:color w:val="262626"/>
          <w:sz w:val="21"/>
          <w:szCs w:val="21"/>
        </w:rPr>
        <w:t xml:space="preserve">The Lead Architect answers first. "Recorded as a risk with an owner" is an acceptable answer; "we'll figure it out later" is not. A scribe on the presenting team records every challenge, the response, and the outcome: Defended / New risk / Decision changed.</w:t>
      </w:r>
    </w:p>
    <w:p>
      <w:pPr>
        <w:pStyle w:val="ListParagraph"/>
        <w:numPr>
          <w:ilvl w:val="0"/>
          <w:numId w:val="11"/>
        </w:numPr>
        <w:spacing w:after="80" w:before="0" w:line="264" w:lineRule="auto"/>
      </w:pPr>
      <w:r>
        <w:rPr>
          <w:rFonts w:ascii="Calibri" w:cs="Calibri" w:eastAsia="Calibri" w:hAnsi="Calibri"/>
          <w:b w:val="false"/>
          <w:bCs w:val="false"/>
          <w:i w:val="false"/>
          <w:iCs w:val="false"/>
          <w:color w:val="262626"/>
          <w:sz w:val="21"/>
          <w:szCs w:val="21"/>
        </w:rPr>
        <w:t xml:space="preserve">Swap roles and repeat.</w:t>
      </w:r>
    </w:p>
    <w:p>
      <w:pPr>
        <w:pStyle w:val="ListParagraph"/>
        <w:numPr>
          <w:ilvl w:val="0"/>
          <w:numId w:val="11"/>
        </w:numPr>
        <w:spacing w:after="80" w:before="0" w:line="264" w:lineRule="auto"/>
      </w:pPr>
      <w:r>
        <w:rPr>
          <w:rFonts w:ascii="Calibri" w:cs="Calibri" w:eastAsia="Calibri" w:hAnsi="Calibri"/>
          <w:b w:val="false"/>
          <w:bCs w:val="false"/>
          <w:i w:val="false"/>
          <w:iCs w:val="false"/>
          <w:color w:val="262626"/>
          <w:sz w:val="21"/>
          <w:szCs w:val="21"/>
        </w:rPr>
        <w:t xml:space="preserve">Each team then spends 5 minutes folding the outcomes back in: update the Step 7 analysis register, amend any changed ADR, and extend the Step 8 hand-off list with anything the panel exposed that needs a specialist.</w:t>
      </w:r>
    </w:p>
    <w:p>
      <w:pPr>
        <w:pStyle w:val="ListParagraph"/>
        <w:numPr>
          <w:ilvl w:val="0"/>
          <w:numId w:val="11"/>
        </w:numPr>
        <w:spacing w:after="80" w:before="0" w:line="264" w:lineRule="auto"/>
      </w:pPr>
      <w:r>
        <w:rPr>
          <w:rFonts w:ascii="Calibri" w:cs="Calibri" w:eastAsia="Calibri" w:hAnsi="Calibri"/>
          <w:b w:val="false"/>
          <w:bCs w:val="false"/>
          <w:i w:val="false"/>
          <w:iCs w:val="false"/>
          <w:color w:val="262626"/>
          <w:sz w:val="21"/>
          <w:szCs w:val="21"/>
        </w:rPr>
        <w:t xml:space="preserve">Close with a 60-second readout to the class: the design in one sentence, the strongest trade-off you are consciously making, the biggest unresolved risk, and whose desk it lands on.</w:t>
      </w:r>
    </w:p>
    <w:p>
      <w:pPr>
        <w:spacing w:after="80" w:before="100" w:line="264" w:lineRule="auto"/>
      </w:pPr>
      <w:r>
        <w:rPr>
          <w:rFonts w:ascii="Calibri" w:cs="Calibri" w:eastAsia="Calibri" w:hAnsi="Calibri"/>
          <w:b/>
          <w:bCs/>
          <w:i w:val="false"/>
          <w:iCs w:val="false"/>
          <w:color w:val="262626"/>
          <w:sz w:val="22"/>
          <w:szCs w:val="22"/>
        </w:rPr>
        <w:t xml:space="preserve">Template: Review record</w:t>
      </w:r>
    </w:p>
    <w:tbl>
      <w:tblPr>
        <w:tblW w:type="dxa" w:w="9746"/>
        <w:tblBorders>
          <w:top w:val="single" w:color="666666" w:sz="4"/>
          <w:left w:val="single" w:color="666666" w:sz="4"/>
          <w:bottom w:val="single" w:color="666666" w:sz="4"/>
          <w:right w:val="single" w:color="666666" w:sz="4"/>
          <w:insideH w:val="single" w:color="666666" w:sz="4"/>
          <w:insideV w:val="single" w:color="666666" w:sz="4"/>
        </w:tblBorders>
      </w:tblPr>
      <w:tblGrid>
        <w:gridCol w:w="500"/>
        <w:gridCol w:w="3200"/>
        <w:gridCol w:w="1900"/>
        <w:gridCol w:w="2246"/>
        <w:gridCol w:w="1900"/>
      </w:tblGrid>
      <w:tr>
        <w:trPr>
          <w:tblHeader/>
        </w:trPr>
        <w:tc>
          <w:tcPr>
            <w:tcW w:type="dxa" w:w="5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w:t>
            </w:r>
          </w:p>
        </w:tc>
        <w:tc>
          <w:tcPr>
            <w:tcW w:type="dxa" w:w="32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Challenge (names a scenario / driver)</w:t>
            </w:r>
          </w:p>
        </w:tc>
        <w:tc>
          <w:tcPr>
            <w:tcW w:type="dxa" w:w="19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Area (platform / data / AI / security / cost / ops)</w:t>
            </w:r>
          </w:p>
        </w:tc>
        <w:tc>
          <w:tcPr>
            <w:tcW w:type="dxa" w:w="2246"/>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Response summary</w:t>
            </w:r>
          </w:p>
        </w:tc>
        <w:tc>
          <w:tcPr>
            <w:tcW w:type="dxa" w:w="1900"/>
            <w:shd w:fill="1F3864" w:val="clear"/>
            <w:tcMar>
              <w:top w:type="dxa" w:w="60"/>
              <w:left w:type="dxa" w:w="100"/>
              <w:bottom w:type="dxa" w:w="60"/>
              <w:right w:type="dxa" w:w="100"/>
            </w:tcMar>
          </w:tcPr>
          <w:p>
            <w:pPr>
              <w:spacing w:after="0" w:line="240" w:lineRule="auto"/>
            </w:pPr>
            <w:r>
              <w:rPr>
                <w:rFonts w:ascii="Calibri" w:cs="Calibri" w:eastAsia="Calibri" w:hAnsi="Calibri"/>
                <w:b/>
                <w:bCs/>
                <w:i w:val="false"/>
                <w:iCs w:val="false"/>
                <w:color w:val="FFFFFF"/>
                <w:sz w:val="20"/>
                <w:szCs w:val="20"/>
              </w:rPr>
              <w:t xml:space="preserve">Outcome (Defended / New risk / Decision changed)</w:t>
            </w:r>
          </w:p>
        </w:tc>
      </w:tr>
      <w:tr>
        <w:tc>
          <w:tcPr>
            <w:tcW w:type="dxa" w:w="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r>
        <w:tc>
          <w:tcPr>
            <w:tcW w:type="dxa" w:w="5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32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2246"/>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c>
          <w:tcPr>
            <w:tcW w:type="dxa" w:w="1900"/>
            <w:tcMar>
              <w:top w:type="dxa" w:w="60"/>
              <w:left w:type="dxa" w:w="100"/>
              <w:bottom w:type="dxa" w:w="60"/>
              <w:right w:type="dxa" w:w="100"/>
            </w:tcMar>
          </w:tcPr>
          <w:p>
            <w:pPr>
              <w:spacing w:after="0" w:line="240" w:lineRule="auto"/>
            </w:pPr>
            <w:r>
              <w:rPr>
                <w:rFonts w:ascii="Calibri" w:cs="Calibri" w:eastAsia="Calibri" w:hAnsi="Calibri"/>
                <w:b w:val="false"/>
                <w:bCs w:val="false"/>
                <w:i w:val="false"/>
                <w:iCs w:val="false"/>
                <w:color w:val="262626"/>
                <w:sz w:val="20"/>
                <w:szCs w:val="20"/>
              </w:rPr>
              <w:t xml:space="preserve"/>
            </w:r>
          </w:p>
        </w:tc>
      </w:tr>
    </w:tbl>
    <w:p>
      <w:pPr>
        <w:spacing w:after="80" w:before="100" w:line="264" w:lineRule="auto"/>
      </w:pPr>
      <w:r>
        <w:rPr>
          <w:rFonts w:ascii="Calibri" w:cs="Calibri" w:eastAsia="Calibri" w:hAnsi="Calibri"/>
          <w:b/>
          <w:bCs/>
          <w:i w:val="false"/>
          <w:iCs w:val="false"/>
          <w:color w:val="262626"/>
          <w:sz w:val="22"/>
          <w:szCs w:val="22"/>
        </w:rPr>
        <w:t xml:space="preserve">Expected output</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A review record of five or more challenges covering all five areas, every challenge naming a scenario or driver.</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At least one new risk found by the panel, folded into the analysis register with status, owner and — where needed — a specialist hand-off.</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Any decision changed under challenge reflected as an amended ADR, not a silent edit to the diagram.</w:t>
      </w:r>
    </w:p>
    <w:p>
      <w:pPr>
        <w:pStyle w:val="ListParagraph"/>
        <w:numPr>
          <w:ilvl w:val="0"/>
          <w:numId w:val="2"/>
        </w:numPr>
        <w:spacing w:after="80" w:before="0" w:line="264" w:lineRule="auto"/>
      </w:pPr>
      <w:r>
        <w:rPr>
          <w:rFonts w:ascii="Calibri" w:cs="Calibri" w:eastAsia="Calibri" w:hAnsi="Calibri"/>
          <w:b w:val="false"/>
          <w:bCs w:val="false"/>
          <w:i w:val="false"/>
          <w:iCs w:val="false"/>
          <w:color w:val="262626"/>
          <w:sz w:val="21"/>
          <w:szCs w:val="21"/>
        </w:rPr>
        <w:t xml:space="preserve">The 60-second readout delivered: design, conscious trade-off, biggest unresolved risk, and who it is handed to.</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8C8C8C"/>
        <w:sz w:val="16"/>
        <w:szCs w:val="16"/>
      </w:rPr>
      <w:t xml:space="preserve">Page </w:t>
    </w:r>
    <w:r>
      <w:rPr>
        <w:rFonts w:ascii="Calibri" w:cs="Calibri" w:eastAsia="Calibri" w:hAnsi="Calibri"/>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val="false"/>
        <w:iCs w:val="false"/>
        <w:color w:val="8C8C8C"/>
        <w:sz w:val="16"/>
        <w:szCs w:val="16"/>
      </w:rPr>
      <w:t xml:space="preserve">Buy Local Bonds · Architecture &amp; Solution Design Exercise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2026-09-02T03:14:29.331Z</dcterms:created>
  <dcterms:modified xsi:type="dcterms:W3CDTF">2026-09-02T03:14:29.331Z</dcterms:modified>
</cp:coreProperties>
</file>

<file path=docProps/custom.xml><?xml version="1.0" encoding="utf-8"?>
<Properties xmlns="http://schemas.openxmlformats.org/officeDocument/2006/custom-properties" xmlns:vt="http://schemas.openxmlformats.org/officeDocument/2006/docPropsVTypes"/>
</file>