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CA1" w:rsidRPr="00E3728B" w:rsidRDefault="00DA5C4D" w:rsidP="00070CA1">
      <w:pPr>
        <w:jc w:val="center"/>
        <w:rPr>
          <w:b/>
          <w:sz w:val="32"/>
          <w:szCs w:val="32"/>
        </w:rPr>
      </w:pPr>
      <w:r>
        <w:rPr>
          <w:b/>
          <w:sz w:val="32"/>
          <w:szCs w:val="32"/>
        </w:rPr>
        <w:t>VALUATION AND PORTFOLIO</w:t>
      </w:r>
      <w:r w:rsidR="00070CA1" w:rsidRPr="00E3728B">
        <w:rPr>
          <w:b/>
          <w:sz w:val="32"/>
          <w:szCs w:val="32"/>
        </w:rPr>
        <w:t xml:space="preserve"> MANAGEMENT</w:t>
      </w:r>
    </w:p>
    <w:p w:rsidR="00070CA1" w:rsidRPr="00E3728B" w:rsidRDefault="00070CA1" w:rsidP="00070CA1">
      <w:pPr>
        <w:jc w:val="center"/>
        <w:rPr>
          <w:b/>
          <w:sz w:val="28"/>
          <w:szCs w:val="28"/>
        </w:rPr>
      </w:pPr>
      <w:r w:rsidRPr="00E3728B">
        <w:rPr>
          <w:b/>
          <w:sz w:val="28"/>
          <w:szCs w:val="28"/>
        </w:rPr>
        <w:t>FIXED INCOME</w:t>
      </w:r>
      <w:r>
        <w:rPr>
          <w:b/>
          <w:sz w:val="28"/>
          <w:szCs w:val="28"/>
        </w:rPr>
        <w:t xml:space="preserve"> SECURITIES (CLASS ASSIGNMENT)</w:t>
      </w:r>
    </w:p>
    <w:p w:rsidR="007C4ADE" w:rsidRDefault="00DA5C4D"/>
    <w:p w:rsidR="00070CA1" w:rsidRPr="00A94918" w:rsidRDefault="00070CA1" w:rsidP="00070CA1">
      <w:pPr>
        <w:pStyle w:val="ListParagraph"/>
        <w:numPr>
          <w:ilvl w:val="0"/>
          <w:numId w:val="2"/>
        </w:numPr>
        <w:rPr>
          <w:sz w:val="22"/>
          <w:szCs w:val="22"/>
        </w:rPr>
      </w:pPr>
      <w:r w:rsidRPr="00A94918">
        <w:rPr>
          <w:sz w:val="22"/>
          <w:szCs w:val="22"/>
        </w:rPr>
        <w:t>You expect interest rates to decline over the next six months.</w:t>
      </w:r>
      <w:r w:rsidRPr="00A94918">
        <w:rPr>
          <w:sz w:val="22"/>
          <w:szCs w:val="22"/>
        </w:rPr>
        <w:tab/>
      </w:r>
      <w:r w:rsidRPr="00A94918">
        <w:rPr>
          <w:sz w:val="22"/>
          <w:szCs w:val="22"/>
        </w:rPr>
        <w:tab/>
      </w:r>
      <w:r w:rsidRPr="00A94918">
        <w:rPr>
          <w:sz w:val="22"/>
          <w:szCs w:val="22"/>
        </w:rPr>
        <w:tab/>
      </w:r>
      <w:r w:rsidRPr="00A94918">
        <w:rPr>
          <w:sz w:val="22"/>
          <w:szCs w:val="22"/>
        </w:rPr>
        <w:tab/>
      </w:r>
    </w:p>
    <w:p w:rsidR="00070CA1" w:rsidRPr="00A94918" w:rsidRDefault="00070CA1" w:rsidP="00070CA1">
      <w:pPr>
        <w:numPr>
          <w:ilvl w:val="0"/>
          <w:numId w:val="1"/>
        </w:numPr>
        <w:overflowPunct w:val="0"/>
        <w:autoSpaceDE w:val="0"/>
        <w:autoSpaceDN w:val="0"/>
        <w:adjustRightInd w:val="0"/>
        <w:textAlignment w:val="baseline"/>
        <w:rPr>
          <w:sz w:val="22"/>
          <w:szCs w:val="22"/>
        </w:rPr>
      </w:pPr>
      <w:r w:rsidRPr="00A94918">
        <w:rPr>
          <w:sz w:val="22"/>
          <w:szCs w:val="22"/>
        </w:rPr>
        <w:t>Given your interest rate outlook, state what kinds of bonds you want in your portfolio In terms of duration and explain your reasoning for this choice.</w:t>
      </w:r>
    </w:p>
    <w:p w:rsidR="00070CA1" w:rsidRPr="00A94918" w:rsidRDefault="00070CA1" w:rsidP="00070CA1">
      <w:pPr>
        <w:numPr>
          <w:ilvl w:val="0"/>
          <w:numId w:val="1"/>
        </w:numPr>
        <w:overflowPunct w:val="0"/>
        <w:autoSpaceDE w:val="0"/>
        <w:autoSpaceDN w:val="0"/>
        <w:adjustRightInd w:val="0"/>
        <w:textAlignment w:val="baseline"/>
        <w:rPr>
          <w:sz w:val="22"/>
          <w:szCs w:val="22"/>
        </w:rPr>
      </w:pPr>
      <w:r w:rsidRPr="00A94918">
        <w:rPr>
          <w:sz w:val="22"/>
          <w:szCs w:val="22"/>
        </w:rPr>
        <w:t>You must make a choice between the following three sets of noncallable bonds.  In  each case, select the bond that would be best for your portfolio given your interest rate outlook and the consequent strategy set forth in Part(a).  In each case briefly discuss why you selected the bond.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1440"/>
        <w:gridCol w:w="1440"/>
        <w:gridCol w:w="1440"/>
        <w:gridCol w:w="1818"/>
      </w:tblGrid>
      <w:tr w:rsidR="00070CA1" w:rsidRPr="00A94918" w:rsidTr="001B541F">
        <w:trPr>
          <w:jc w:val="center"/>
        </w:trPr>
        <w:tc>
          <w:tcPr>
            <w:tcW w:w="1440" w:type="dxa"/>
          </w:tcPr>
          <w:p w:rsidR="00070CA1" w:rsidRPr="00A94918" w:rsidRDefault="00070CA1" w:rsidP="001B541F">
            <w:pPr>
              <w:jc w:val="center"/>
            </w:pPr>
          </w:p>
        </w:tc>
        <w:tc>
          <w:tcPr>
            <w:tcW w:w="1440" w:type="dxa"/>
          </w:tcPr>
          <w:p w:rsidR="00070CA1" w:rsidRPr="00A94918" w:rsidRDefault="00070CA1" w:rsidP="001B541F">
            <w:pPr>
              <w:jc w:val="center"/>
            </w:pPr>
          </w:p>
        </w:tc>
        <w:tc>
          <w:tcPr>
            <w:tcW w:w="1440" w:type="dxa"/>
          </w:tcPr>
          <w:p w:rsidR="00070CA1" w:rsidRPr="00A94918" w:rsidRDefault="00070CA1" w:rsidP="001B541F">
            <w:pPr>
              <w:jc w:val="center"/>
            </w:pPr>
            <w:r w:rsidRPr="00A94918">
              <w:rPr>
                <w:sz w:val="22"/>
                <w:szCs w:val="22"/>
              </w:rPr>
              <w:t>Maturity</w:t>
            </w:r>
          </w:p>
        </w:tc>
        <w:tc>
          <w:tcPr>
            <w:tcW w:w="1440" w:type="dxa"/>
          </w:tcPr>
          <w:p w:rsidR="00070CA1" w:rsidRPr="00A94918" w:rsidRDefault="00070CA1" w:rsidP="001B541F">
            <w:pPr>
              <w:jc w:val="center"/>
            </w:pPr>
            <w:r w:rsidRPr="00A94918">
              <w:rPr>
                <w:sz w:val="22"/>
                <w:szCs w:val="22"/>
              </w:rPr>
              <w:t>Coupon</w:t>
            </w:r>
          </w:p>
        </w:tc>
        <w:tc>
          <w:tcPr>
            <w:tcW w:w="1818" w:type="dxa"/>
          </w:tcPr>
          <w:p w:rsidR="00070CA1" w:rsidRPr="00A94918" w:rsidRDefault="00070CA1" w:rsidP="001B541F">
            <w:pPr>
              <w:jc w:val="center"/>
            </w:pPr>
            <w:r w:rsidRPr="00A94918">
              <w:rPr>
                <w:sz w:val="22"/>
                <w:szCs w:val="22"/>
              </w:rPr>
              <w:t>Yield to maturity</w:t>
            </w:r>
          </w:p>
        </w:tc>
      </w:tr>
      <w:tr w:rsidR="00070CA1" w:rsidRPr="00A94918" w:rsidTr="001B541F">
        <w:trPr>
          <w:jc w:val="center"/>
        </w:trPr>
        <w:tc>
          <w:tcPr>
            <w:tcW w:w="1440" w:type="dxa"/>
          </w:tcPr>
          <w:p w:rsidR="00070CA1" w:rsidRPr="00A94918" w:rsidRDefault="00070CA1" w:rsidP="001B541F">
            <w:pPr>
              <w:jc w:val="center"/>
            </w:pPr>
            <w:r w:rsidRPr="00A94918">
              <w:rPr>
                <w:sz w:val="22"/>
                <w:szCs w:val="22"/>
              </w:rPr>
              <w:t>Case1</w:t>
            </w:r>
          </w:p>
        </w:tc>
        <w:tc>
          <w:tcPr>
            <w:tcW w:w="1440" w:type="dxa"/>
          </w:tcPr>
          <w:p w:rsidR="00070CA1" w:rsidRPr="00A94918" w:rsidRDefault="00070CA1" w:rsidP="001B541F">
            <w:pPr>
              <w:jc w:val="center"/>
            </w:pPr>
            <w:r w:rsidRPr="00A94918">
              <w:rPr>
                <w:sz w:val="22"/>
                <w:szCs w:val="22"/>
              </w:rPr>
              <w:t>Bond A</w:t>
            </w:r>
          </w:p>
        </w:tc>
        <w:tc>
          <w:tcPr>
            <w:tcW w:w="1440" w:type="dxa"/>
          </w:tcPr>
          <w:p w:rsidR="00070CA1" w:rsidRPr="00A94918" w:rsidRDefault="00070CA1" w:rsidP="001B541F">
            <w:pPr>
              <w:jc w:val="center"/>
            </w:pPr>
            <w:r w:rsidRPr="00A94918">
              <w:rPr>
                <w:sz w:val="22"/>
                <w:szCs w:val="22"/>
              </w:rPr>
              <w:t>15 years</w:t>
            </w:r>
          </w:p>
        </w:tc>
        <w:tc>
          <w:tcPr>
            <w:tcW w:w="1440" w:type="dxa"/>
          </w:tcPr>
          <w:p w:rsidR="00070CA1" w:rsidRPr="00A94918" w:rsidRDefault="00070CA1" w:rsidP="001B541F">
            <w:pPr>
              <w:jc w:val="center"/>
            </w:pPr>
            <w:r w:rsidRPr="00A94918">
              <w:rPr>
                <w:sz w:val="22"/>
                <w:szCs w:val="22"/>
              </w:rPr>
              <w:t>10%</w:t>
            </w:r>
          </w:p>
        </w:tc>
        <w:tc>
          <w:tcPr>
            <w:tcW w:w="1818" w:type="dxa"/>
          </w:tcPr>
          <w:p w:rsidR="00070CA1" w:rsidRPr="00A94918" w:rsidRDefault="00070CA1" w:rsidP="001B541F">
            <w:pPr>
              <w:jc w:val="center"/>
            </w:pPr>
            <w:r w:rsidRPr="00A94918">
              <w:rPr>
                <w:sz w:val="22"/>
                <w:szCs w:val="22"/>
              </w:rPr>
              <w:t>10 %</w:t>
            </w:r>
          </w:p>
        </w:tc>
      </w:tr>
      <w:tr w:rsidR="00070CA1" w:rsidRPr="00A94918" w:rsidTr="001B541F">
        <w:trPr>
          <w:jc w:val="center"/>
        </w:trPr>
        <w:tc>
          <w:tcPr>
            <w:tcW w:w="1440" w:type="dxa"/>
          </w:tcPr>
          <w:p w:rsidR="00070CA1" w:rsidRPr="00A94918" w:rsidRDefault="00070CA1" w:rsidP="001B541F">
            <w:pPr>
              <w:jc w:val="center"/>
            </w:pPr>
          </w:p>
        </w:tc>
        <w:tc>
          <w:tcPr>
            <w:tcW w:w="1440" w:type="dxa"/>
          </w:tcPr>
          <w:p w:rsidR="00070CA1" w:rsidRPr="00A94918" w:rsidRDefault="00070CA1" w:rsidP="001B541F">
            <w:pPr>
              <w:jc w:val="center"/>
            </w:pPr>
            <w:r w:rsidRPr="00A94918">
              <w:rPr>
                <w:sz w:val="22"/>
                <w:szCs w:val="22"/>
              </w:rPr>
              <w:t>Bond B</w:t>
            </w:r>
          </w:p>
        </w:tc>
        <w:tc>
          <w:tcPr>
            <w:tcW w:w="1440" w:type="dxa"/>
          </w:tcPr>
          <w:p w:rsidR="00070CA1" w:rsidRPr="00A94918" w:rsidRDefault="00070CA1" w:rsidP="001B541F">
            <w:pPr>
              <w:jc w:val="center"/>
            </w:pPr>
            <w:r w:rsidRPr="00A94918">
              <w:rPr>
                <w:sz w:val="22"/>
                <w:szCs w:val="22"/>
              </w:rPr>
              <w:t>15 years</w:t>
            </w:r>
          </w:p>
        </w:tc>
        <w:tc>
          <w:tcPr>
            <w:tcW w:w="1440" w:type="dxa"/>
          </w:tcPr>
          <w:p w:rsidR="00070CA1" w:rsidRPr="00A94918" w:rsidRDefault="00070CA1" w:rsidP="001B541F">
            <w:pPr>
              <w:jc w:val="center"/>
            </w:pPr>
            <w:r w:rsidRPr="00A94918">
              <w:rPr>
                <w:sz w:val="22"/>
                <w:szCs w:val="22"/>
              </w:rPr>
              <w:t>6%</w:t>
            </w:r>
          </w:p>
        </w:tc>
        <w:tc>
          <w:tcPr>
            <w:tcW w:w="1818" w:type="dxa"/>
          </w:tcPr>
          <w:p w:rsidR="00070CA1" w:rsidRPr="00A94918" w:rsidRDefault="00070CA1" w:rsidP="001B541F">
            <w:pPr>
              <w:jc w:val="center"/>
            </w:pPr>
            <w:r w:rsidRPr="00A94918">
              <w:rPr>
                <w:sz w:val="22"/>
                <w:szCs w:val="22"/>
              </w:rPr>
              <w:t>8 %</w:t>
            </w:r>
          </w:p>
        </w:tc>
      </w:tr>
      <w:tr w:rsidR="00070CA1" w:rsidRPr="00A94918" w:rsidTr="001B541F">
        <w:trPr>
          <w:jc w:val="center"/>
        </w:trPr>
        <w:tc>
          <w:tcPr>
            <w:tcW w:w="1440" w:type="dxa"/>
          </w:tcPr>
          <w:p w:rsidR="00070CA1" w:rsidRPr="00A94918" w:rsidRDefault="00070CA1" w:rsidP="001B541F">
            <w:pPr>
              <w:jc w:val="center"/>
            </w:pPr>
            <w:r w:rsidRPr="00A94918">
              <w:rPr>
                <w:sz w:val="22"/>
                <w:szCs w:val="22"/>
              </w:rPr>
              <w:t>Case 2</w:t>
            </w:r>
          </w:p>
        </w:tc>
        <w:tc>
          <w:tcPr>
            <w:tcW w:w="1440" w:type="dxa"/>
          </w:tcPr>
          <w:p w:rsidR="00070CA1" w:rsidRPr="00A94918" w:rsidRDefault="00070CA1" w:rsidP="001B541F">
            <w:pPr>
              <w:jc w:val="center"/>
            </w:pPr>
            <w:r w:rsidRPr="00A94918">
              <w:rPr>
                <w:sz w:val="22"/>
                <w:szCs w:val="22"/>
              </w:rPr>
              <w:t>Bond C</w:t>
            </w:r>
          </w:p>
        </w:tc>
        <w:tc>
          <w:tcPr>
            <w:tcW w:w="1440" w:type="dxa"/>
          </w:tcPr>
          <w:p w:rsidR="00070CA1" w:rsidRPr="00A94918" w:rsidRDefault="00070CA1" w:rsidP="001B541F">
            <w:pPr>
              <w:jc w:val="center"/>
            </w:pPr>
            <w:r w:rsidRPr="00A94918">
              <w:rPr>
                <w:sz w:val="22"/>
                <w:szCs w:val="22"/>
              </w:rPr>
              <w:t>15 years</w:t>
            </w:r>
          </w:p>
        </w:tc>
        <w:tc>
          <w:tcPr>
            <w:tcW w:w="1440" w:type="dxa"/>
          </w:tcPr>
          <w:p w:rsidR="00070CA1" w:rsidRPr="00A94918" w:rsidRDefault="00070CA1" w:rsidP="001B541F">
            <w:pPr>
              <w:jc w:val="center"/>
            </w:pPr>
            <w:r w:rsidRPr="00A94918">
              <w:rPr>
                <w:sz w:val="22"/>
                <w:szCs w:val="22"/>
              </w:rPr>
              <w:t>6%</w:t>
            </w:r>
          </w:p>
        </w:tc>
        <w:tc>
          <w:tcPr>
            <w:tcW w:w="1818" w:type="dxa"/>
          </w:tcPr>
          <w:p w:rsidR="00070CA1" w:rsidRPr="00A94918" w:rsidRDefault="00070CA1" w:rsidP="001B541F">
            <w:pPr>
              <w:jc w:val="center"/>
            </w:pPr>
            <w:r w:rsidRPr="00A94918">
              <w:rPr>
                <w:sz w:val="22"/>
                <w:szCs w:val="22"/>
              </w:rPr>
              <w:t>10 %</w:t>
            </w:r>
          </w:p>
        </w:tc>
      </w:tr>
      <w:tr w:rsidR="00070CA1" w:rsidRPr="00A94918" w:rsidTr="001B541F">
        <w:trPr>
          <w:jc w:val="center"/>
        </w:trPr>
        <w:tc>
          <w:tcPr>
            <w:tcW w:w="1440" w:type="dxa"/>
          </w:tcPr>
          <w:p w:rsidR="00070CA1" w:rsidRPr="00A94918" w:rsidRDefault="00070CA1" w:rsidP="001B541F">
            <w:pPr>
              <w:jc w:val="center"/>
            </w:pPr>
          </w:p>
        </w:tc>
        <w:tc>
          <w:tcPr>
            <w:tcW w:w="1440" w:type="dxa"/>
          </w:tcPr>
          <w:p w:rsidR="00070CA1" w:rsidRPr="00A94918" w:rsidRDefault="00070CA1" w:rsidP="001B541F">
            <w:pPr>
              <w:jc w:val="center"/>
            </w:pPr>
            <w:r w:rsidRPr="00A94918">
              <w:rPr>
                <w:sz w:val="22"/>
                <w:szCs w:val="22"/>
              </w:rPr>
              <w:t>Bond D</w:t>
            </w:r>
          </w:p>
        </w:tc>
        <w:tc>
          <w:tcPr>
            <w:tcW w:w="1440" w:type="dxa"/>
          </w:tcPr>
          <w:p w:rsidR="00070CA1" w:rsidRPr="00A94918" w:rsidRDefault="00070CA1" w:rsidP="001B541F">
            <w:pPr>
              <w:jc w:val="center"/>
            </w:pPr>
            <w:r w:rsidRPr="00A94918">
              <w:rPr>
                <w:sz w:val="22"/>
                <w:szCs w:val="22"/>
              </w:rPr>
              <w:t>10 years</w:t>
            </w:r>
          </w:p>
        </w:tc>
        <w:tc>
          <w:tcPr>
            <w:tcW w:w="1440" w:type="dxa"/>
          </w:tcPr>
          <w:p w:rsidR="00070CA1" w:rsidRPr="00A94918" w:rsidRDefault="00070CA1" w:rsidP="001B541F">
            <w:pPr>
              <w:jc w:val="center"/>
            </w:pPr>
            <w:r w:rsidRPr="00A94918">
              <w:rPr>
                <w:sz w:val="22"/>
                <w:szCs w:val="22"/>
              </w:rPr>
              <w:t>8%</w:t>
            </w:r>
          </w:p>
        </w:tc>
        <w:tc>
          <w:tcPr>
            <w:tcW w:w="1818" w:type="dxa"/>
          </w:tcPr>
          <w:p w:rsidR="00070CA1" w:rsidRPr="00A94918" w:rsidRDefault="00070CA1" w:rsidP="001B541F">
            <w:pPr>
              <w:jc w:val="center"/>
            </w:pPr>
            <w:r w:rsidRPr="00A94918">
              <w:rPr>
                <w:sz w:val="22"/>
                <w:szCs w:val="22"/>
              </w:rPr>
              <w:t>10%</w:t>
            </w:r>
          </w:p>
        </w:tc>
      </w:tr>
      <w:tr w:rsidR="00070CA1" w:rsidRPr="00A94918" w:rsidTr="001B541F">
        <w:trPr>
          <w:jc w:val="center"/>
        </w:trPr>
        <w:tc>
          <w:tcPr>
            <w:tcW w:w="1440" w:type="dxa"/>
          </w:tcPr>
          <w:p w:rsidR="00070CA1" w:rsidRPr="00A94918" w:rsidRDefault="00070CA1" w:rsidP="001B541F">
            <w:pPr>
              <w:jc w:val="center"/>
            </w:pPr>
            <w:r w:rsidRPr="00A94918">
              <w:rPr>
                <w:sz w:val="22"/>
                <w:szCs w:val="22"/>
              </w:rPr>
              <w:t>Case 3</w:t>
            </w:r>
          </w:p>
        </w:tc>
        <w:tc>
          <w:tcPr>
            <w:tcW w:w="1440" w:type="dxa"/>
          </w:tcPr>
          <w:p w:rsidR="00070CA1" w:rsidRPr="00A94918" w:rsidRDefault="00070CA1" w:rsidP="001B541F">
            <w:pPr>
              <w:jc w:val="center"/>
            </w:pPr>
            <w:r w:rsidRPr="00A94918">
              <w:rPr>
                <w:sz w:val="22"/>
                <w:szCs w:val="22"/>
              </w:rPr>
              <w:t>Bond E</w:t>
            </w:r>
          </w:p>
        </w:tc>
        <w:tc>
          <w:tcPr>
            <w:tcW w:w="1440" w:type="dxa"/>
          </w:tcPr>
          <w:p w:rsidR="00070CA1" w:rsidRPr="00A94918" w:rsidRDefault="00070CA1" w:rsidP="001B541F">
            <w:pPr>
              <w:jc w:val="center"/>
            </w:pPr>
            <w:r w:rsidRPr="00A94918">
              <w:rPr>
                <w:sz w:val="22"/>
                <w:szCs w:val="22"/>
              </w:rPr>
              <w:t>12 years</w:t>
            </w:r>
          </w:p>
        </w:tc>
        <w:tc>
          <w:tcPr>
            <w:tcW w:w="1440" w:type="dxa"/>
          </w:tcPr>
          <w:p w:rsidR="00070CA1" w:rsidRPr="00A94918" w:rsidRDefault="00070CA1" w:rsidP="001B541F">
            <w:pPr>
              <w:jc w:val="center"/>
            </w:pPr>
            <w:r w:rsidRPr="00A94918">
              <w:rPr>
                <w:sz w:val="22"/>
                <w:szCs w:val="22"/>
              </w:rPr>
              <w:t>12%</w:t>
            </w:r>
          </w:p>
        </w:tc>
        <w:tc>
          <w:tcPr>
            <w:tcW w:w="1818" w:type="dxa"/>
          </w:tcPr>
          <w:p w:rsidR="00070CA1" w:rsidRPr="00A94918" w:rsidRDefault="00070CA1" w:rsidP="001B541F">
            <w:pPr>
              <w:jc w:val="center"/>
            </w:pPr>
            <w:r w:rsidRPr="00A94918">
              <w:rPr>
                <w:sz w:val="22"/>
                <w:szCs w:val="22"/>
              </w:rPr>
              <w:t>12 %</w:t>
            </w:r>
          </w:p>
        </w:tc>
      </w:tr>
      <w:tr w:rsidR="00070CA1" w:rsidRPr="00A94918" w:rsidTr="001B541F">
        <w:trPr>
          <w:jc w:val="center"/>
        </w:trPr>
        <w:tc>
          <w:tcPr>
            <w:tcW w:w="1440" w:type="dxa"/>
          </w:tcPr>
          <w:p w:rsidR="00070CA1" w:rsidRPr="00A94918" w:rsidRDefault="00070CA1" w:rsidP="001B541F">
            <w:pPr>
              <w:jc w:val="center"/>
            </w:pPr>
          </w:p>
        </w:tc>
        <w:tc>
          <w:tcPr>
            <w:tcW w:w="1440" w:type="dxa"/>
          </w:tcPr>
          <w:p w:rsidR="00070CA1" w:rsidRPr="00A94918" w:rsidRDefault="00070CA1" w:rsidP="001B541F">
            <w:pPr>
              <w:jc w:val="center"/>
            </w:pPr>
            <w:r w:rsidRPr="00A94918">
              <w:rPr>
                <w:sz w:val="22"/>
                <w:szCs w:val="22"/>
              </w:rPr>
              <w:t>Bond F</w:t>
            </w:r>
          </w:p>
        </w:tc>
        <w:tc>
          <w:tcPr>
            <w:tcW w:w="1440" w:type="dxa"/>
          </w:tcPr>
          <w:p w:rsidR="00070CA1" w:rsidRPr="00A94918" w:rsidRDefault="00070CA1" w:rsidP="001B541F">
            <w:pPr>
              <w:jc w:val="center"/>
            </w:pPr>
            <w:r w:rsidRPr="00A94918">
              <w:rPr>
                <w:sz w:val="22"/>
                <w:szCs w:val="22"/>
              </w:rPr>
              <w:t>15 years</w:t>
            </w:r>
          </w:p>
        </w:tc>
        <w:tc>
          <w:tcPr>
            <w:tcW w:w="1440" w:type="dxa"/>
          </w:tcPr>
          <w:p w:rsidR="00070CA1" w:rsidRPr="00A94918" w:rsidRDefault="00070CA1" w:rsidP="001B541F">
            <w:pPr>
              <w:jc w:val="center"/>
            </w:pPr>
            <w:r w:rsidRPr="00A94918">
              <w:rPr>
                <w:sz w:val="22"/>
                <w:szCs w:val="22"/>
              </w:rPr>
              <w:t>12%</w:t>
            </w:r>
          </w:p>
        </w:tc>
        <w:tc>
          <w:tcPr>
            <w:tcW w:w="1818" w:type="dxa"/>
          </w:tcPr>
          <w:p w:rsidR="00070CA1" w:rsidRPr="00A94918" w:rsidRDefault="00070CA1" w:rsidP="001B541F">
            <w:pPr>
              <w:jc w:val="center"/>
            </w:pPr>
            <w:r w:rsidRPr="00A94918">
              <w:rPr>
                <w:sz w:val="22"/>
                <w:szCs w:val="22"/>
              </w:rPr>
              <w:t>8 %</w:t>
            </w:r>
          </w:p>
        </w:tc>
      </w:tr>
    </w:tbl>
    <w:p w:rsidR="00070CA1" w:rsidRPr="00A94918" w:rsidRDefault="00070CA1">
      <w:pPr>
        <w:rPr>
          <w:sz w:val="22"/>
          <w:szCs w:val="22"/>
        </w:rPr>
      </w:pPr>
    </w:p>
    <w:p w:rsidR="00070CA1" w:rsidRPr="00A94918" w:rsidRDefault="00070CA1" w:rsidP="00070CA1">
      <w:pPr>
        <w:pBdr>
          <w:bottom w:val="single" w:sz="6" w:space="0" w:color="auto"/>
        </w:pBdr>
        <w:rPr>
          <w:sz w:val="22"/>
          <w:szCs w:val="22"/>
        </w:rPr>
      </w:pPr>
      <w:r w:rsidRPr="00A94918">
        <w:rPr>
          <w:sz w:val="22"/>
          <w:szCs w:val="22"/>
        </w:rPr>
        <w:t>2. As the portfolio manager for a large pension fund, you are offered the following bonds:</w:t>
      </w:r>
    </w:p>
    <w:tbl>
      <w:tblPr>
        <w:tblStyle w:val="TableGrid"/>
        <w:tblW w:w="0" w:type="auto"/>
        <w:tblLook w:val="04A0"/>
      </w:tblPr>
      <w:tblGrid>
        <w:gridCol w:w="1596"/>
        <w:gridCol w:w="1596"/>
        <w:gridCol w:w="1596"/>
        <w:gridCol w:w="1596"/>
        <w:gridCol w:w="1596"/>
        <w:gridCol w:w="1308"/>
      </w:tblGrid>
      <w:tr w:rsidR="00070CA1" w:rsidRPr="00A94918" w:rsidTr="00A94918">
        <w:tc>
          <w:tcPr>
            <w:tcW w:w="1596" w:type="dxa"/>
          </w:tcPr>
          <w:p w:rsidR="00070CA1" w:rsidRPr="00A94918" w:rsidRDefault="00070CA1" w:rsidP="001B541F"/>
        </w:tc>
        <w:tc>
          <w:tcPr>
            <w:tcW w:w="1596" w:type="dxa"/>
          </w:tcPr>
          <w:p w:rsidR="00070CA1" w:rsidRPr="00A94918" w:rsidRDefault="00070CA1" w:rsidP="001B541F">
            <w:r w:rsidRPr="00A94918">
              <w:t>Coupon</w:t>
            </w:r>
          </w:p>
        </w:tc>
        <w:tc>
          <w:tcPr>
            <w:tcW w:w="1596" w:type="dxa"/>
          </w:tcPr>
          <w:p w:rsidR="00070CA1" w:rsidRPr="00A94918" w:rsidRDefault="00070CA1" w:rsidP="001B541F">
            <w:r w:rsidRPr="00A94918">
              <w:t>Maturity</w:t>
            </w:r>
          </w:p>
        </w:tc>
        <w:tc>
          <w:tcPr>
            <w:tcW w:w="1596" w:type="dxa"/>
          </w:tcPr>
          <w:p w:rsidR="00070CA1" w:rsidRPr="00A94918" w:rsidRDefault="00070CA1" w:rsidP="001B541F">
            <w:r w:rsidRPr="00A94918">
              <w:t>Price</w:t>
            </w:r>
          </w:p>
        </w:tc>
        <w:tc>
          <w:tcPr>
            <w:tcW w:w="1596" w:type="dxa"/>
          </w:tcPr>
          <w:p w:rsidR="00070CA1" w:rsidRPr="00A94918" w:rsidRDefault="00070CA1" w:rsidP="001B541F">
            <w:r w:rsidRPr="00A94918">
              <w:t>Call price</w:t>
            </w:r>
          </w:p>
        </w:tc>
        <w:tc>
          <w:tcPr>
            <w:tcW w:w="1308" w:type="dxa"/>
          </w:tcPr>
          <w:p w:rsidR="00070CA1" w:rsidRPr="00A94918" w:rsidRDefault="00A94918" w:rsidP="001B541F">
            <w:r w:rsidRPr="00A94918">
              <w:t>YTM</w:t>
            </w:r>
          </w:p>
        </w:tc>
      </w:tr>
      <w:tr w:rsidR="00070CA1" w:rsidRPr="00A94918" w:rsidTr="00A94918">
        <w:tc>
          <w:tcPr>
            <w:tcW w:w="1596" w:type="dxa"/>
          </w:tcPr>
          <w:p w:rsidR="00070CA1" w:rsidRPr="00A94918" w:rsidRDefault="00070CA1" w:rsidP="001B541F">
            <w:r w:rsidRPr="00A94918">
              <w:t xml:space="preserve">ABC Corp </w:t>
            </w:r>
          </w:p>
        </w:tc>
        <w:tc>
          <w:tcPr>
            <w:tcW w:w="1596" w:type="dxa"/>
          </w:tcPr>
          <w:p w:rsidR="00070CA1" w:rsidRPr="00A94918" w:rsidRDefault="00070CA1" w:rsidP="001B541F">
            <w:r w:rsidRPr="00A94918">
              <w:t>14%</w:t>
            </w:r>
          </w:p>
        </w:tc>
        <w:tc>
          <w:tcPr>
            <w:tcW w:w="1596" w:type="dxa"/>
          </w:tcPr>
          <w:p w:rsidR="00070CA1" w:rsidRPr="00A94918" w:rsidRDefault="00070CA1" w:rsidP="00D871D9">
            <w:r w:rsidRPr="00A94918">
              <w:t>201</w:t>
            </w:r>
            <w:r w:rsidR="00D871D9">
              <w:t>8</w:t>
            </w:r>
          </w:p>
        </w:tc>
        <w:tc>
          <w:tcPr>
            <w:tcW w:w="1596" w:type="dxa"/>
          </w:tcPr>
          <w:p w:rsidR="00070CA1" w:rsidRPr="00A94918" w:rsidRDefault="00070CA1" w:rsidP="001B541F">
            <w:r w:rsidRPr="00A94918">
              <w:t>101.75</w:t>
            </w:r>
          </w:p>
        </w:tc>
        <w:tc>
          <w:tcPr>
            <w:tcW w:w="1596" w:type="dxa"/>
          </w:tcPr>
          <w:p w:rsidR="00070CA1" w:rsidRPr="00A94918" w:rsidRDefault="00070CA1" w:rsidP="001B541F">
            <w:r w:rsidRPr="00A94918">
              <w:t>114</w:t>
            </w:r>
          </w:p>
        </w:tc>
        <w:tc>
          <w:tcPr>
            <w:tcW w:w="1308" w:type="dxa"/>
          </w:tcPr>
          <w:p w:rsidR="00070CA1" w:rsidRPr="00A94918" w:rsidRDefault="00070CA1" w:rsidP="001B541F">
            <w:r w:rsidRPr="00A94918">
              <w:t>13.85%</w:t>
            </w:r>
          </w:p>
        </w:tc>
      </w:tr>
      <w:tr w:rsidR="00070CA1" w:rsidRPr="00A94918" w:rsidTr="00A94918">
        <w:tc>
          <w:tcPr>
            <w:tcW w:w="1596" w:type="dxa"/>
          </w:tcPr>
          <w:p w:rsidR="00070CA1" w:rsidRPr="00A94918" w:rsidRDefault="00070CA1" w:rsidP="001B541F">
            <w:r w:rsidRPr="00A94918">
              <w:t>ABC Corp</w:t>
            </w:r>
          </w:p>
        </w:tc>
        <w:tc>
          <w:tcPr>
            <w:tcW w:w="1596" w:type="dxa"/>
          </w:tcPr>
          <w:p w:rsidR="00070CA1" w:rsidRPr="00A94918" w:rsidRDefault="00070CA1" w:rsidP="001B541F">
            <w:r w:rsidRPr="00A94918">
              <w:t>6%</w:t>
            </w:r>
          </w:p>
        </w:tc>
        <w:tc>
          <w:tcPr>
            <w:tcW w:w="1596" w:type="dxa"/>
          </w:tcPr>
          <w:p w:rsidR="00070CA1" w:rsidRPr="00A94918" w:rsidRDefault="00070CA1" w:rsidP="00D871D9">
            <w:r w:rsidRPr="00A94918">
              <w:t>201</w:t>
            </w:r>
            <w:r w:rsidR="00D871D9">
              <w:t>8</w:t>
            </w:r>
          </w:p>
        </w:tc>
        <w:tc>
          <w:tcPr>
            <w:tcW w:w="1596" w:type="dxa"/>
          </w:tcPr>
          <w:p w:rsidR="00070CA1" w:rsidRPr="00A94918" w:rsidRDefault="00070CA1" w:rsidP="001B541F">
            <w:r w:rsidRPr="00A94918">
              <w:t>48.125</w:t>
            </w:r>
          </w:p>
        </w:tc>
        <w:tc>
          <w:tcPr>
            <w:tcW w:w="1596" w:type="dxa"/>
          </w:tcPr>
          <w:p w:rsidR="00070CA1" w:rsidRPr="00A94918" w:rsidRDefault="00070CA1" w:rsidP="001B541F">
            <w:r w:rsidRPr="00A94918">
              <w:t>103</w:t>
            </w:r>
          </w:p>
        </w:tc>
        <w:tc>
          <w:tcPr>
            <w:tcW w:w="1308" w:type="dxa"/>
          </w:tcPr>
          <w:p w:rsidR="00070CA1" w:rsidRPr="00A94918" w:rsidRDefault="00070CA1" w:rsidP="001B541F">
            <w:r w:rsidRPr="00A94918">
              <w:t>13.60</w:t>
            </w:r>
          </w:p>
        </w:tc>
      </w:tr>
    </w:tbl>
    <w:p w:rsidR="00070CA1" w:rsidRPr="00A94918" w:rsidRDefault="00070CA1" w:rsidP="00070CA1">
      <w:pPr>
        <w:rPr>
          <w:sz w:val="22"/>
          <w:szCs w:val="22"/>
        </w:rPr>
      </w:pPr>
      <w:r w:rsidRPr="00A94918">
        <w:rPr>
          <w:sz w:val="22"/>
          <w:szCs w:val="22"/>
        </w:rPr>
        <w:t>Assuming that you expect a decline in interest rates over the next 3 years, identify and justify which of these bonds you would select.</w:t>
      </w:r>
      <w:r w:rsidRPr="00A94918">
        <w:rPr>
          <w:sz w:val="22"/>
          <w:szCs w:val="22"/>
        </w:rPr>
        <w:tab/>
      </w:r>
      <w:r w:rsidRPr="00A94918">
        <w:rPr>
          <w:sz w:val="22"/>
          <w:szCs w:val="22"/>
        </w:rPr>
        <w:tab/>
        <w:t xml:space="preserve">           </w:t>
      </w:r>
    </w:p>
    <w:p w:rsidR="00070CA1" w:rsidRPr="00A94918" w:rsidRDefault="00070CA1" w:rsidP="00070CA1">
      <w:pPr>
        <w:rPr>
          <w:sz w:val="22"/>
          <w:szCs w:val="22"/>
        </w:rPr>
      </w:pPr>
    </w:p>
    <w:p w:rsidR="00070CA1" w:rsidRPr="00A94918" w:rsidRDefault="00070CA1" w:rsidP="00070CA1">
      <w:pPr>
        <w:pStyle w:val="BodyText"/>
        <w:numPr>
          <w:ilvl w:val="0"/>
          <w:numId w:val="4"/>
        </w:numPr>
        <w:rPr>
          <w:rFonts w:ascii="Times New Roman" w:hAnsi="Times New Roman"/>
          <w:b/>
          <w:sz w:val="22"/>
          <w:szCs w:val="22"/>
        </w:rPr>
      </w:pPr>
      <w:r w:rsidRPr="00A94918">
        <w:rPr>
          <w:rFonts w:ascii="Times New Roman" w:hAnsi="Times New Roman"/>
          <w:sz w:val="22"/>
          <w:szCs w:val="22"/>
        </w:rPr>
        <w:t>At the present time, you expect a decline in interest rates and must choose between two  portfolios of bonds with the following characteristics:</w:t>
      </w:r>
    </w:p>
    <w:tbl>
      <w:tblPr>
        <w:tblStyle w:val="TableGrid"/>
        <w:tblW w:w="0" w:type="auto"/>
        <w:tblLook w:val="04A0"/>
      </w:tblPr>
      <w:tblGrid>
        <w:gridCol w:w="1982"/>
        <w:gridCol w:w="2046"/>
        <w:gridCol w:w="5350"/>
      </w:tblGrid>
      <w:tr w:rsidR="005D3418" w:rsidRPr="00A94918" w:rsidTr="00A94918">
        <w:tc>
          <w:tcPr>
            <w:tcW w:w="1982" w:type="dxa"/>
          </w:tcPr>
          <w:p w:rsidR="005D3418" w:rsidRPr="00A94918" w:rsidRDefault="005D3418" w:rsidP="00070CA1">
            <w:pPr>
              <w:pStyle w:val="BodyText"/>
              <w:pBdr>
                <w:bottom w:val="none" w:sz="0" w:space="0" w:color="auto"/>
              </w:pBdr>
              <w:rPr>
                <w:rFonts w:ascii="Times New Roman" w:hAnsi="Times New Roman"/>
                <w:sz w:val="22"/>
                <w:szCs w:val="22"/>
              </w:rPr>
            </w:pPr>
          </w:p>
        </w:tc>
        <w:tc>
          <w:tcPr>
            <w:tcW w:w="2046" w:type="dxa"/>
          </w:tcPr>
          <w:p w:rsidR="005D3418" w:rsidRPr="00A94918" w:rsidRDefault="005D3418" w:rsidP="00070CA1">
            <w:pPr>
              <w:pStyle w:val="BodyText"/>
              <w:pBdr>
                <w:bottom w:val="none" w:sz="0" w:space="0" w:color="auto"/>
              </w:pBdr>
              <w:rPr>
                <w:rFonts w:ascii="Times New Roman" w:hAnsi="Times New Roman"/>
                <w:sz w:val="22"/>
                <w:szCs w:val="22"/>
              </w:rPr>
            </w:pPr>
            <w:r w:rsidRPr="00A94918">
              <w:rPr>
                <w:rFonts w:ascii="Times New Roman" w:hAnsi="Times New Roman"/>
                <w:sz w:val="22"/>
                <w:szCs w:val="22"/>
              </w:rPr>
              <w:t>Portfolio A</w:t>
            </w:r>
          </w:p>
        </w:tc>
        <w:tc>
          <w:tcPr>
            <w:tcW w:w="5350" w:type="dxa"/>
          </w:tcPr>
          <w:p w:rsidR="005D3418" w:rsidRPr="00A94918" w:rsidRDefault="005D3418" w:rsidP="00070CA1">
            <w:pPr>
              <w:pStyle w:val="BodyText"/>
              <w:pBdr>
                <w:bottom w:val="none" w:sz="0" w:space="0" w:color="auto"/>
              </w:pBdr>
              <w:rPr>
                <w:rFonts w:ascii="Times New Roman" w:hAnsi="Times New Roman"/>
                <w:sz w:val="22"/>
                <w:szCs w:val="22"/>
              </w:rPr>
            </w:pPr>
            <w:r w:rsidRPr="00A94918">
              <w:rPr>
                <w:rFonts w:ascii="Times New Roman" w:hAnsi="Times New Roman"/>
                <w:sz w:val="22"/>
                <w:szCs w:val="22"/>
              </w:rPr>
              <w:t>Portfolio B</w:t>
            </w:r>
          </w:p>
        </w:tc>
      </w:tr>
      <w:tr w:rsidR="005D3418" w:rsidRPr="00A94918" w:rsidTr="00A94918">
        <w:tc>
          <w:tcPr>
            <w:tcW w:w="1982" w:type="dxa"/>
          </w:tcPr>
          <w:p w:rsidR="005D3418" w:rsidRPr="00A94918" w:rsidRDefault="005D3418" w:rsidP="00070CA1">
            <w:pPr>
              <w:pStyle w:val="BodyText"/>
              <w:pBdr>
                <w:bottom w:val="none" w:sz="0" w:space="0" w:color="auto"/>
              </w:pBdr>
              <w:rPr>
                <w:rFonts w:ascii="Times New Roman" w:hAnsi="Times New Roman"/>
                <w:sz w:val="22"/>
                <w:szCs w:val="22"/>
              </w:rPr>
            </w:pPr>
            <w:r w:rsidRPr="00A94918">
              <w:rPr>
                <w:rFonts w:ascii="Times New Roman" w:hAnsi="Times New Roman"/>
                <w:sz w:val="22"/>
                <w:szCs w:val="22"/>
              </w:rPr>
              <w:t>Average maturity</w:t>
            </w:r>
          </w:p>
        </w:tc>
        <w:tc>
          <w:tcPr>
            <w:tcW w:w="2046" w:type="dxa"/>
          </w:tcPr>
          <w:p w:rsidR="005D3418" w:rsidRPr="00A94918" w:rsidRDefault="005D3418" w:rsidP="00070CA1">
            <w:pPr>
              <w:pStyle w:val="BodyText"/>
              <w:pBdr>
                <w:bottom w:val="none" w:sz="0" w:space="0" w:color="auto"/>
              </w:pBdr>
              <w:rPr>
                <w:rFonts w:ascii="Times New Roman" w:hAnsi="Times New Roman"/>
                <w:sz w:val="22"/>
                <w:szCs w:val="22"/>
              </w:rPr>
            </w:pPr>
            <w:r w:rsidRPr="00A94918">
              <w:rPr>
                <w:rFonts w:ascii="Times New Roman" w:hAnsi="Times New Roman"/>
                <w:sz w:val="22"/>
                <w:szCs w:val="22"/>
              </w:rPr>
              <w:t>10.5 years</w:t>
            </w:r>
          </w:p>
        </w:tc>
        <w:tc>
          <w:tcPr>
            <w:tcW w:w="5350" w:type="dxa"/>
          </w:tcPr>
          <w:p w:rsidR="005D3418" w:rsidRPr="00A94918" w:rsidRDefault="005D3418" w:rsidP="00070CA1">
            <w:pPr>
              <w:pStyle w:val="BodyText"/>
              <w:pBdr>
                <w:bottom w:val="none" w:sz="0" w:space="0" w:color="auto"/>
              </w:pBdr>
              <w:rPr>
                <w:rFonts w:ascii="Times New Roman" w:hAnsi="Times New Roman"/>
                <w:sz w:val="22"/>
                <w:szCs w:val="22"/>
              </w:rPr>
            </w:pPr>
            <w:r w:rsidRPr="00A94918">
              <w:rPr>
                <w:rFonts w:ascii="Times New Roman" w:hAnsi="Times New Roman"/>
                <w:sz w:val="22"/>
                <w:szCs w:val="22"/>
              </w:rPr>
              <w:t>10 years</w:t>
            </w:r>
          </w:p>
        </w:tc>
      </w:tr>
      <w:tr w:rsidR="005D3418" w:rsidRPr="00A94918" w:rsidTr="00A94918">
        <w:tc>
          <w:tcPr>
            <w:tcW w:w="1982" w:type="dxa"/>
          </w:tcPr>
          <w:p w:rsidR="005D3418" w:rsidRPr="00A94918" w:rsidRDefault="005D3418" w:rsidP="00070CA1">
            <w:pPr>
              <w:pStyle w:val="BodyText"/>
              <w:pBdr>
                <w:bottom w:val="none" w:sz="0" w:space="0" w:color="auto"/>
              </w:pBdr>
              <w:rPr>
                <w:rFonts w:ascii="Times New Roman" w:hAnsi="Times New Roman"/>
                <w:sz w:val="22"/>
                <w:szCs w:val="22"/>
              </w:rPr>
            </w:pPr>
            <w:r w:rsidRPr="00A94918">
              <w:rPr>
                <w:rFonts w:ascii="Times New Roman" w:hAnsi="Times New Roman"/>
                <w:sz w:val="22"/>
                <w:szCs w:val="22"/>
              </w:rPr>
              <w:t>Average YTM</w:t>
            </w:r>
          </w:p>
        </w:tc>
        <w:tc>
          <w:tcPr>
            <w:tcW w:w="2046" w:type="dxa"/>
          </w:tcPr>
          <w:p w:rsidR="005D3418" w:rsidRPr="00A94918" w:rsidRDefault="005D3418" w:rsidP="00070CA1">
            <w:pPr>
              <w:pStyle w:val="BodyText"/>
              <w:pBdr>
                <w:bottom w:val="none" w:sz="0" w:space="0" w:color="auto"/>
              </w:pBdr>
              <w:rPr>
                <w:rFonts w:ascii="Times New Roman" w:hAnsi="Times New Roman"/>
                <w:sz w:val="22"/>
                <w:szCs w:val="22"/>
              </w:rPr>
            </w:pPr>
            <w:r w:rsidRPr="00A94918">
              <w:rPr>
                <w:rFonts w:ascii="Times New Roman" w:hAnsi="Times New Roman"/>
                <w:sz w:val="22"/>
                <w:szCs w:val="22"/>
              </w:rPr>
              <w:t>7%</w:t>
            </w:r>
          </w:p>
        </w:tc>
        <w:tc>
          <w:tcPr>
            <w:tcW w:w="5350" w:type="dxa"/>
          </w:tcPr>
          <w:p w:rsidR="005D3418" w:rsidRPr="00A94918" w:rsidRDefault="005D3418" w:rsidP="00070CA1">
            <w:pPr>
              <w:pStyle w:val="BodyText"/>
              <w:pBdr>
                <w:bottom w:val="none" w:sz="0" w:space="0" w:color="auto"/>
              </w:pBdr>
              <w:rPr>
                <w:rFonts w:ascii="Times New Roman" w:hAnsi="Times New Roman"/>
                <w:sz w:val="22"/>
                <w:szCs w:val="22"/>
              </w:rPr>
            </w:pPr>
            <w:r w:rsidRPr="00A94918">
              <w:rPr>
                <w:rFonts w:ascii="Times New Roman" w:hAnsi="Times New Roman"/>
                <w:sz w:val="22"/>
                <w:szCs w:val="22"/>
              </w:rPr>
              <w:t>10%</w:t>
            </w:r>
          </w:p>
        </w:tc>
      </w:tr>
      <w:tr w:rsidR="005D3418" w:rsidRPr="00A94918" w:rsidTr="00A94918">
        <w:tc>
          <w:tcPr>
            <w:tcW w:w="1982" w:type="dxa"/>
          </w:tcPr>
          <w:p w:rsidR="005D3418" w:rsidRPr="00A94918" w:rsidRDefault="005D3418" w:rsidP="00070CA1">
            <w:pPr>
              <w:pStyle w:val="BodyText"/>
              <w:pBdr>
                <w:bottom w:val="none" w:sz="0" w:space="0" w:color="auto"/>
              </w:pBdr>
              <w:rPr>
                <w:rFonts w:ascii="Times New Roman" w:hAnsi="Times New Roman"/>
                <w:sz w:val="22"/>
                <w:szCs w:val="22"/>
              </w:rPr>
            </w:pPr>
            <w:r w:rsidRPr="00A94918">
              <w:rPr>
                <w:rFonts w:ascii="Times New Roman" w:hAnsi="Times New Roman"/>
                <w:sz w:val="22"/>
                <w:szCs w:val="22"/>
              </w:rPr>
              <w:t>Modified Duration</w:t>
            </w:r>
          </w:p>
        </w:tc>
        <w:tc>
          <w:tcPr>
            <w:tcW w:w="2046" w:type="dxa"/>
          </w:tcPr>
          <w:p w:rsidR="005D3418" w:rsidRPr="00A94918" w:rsidRDefault="005D3418" w:rsidP="00070CA1">
            <w:pPr>
              <w:pStyle w:val="BodyText"/>
              <w:pBdr>
                <w:bottom w:val="none" w:sz="0" w:space="0" w:color="auto"/>
              </w:pBdr>
              <w:rPr>
                <w:rFonts w:ascii="Times New Roman" w:hAnsi="Times New Roman"/>
                <w:sz w:val="22"/>
                <w:szCs w:val="22"/>
              </w:rPr>
            </w:pPr>
            <w:r w:rsidRPr="00A94918">
              <w:rPr>
                <w:rFonts w:ascii="Times New Roman" w:hAnsi="Times New Roman"/>
                <w:sz w:val="22"/>
                <w:szCs w:val="22"/>
              </w:rPr>
              <w:t>5.7 years</w:t>
            </w:r>
          </w:p>
        </w:tc>
        <w:tc>
          <w:tcPr>
            <w:tcW w:w="5350" w:type="dxa"/>
          </w:tcPr>
          <w:p w:rsidR="005D3418" w:rsidRPr="00A94918" w:rsidRDefault="005D3418" w:rsidP="00070CA1">
            <w:pPr>
              <w:pStyle w:val="BodyText"/>
              <w:pBdr>
                <w:bottom w:val="none" w:sz="0" w:space="0" w:color="auto"/>
              </w:pBdr>
              <w:rPr>
                <w:rFonts w:ascii="Times New Roman" w:hAnsi="Times New Roman"/>
                <w:sz w:val="22"/>
                <w:szCs w:val="22"/>
              </w:rPr>
            </w:pPr>
            <w:r w:rsidRPr="00A94918">
              <w:rPr>
                <w:rFonts w:ascii="Times New Roman" w:hAnsi="Times New Roman"/>
                <w:sz w:val="22"/>
                <w:szCs w:val="22"/>
              </w:rPr>
              <w:t>4.9 years</w:t>
            </w:r>
          </w:p>
        </w:tc>
      </w:tr>
      <w:tr w:rsidR="005D3418" w:rsidRPr="00A94918" w:rsidTr="00A94918">
        <w:tc>
          <w:tcPr>
            <w:tcW w:w="1982" w:type="dxa"/>
          </w:tcPr>
          <w:p w:rsidR="005D3418" w:rsidRPr="00A94918" w:rsidRDefault="005D3418" w:rsidP="00070CA1">
            <w:pPr>
              <w:pStyle w:val="BodyText"/>
              <w:pBdr>
                <w:bottom w:val="none" w:sz="0" w:space="0" w:color="auto"/>
              </w:pBdr>
              <w:rPr>
                <w:rFonts w:ascii="Times New Roman" w:hAnsi="Times New Roman"/>
                <w:sz w:val="22"/>
                <w:szCs w:val="22"/>
              </w:rPr>
            </w:pPr>
            <w:r w:rsidRPr="00A94918">
              <w:rPr>
                <w:rFonts w:ascii="Times New Roman" w:hAnsi="Times New Roman"/>
                <w:sz w:val="22"/>
                <w:szCs w:val="22"/>
              </w:rPr>
              <w:t>Call features</w:t>
            </w:r>
          </w:p>
        </w:tc>
        <w:tc>
          <w:tcPr>
            <w:tcW w:w="2046" w:type="dxa"/>
          </w:tcPr>
          <w:p w:rsidR="005D3418" w:rsidRPr="00A94918" w:rsidRDefault="005D3418" w:rsidP="00070CA1">
            <w:pPr>
              <w:pStyle w:val="BodyText"/>
              <w:pBdr>
                <w:bottom w:val="none" w:sz="0" w:space="0" w:color="auto"/>
              </w:pBdr>
              <w:rPr>
                <w:rFonts w:ascii="Times New Roman" w:hAnsi="Times New Roman"/>
                <w:sz w:val="22"/>
                <w:szCs w:val="22"/>
              </w:rPr>
            </w:pPr>
            <w:r w:rsidRPr="00A94918">
              <w:rPr>
                <w:rFonts w:ascii="Times New Roman" w:hAnsi="Times New Roman"/>
                <w:sz w:val="22"/>
                <w:szCs w:val="22"/>
              </w:rPr>
              <w:t>Non callable</w:t>
            </w:r>
          </w:p>
        </w:tc>
        <w:tc>
          <w:tcPr>
            <w:tcW w:w="5350" w:type="dxa"/>
          </w:tcPr>
          <w:p w:rsidR="005D3418" w:rsidRPr="00A94918" w:rsidRDefault="005D3418" w:rsidP="00070CA1">
            <w:pPr>
              <w:pStyle w:val="BodyText"/>
              <w:pBdr>
                <w:bottom w:val="none" w:sz="0" w:space="0" w:color="auto"/>
              </w:pBdr>
              <w:rPr>
                <w:rFonts w:ascii="Times New Roman" w:hAnsi="Times New Roman"/>
                <w:sz w:val="22"/>
                <w:szCs w:val="22"/>
              </w:rPr>
            </w:pPr>
            <w:r w:rsidRPr="00A94918">
              <w:rPr>
                <w:rFonts w:ascii="Times New Roman" w:hAnsi="Times New Roman"/>
                <w:sz w:val="22"/>
                <w:szCs w:val="22"/>
              </w:rPr>
              <w:t>Deferred call features that range from 1 to 3 yrs</w:t>
            </w:r>
          </w:p>
        </w:tc>
      </w:tr>
    </w:tbl>
    <w:p w:rsidR="00070CA1" w:rsidRPr="00A94918" w:rsidRDefault="00070CA1" w:rsidP="005D3418">
      <w:pPr>
        <w:ind w:firstLine="720"/>
        <w:rPr>
          <w:sz w:val="22"/>
          <w:szCs w:val="22"/>
        </w:rPr>
      </w:pPr>
    </w:p>
    <w:p w:rsidR="00070CA1" w:rsidRPr="00A94918" w:rsidRDefault="00070CA1" w:rsidP="00070CA1">
      <w:pPr>
        <w:rPr>
          <w:sz w:val="22"/>
          <w:szCs w:val="22"/>
        </w:rPr>
      </w:pPr>
      <w:r w:rsidRPr="00A94918">
        <w:rPr>
          <w:sz w:val="22"/>
          <w:szCs w:val="22"/>
        </w:rPr>
        <w:t xml:space="preserve">Select one of the portfolios and discuss factors that would justify your selection.    </w:t>
      </w:r>
      <w:r w:rsidRPr="00A94918">
        <w:rPr>
          <w:sz w:val="22"/>
          <w:szCs w:val="22"/>
        </w:rPr>
        <w:tab/>
      </w:r>
      <w:r w:rsidRPr="00A94918">
        <w:rPr>
          <w:sz w:val="22"/>
          <w:szCs w:val="22"/>
        </w:rPr>
        <w:tab/>
      </w:r>
      <w:r w:rsidRPr="00A94918">
        <w:rPr>
          <w:sz w:val="22"/>
          <w:szCs w:val="22"/>
        </w:rPr>
        <w:tab/>
      </w:r>
    </w:p>
    <w:p w:rsidR="00070CA1" w:rsidRPr="00A94918" w:rsidRDefault="00070CA1" w:rsidP="00070CA1">
      <w:pPr>
        <w:rPr>
          <w:sz w:val="22"/>
          <w:szCs w:val="22"/>
        </w:rPr>
      </w:pPr>
    </w:p>
    <w:p w:rsidR="00070CA1" w:rsidRPr="00A94918" w:rsidRDefault="005D3418" w:rsidP="00070CA1">
      <w:pPr>
        <w:numPr>
          <w:ilvl w:val="0"/>
          <w:numId w:val="4"/>
        </w:numPr>
        <w:overflowPunct w:val="0"/>
        <w:autoSpaceDE w:val="0"/>
        <w:autoSpaceDN w:val="0"/>
        <w:adjustRightInd w:val="0"/>
        <w:textAlignment w:val="baseline"/>
        <w:rPr>
          <w:sz w:val="22"/>
          <w:szCs w:val="22"/>
        </w:rPr>
      </w:pPr>
      <w:r w:rsidRPr="00A94918">
        <w:rPr>
          <w:sz w:val="22"/>
          <w:szCs w:val="22"/>
        </w:rPr>
        <w:t xml:space="preserve">XYZ corporation </w:t>
      </w:r>
      <w:r w:rsidR="00070CA1" w:rsidRPr="00A94918">
        <w:rPr>
          <w:sz w:val="22"/>
          <w:szCs w:val="22"/>
        </w:rPr>
        <w:t xml:space="preserve"> has issued bonds that pay semi-annually with the following characteristics:</w:t>
      </w:r>
    </w:p>
    <w:tbl>
      <w:tblPr>
        <w:tblStyle w:val="TableGrid"/>
        <w:tblW w:w="0" w:type="auto"/>
        <w:tblInd w:w="1440" w:type="dxa"/>
        <w:tblLook w:val="04A0"/>
      </w:tblPr>
      <w:tblGrid>
        <w:gridCol w:w="1458"/>
        <w:gridCol w:w="815"/>
        <w:gridCol w:w="1096"/>
        <w:gridCol w:w="2031"/>
      </w:tblGrid>
      <w:tr w:rsidR="005D3418" w:rsidRPr="00A94918" w:rsidTr="00A94918">
        <w:tc>
          <w:tcPr>
            <w:tcW w:w="1458" w:type="dxa"/>
          </w:tcPr>
          <w:p w:rsidR="005D3418" w:rsidRPr="00A94918" w:rsidRDefault="005D3418" w:rsidP="00070CA1">
            <w:r w:rsidRPr="00A94918">
              <w:t>Coupon</w:t>
            </w:r>
          </w:p>
        </w:tc>
        <w:tc>
          <w:tcPr>
            <w:tcW w:w="815" w:type="dxa"/>
          </w:tcPr>
          <w:p w:rsidR="005D3418" w:rsidRPr="00A94918" w:rsidRDefault="005D3418" w:rsidP="00070CA1">
            <w:r w:rsidRPr="00A94918">
              <w:t>YTM</w:t>
            </w:r>
          </w:p>
        </w:tc>
        <w:tc>
          <w:tcPr>
            <w:tcW w:w="1096" w:type="dxa"/>
          </w:tcPr>
          <w:p w:rsidR="005D3418" w:rsidRPr="00A94918" w:rsidRDefault="005D3418" w:rsidP="00070CA1">
            <w:r w:rsidRPr="00A94918">
              <w:t>Maturity</w:t>
            </w:r>
          </w:p>
        </w:tc>
        <w:tc>
          <w:tcPr>
            <w:tcW w:w="2031" w:type="dxa"/>
          </w:tcPr>
          <w:p w:rsidR="005D3418" w:rsidRPr="00A94918" w:rsidRDefault="005D3418" w:rsidP="00070CA1">
            <w:r w:rsidRPr="00A94918">
              <w:t>Macaulay Duration</w:t>
            </w:r>
          </w:p>
        </w:tc>
      </w:tr>
      <w:tr w:rsidR="005D3418" w:rsidRPr="00A94918" w:rsidTr="00A94918">
        <w:tc>
          <w:tcPr>
            <w:tcW w:w="1458" w:type="dxa"/>
          </w:tcPr>
          <w:p w:rsidR="005D3418" w:rsidRPr="00A94918" w:rsidRDefault="005D3418" w:rsidP="00070CA1">
            <w:r w:rsidRPr="00A94918">
              <w:t>8%</w:t>
            </w:r>
          </w:p>
        </w:tc>
        <w:tc>
          <w:tcPr>
            <w:tcW w:w="815" w:type="dxa"/>
          </w:tcPr>
          <w:p w:rsidR="005D3418" w:rsidRPr="00A94918" w:rsidRDefault="005D3418" w:rsidP="00070CA1">
            <w:r w:rsidRPr="00A94918">
              <w:t>8%</w:t>
            </w:r>
          </w:p>
        </w:tc>
        <w:tc>
          <w:tcPr>
            <w:tcW w:w="1096" w:type="dxa"/>
          </w:tcPr>
          <w:p w:rsidR="005D3418" w:rsidRPr="00A94918" w:rsidRDefault="005D3418" w:rsidP="00070CA1">
            <w:r w:rsidRPr="00A94918">
              <w:t>15 years</w:t>
            </w:r>
          </w:p>
        </w:tc>
        <w:tc>
          <w:tcPr>
            <w:tcW w:w="2031" w:type="dxa"/>
          </w:tcPr>
          <w:p w:rsidR="005D3418" w:rsidRPr="00A94918" w:rsidRDefault="005D3418" w:rsidP="00070CA1">
            <w:r w:rsidRPr="00A94918">
              <w:t>10 years</w:t>
            </w:r>
          </w:p>
        </w:tc>
      </w:tr>
    </w:tbl>
    <w:p w:rsidR="00070CA1" w:rsidRPr="00A94918" w:rsidRDefault="00070CA1" w:rsidP="005D3418">
      <w:pPr>
        <w:pStyle w:val="ListParagraph"/>
        <w:numPr>
          <w:ilvl w:val="0"/>
          <w:numId w:val="5"/>
        </w:numPr>
        <w:rPr>
          <w:sz w:val="22"/>
          <w:szCs w:val="22"/>
        </w:rPr>
      </w:pPr>
      <w:r w:rsidRPr="00A94918">
        <w:rPr>
          <w:sz w:val="22"/>
          <w:szCs w:val="22"/>
        </w:rPr>
        <w:t>Calculate modified duration using the information above.</w:t>
      </w:r>
      <w:r w:rsidRPr="00A94918">
        <w:rPr>
          <w:sz w:val="22"/>
          <w:szCs w:val="22"/>
        </w:rPr>
        <w:tab/>
      </w:r>
      <w:r w:rsidRPr="00A94918">
        <w:rPr>
          <w:sz w:val="22"/>
          <w:szCs w:val="22"/>
        </w:rPr>
        <w:tab/>
      </w:r>
      <w:r w:rsidRPr="00A94918">
        <w:rPr>
          <w:sz w:val="22"/>
          <w:szCs w:val="22"/>
        </w:rPr>
        <w:tab/>
      </w:r>
      <w:r w:rsidRPr="00A94918">
        <w:rPr>
          <w:sz w:val="22"/>
          <w:szCs w:val="22"/>
        </w:rPr>
        <w:tab/>
      </w:r>
    </w:p>
    <w:p w:rsidR="00070CA1" w:rsidRPr="00A94918" w:rsidRDefault="00070CA1" w:rsidP="005D3418">
      <w:pPr>
        <w:pStyle w:val="BodyTextIndent2"/>
        <w:numPr>
          <w:ilvl w:val="0"/>
          <w:numId w:val="5"/>
        </w:numPr>
        <w:rPr>
          <w:rFonts w:ascii="Times New Roman" w:hAnsi="Times New Roman"/>
          <w:sz w:val="22"/>
          <w:szCs w:val="22"/>
        </w:rPr>
      </w:pPr>
      <w:r w:rsidRPr="00A94918">
        <w:rPr>
          <w:rFonts w:ascii="Times New Roman" w:hAnsi="Times New Roman"/>
          <w:sz w:val="22"/>
          <w:szCs w:val="22"/>
        </w:rPr>
        <w:t>Explain why modified duration is a better measure than maturity when calculating the bond’s</w:t>
      </w:r>
      <w:r w:rsidR="005D3418" w:rsidRPr="00A94918">
        <w:rPr>
          <w:rFonts w:ascii="Times New Roman" w:hAnsi="Times New Roman"/>
          <w:sz w:val="22"/>
          <w:szCs w:val="22"/>
        </w:rPr>
        <w:t xml:space="preserve"> </w:t>
      </w:r>
      <w:r w:rsidRPr="00A94918">
        <w:rPr>
          <w:rFonts w:ascii="Times New Roman" w:hAnsi="Times New Roman"/>
          <w:sz w:val="22"/>
          <w:szCs w:val="22"/>
        </w:rPr>
        <w:t>sensitivity to changes in interest rates.</w:t>
      </w:r>
    </w:p>
    <w:p w:rsidR="00070CA1" w:rsidRPr="00A94918" w:rsidRDefault="00070CA1" w:rsidP="005D3418">
      <w:pPr>
        <w:pStyle w:val="ListParagraph"/>
        <w:numPr>
          <w:ilvl w:val="0"/>
          <w:numId w:val="5"/>
        </w:numPr>
        <w:overflowPunct w:val="0"/>
        <w:autoSpaceDE w:val="0"/>
        <w:autoSpaceDN w:val="0"/>
        <w:adjustRightInd w:val="0"/>
        <w:textAlignment w:val="baseline"/>
        <w:rPr>
          <w:sz w:val="22"/>
          <w:szCs w:val="22"/>
        </w:rPr>
      </w:pPr>
      <w:r w:rsidRPr="00A94918">
        <w:rPr>
          <w:sz w:val="22"/>
          <w:szCs w:val="22"/>
        </w:rPr>
        <w:t xml:space="preserve">Identify the direction of change in modified duration if: </w:t>
      </w:r>
    </w:p>
    <w:p w:rsidR="00070CA1" w:rsidRPr="00A94918" w:rsidRDefault="00070CA1" w:rsidP="00070CA1">
      <w:pPr>
        <w:ind w:left="720"/>
        <w:rPr>
          <w:sz w:val="22"/>
          <w:szCs w:val="22"/>
        </w:rPr>
      </w:pPr>
      <w:r w:rsidRPr="00A94918">
        <w:rPr>
          <w:sz w:val="22"/>
          <w:szCs w:val="22"/>
        </w:rPr>
        <w:t xml:space="preserve">      (i)   </w:t>
      </w:r>
      <w:proofErr w:type="gramStart"/>
      <w:r w:rsidRPr="00A94918">
        <w:rPr>
          <w:sz w:val="22"/>
          <w:szCs w:val="22"/>
        </w:rPr>
        <w:t>the</w:t>
      </w:r>
      <w:proofErr w:type="gramEnd"/>
      <w:r w:rsidRPr="00A94918">
        <w:rPr>
          <w:sz w:val="22"/>
          <w:szCs w:val="22"/>
        </w:rPr>
        <w:t xml:space="preserve"> coupon of the bond were 4%, not 8%</w:t>
      </w:r>
    </w:p>
    <w:p w:rsidR="00070CA1" w:rsidRPr="00A94918" w:rsidRDefault="00070CA1">
      <w:pPr>
        <w:rPr>
          <w:sz w:val="22"/>
          <w:szCs w:val="22"/>
        </w:rPr>
      </w:pPr>
      <w:r w:rsidRPr="00A94918">
        <w:rPr>
          <w:sz w:val="22"/>
          <w:szCs w:val="22"/>
        </w:rPr>
        <w:tab/>
        <w:t xml:space="preserve">     (ii)  </w:t>
      </w:r>
      <w:proofErr w:type="gramStart"/>
      <w:r w:rsidRPr="00A94918">
        <w:rPr>
          <w:sz w:val="22"/>
          <w:szCs w:val="22"/>
        </w:rPr>
        <w:t>the</w:t>
      </w:r>
      <w:proofErr w:type="gramEnd"/>
      <w:r w:rsidRPr="00A94918">
        <w:rPr>
          <w:sz w:val="22"/>
          <w:szCs w:val="22"/>
        </w:rPr>
        <w:t xml:space="preserve"> maturity of the bond were 7 years, not 15 years. </w:t>
      </w:r>
    </w:p>
    <w:p w:rsidR="005D3418" w:rsidRPr="00A94918" w:rsidRDefault="005D3418">
      <w:pPr>
        <w:rPr>
          <w:sz w:val="22"/>
          <w:szCs w:val="22"/>
        </w:rPr>
      </w:pPr>
    </w:p>
    <w:p w:rsidR="000C0CCA" w:rsidRPr="00A94918" w:rsidRDefault="000C0CCA" w:rsidP="000C0CCA">
      <w:pPr>
        <w:pStyle w:val="ListParagraph"/>
        <w:numPr>
          <w:ilvl w:val="0"/>
          <w:numId w:val="4"/>
        </w:numPr>
        <w:rPr>
          <w:sz w:val="22"/>
          <w:szCs w:val="22"/>
        </w:rPr>
      </w:pPr>
      <w:r w:rsidRPr="00A94918">
        <w:rPr>
          <w:sz w:val="22"/>
          <w:szCs w:val="22"/>
        </w:rPr>
        <w:t xml:space="preserve">A 20 year maturity bond with a 10% coupon (paid annually) currently sells at a </w:t>
      </w:r>
      <w:proofErr w:type="gramStart"/>
      <w:r w:rsidRPr="00A94918">
        <w:rPr>
          <w:sz w:val="22"/>
          <w:szCs w:val="22"/>
        </w:rPr>
        <w:t>YTM  of</w:t>
      </w:r>
      <w:proofErr w:type="gramEnd"/>
      <w:r w:rsidRPr="00A94918">
        <w:rPr>
          <w:sz w:val="22"/>
          <w:szCs w:val="22"/>
        </w:rPr>
        <w:t xml:space="preserve"> 9%. A portfolio manager with a 2 year horizon needs to forecast the total return on the bond over the coming 2 years. In 2 years from now the analyst forecasts that 18 year bonds will sell at </w:t>
      </w:r>
      <w:proofErr w:type="gramStart"/>
      <w:r w:rsidRPr="00A94918">
        <w:rPr>
          <w:sz w:val="22"/>
          <w:szCs w:val="22"/>
        </w:rPr>
        <w:t>a</w:t>
      </w:r>
      <w:proofErr w:type="gramEnd"/>
      <w:r w:rsidRPr="00A94918">
        <w:rPr>
          <w:sz w:val="22"/>
          <w:szCs w:val="22"/>
        </w:rPr>
        <w:t xml:space="preserve"> YTM of 8%, and that the coupon payments can be reinvested in short term securities over the coming 2 years at the rate of 7%. Calculate the annualised</w:t>
      </w:r>
      <w:r w:rsidR="00A94918" w:rsidRPr="00A94918">
        <w:rPr>
          <w:sz w:val="22"/>
          <w:szCs w:val="22"/>
        </w:rPr>
        <w:t xml:space="preserve"> rate of return over the two year period.</w:t>
      </w:r>
    </w:p>
    <w:sectPr w:rsidR="000C0CCA" w:rsidRPr="00A94918" w:rsidSect="00987E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4B09"/>
    <w:multiLevelType w:val="hybridMultilevel"/>
    <w:tmpl w:val="760644E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4EF4F50"/>
    <w:multiLevelType w:val="hybridMultilevel"/>
    <w:tmpl w:val="D158D33E"/>
    <w:lvl w:ilvl="0" w:tplc="4C6EAB06">
      <w:start w:val="1"/>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661AB"/>
    <w:multiLevelType w:val="hybridMultilevel"/>
    <w:tmpl w:val="33220062"/>
    <w:lvl w:ilvl="0" w:tplc="7F90155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78EE0D45"/>
    <w:multiLevelType w:val="hybridMultilevel"/>
    <w:tmpl w:val="8A44C82E"/>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7F6A5414"/>
    <w:multiLevelType w:val="hybridMultilevel"/>
    <w:tmpl w:val="B61CDAE0"/>
    <w:lvl w:ilvl="0" w:tplc="4C6EAB0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0CA1"/>
    <w:rsid w:val="00070CA1"/>
    <w:rsid w:val="000C0CCA"/>
    <w:rsid w:val="002A0920"/>
    <w:rsid w:val="004A399D"/>
    <w:rsid w:val="005D3418"/>
    <w:rsid w:val="007601F7"/>
    <w:rsid w:val="00973622"/>
    <w:rsid w:val="00987E36"/>
    <w:rsid w:val="00A94918"/>
    <w:rsid w:val="00D871D9"/>
    <w:rsid w:val="00DA5C4D"/>
    <w:rsid w:val="00E53923"/>
    <w:rsid w:val="00EB6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CA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70CA1"/>
    <w:pPr>
      <w:keepNext/>
      <w:overflowPunct w:val="0"/>
      <w:autoSpaceDE w:val="0"/>
      <w:autoSpaceDN w:val="0"/>
      <w:adjustRightInd w:val="0"/>
      <w:textAlignment w:val="baseline"/>
      <w:outlineLvl w:val="0"/>
    </w:pPr>
    <w:rPr>
      <w:rFonts w:ascii="Arial" w:hAnsi="Arial"/>
      <w:b/>
      <w:bCs/>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0CA1"/>
    <w:rPr>
      <w:rFonts w:ascii="Arial" w:eastAsia="Times New Roman" w:hAnsi="Arial" w:cs="Times New Roman"/>
      <w:b/>
      <w:bCs/>
      <w:iCs/>
      <w:sz w:val="20"/>
      <w:szCs w:val="20"/>
    </w:rPr>
  </w:style>
  <w:style w:type="paragraph" w:styleId="ListParagraph">
    <w:name w:val="List Paragraph"/>
    <w:basedOn w:val="Normal"/>
    <w:uiPriority w:val="34"/>
    <w:qFormat/>
    <w:rsid w:val="00070CA1"/>
    <w:pPr>
      <w:ind w:left="720"/>
      <w:contextualSpacing/>
    </w:pPr>
  </w:style>
  <w:style w:type="paragraph" w:styleId="BodyTextIndent">
    <w:name w:val="Body Text Indent"/>
    <w:basedOn w:val="Normal"/>
    <w:link w:val="BodyTextIndentChar"/>
    <w:semiHidden/>
    <w:rsid w:val="00070CA1"/>
    <w:pPr>
      <w:overflowPunct w:val="0"/>
      <w:autoSpaceDE w:val="0"/>
      <w:autoSpaceDN w:val="0"/>
      <w:adjustRightInd w:val="0"/>
      <w:ind w:left="990" w:hanging="270"/>
      <w:textAlignment w:val="baseline"/>
    </w:pPr>
    <w:rPr>
      <w:rFonts w:ascii="Arial" w:hAnsi="Arial"/>
      <w:sz w:val="20"/>
      <w:szCs w:val="20"/>
      <w:lang w:val="en-AU"/>
    </w:rPr>
  </w:style>
  <w:style w:type="character" w:customStyle="1" w:styleId="BodyTextIndentChar">
    <w:name w:val="Body Text Indent Char"/>
    <w:basedOn w:val="DefaultParagraphFont"/>
    <w:link w:val="BodyTextIndent"/>
    <w:semiHidden/>
    <w:rsid w:val="00070CA1"/>
    <w:rPr>
      <w:rFonts w:ascii="Arial" w:eastAsia="Times New Roman" w:hAnsi="Arial" w:cs="Times New Roman"/>
      <w:sz w:val="20"/>
      <w:szCs w:val="20"/>
      <w:lang w:val="en-AU"/>
    </w:rPr>
  </w:style>
  <w:style w:type="paragraph" w:styleId="BodyText">
    <w:name w:val="Body Text"/>
    <w:basedOn w:val="Normal"/>
    <w:link w:val="BodyTextChar"/>
    <w:semiHidden/>
    <w:rsid w:val="00070CA1"/>
    <w:pPr>
      <w:pBdr>
        <w:bottom w:val="single" w:sz="6" w:space="1" w:color="auto"/>
      </w:pBdr>
      <w:overflowPunct w:val="0"/>
      <w:autoSpaceDE w:val="0"/>
      <w:autoSpaceDN w:val="0"/>
      <w:adjustRightInd w:val="0"/>
      <w:textAlignment w:val="baseline"/>
    </w:pPr>
    <w:rPr>
      <w:rFonts w:ascii="Arial" w:hAnsi="Arial"/>
      <w:sz w:val="20"/>
      <w:szCs w:val="20"/>
      <w:lang w:val="en-AU"/>
    </w:rPr>
  </w:style>
  <w:style w:type="character" w:customStyle="1" w:styleId="BodyTextChar">
    <w:name w:val="Body Text Char"/>
    <w:basedOn w:val="DefaultParagraphFont"/>
    <w:link w:val="BodyText"/>
    <w:semiHidden/>
    <w:rsid w:val="00070CA1"/>
    <w:rPr>
      <w:rFonts w:ascii="Arial" w:eastAsia="Times New Roman" w:hAnsi="Arial" w:cs="Times New Roman"/>
      <w:sz w:val="20"/>
      <w:szCs w:val="20"/>
      <w:lang w:val="en-AU"/>
    </w:rPr>
  </w:style>
  <w:style w:type="paragraph" w:styleId="BodyTextIndent2">
    <w:name w:val="Body Text Indent 2"/>
    <w:basedOn w:val="Normal"/>
    <w:link w:val="BodyTextIndent2Char"/>
    <w:semiHidden/>
    <w:rsid w:val="00070CA1"/>
    <w:pPr>
      <w:overflowPunct w:val="0"/>
      <w:autoSpaceDE w:val="0"/>
      <w:autoSpaceDN w:val="0"/>
      <w:adjustRightInd w:val="0"/>
      <w:ind w:left="990" w:hanging="990"/>
      <w:textAlignment w:val="baseline"/>
    </w:pPr>
    <w:rPr>
      <w:rFonts w:ascii="Arial" w:hAnsi="Arial"/>
      <w:sz w:val="20"/>
      <w:szCs w:val="20"/>
      <w:lang w:val="en-AU"/>
    </w:rPr>
  </w:style>
  <w:style w:type="character" w:customStyle="1" w:styleId="BodyTextIndent2Char">
    <w:name w:val="Body Text Indent 2 Char"/>
    <w:basedOn w:val="DefaultParagraphFont"/>
    <w:link w:val="BodyTextIndent2"/>
    <w:semiHidden/>
    <w:rsid w:val="00070CA1"/>
    <w:rPr>
      <w:rFonts w:ascii="Arial" w:eastAsia="Times New Roman" w:hAnsi="Arial" w:cs="Times New Roman"/>
      <w:sz w:val="20"/>
      <w:szCs w:val="20"/>
      <w:lang w:val="en-AU"/>
    </w:rPr>
  </w:style>
  <w:style w:type="table" w:styleId="TableGrid">
    <w:name w:val="Table Grid"/>
    <w:basedOn w:val="TableNormal"/>
    <w:uiPriority w:val="59"/>
    <w:rsid w:val="00070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pvajpayee</cp:lastModifiedBy>
  <cp:revision>4</cp:revision>
  <dcterms:created xsi:type="dcterms:W3CDTF">2011-06-29T04:14:00Z</dcterms:created>
  <dcterms:modified xsi:type="dcterms:W3CDTF">2016-09-05T08:00:00Z</dcterms:modified>
</cp:coreProperties>
</file>