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D2240"/>
          <w:sz w:val="36"/>
          <w:szCs w:val="36"/>
        </w:rPr>
        <w:t xml:space="preserve">ANNEXURE — LIST OF SCHEMES</w:t>
      </w:r>
    </w:p>
    <w:p>
      <w:pPr>
        <w:spacing w:after="60"/>
        <w:jc w:val="center"/>
      </w:pPr>
      <w:r>
        <w:rPr>
          <w:rFonts w:ascii="Arial" w:cs="Arial" w:eastAsia="Arial" w:hAnsi="Arial"/>
          <w:color w:val="5A6A7A"/>
          <w:sz w:val="22"/>
          <w:szCs w:val="22"/>
        </w:rPr>
        <w:t xml:space="preserve">Jan Setu Platform — MB Sponge &amp; Power Limited, Jamuria</w:t>
      </w:r>
    </w:p>
    <w:p>
      <w:pPr>
        <w:pBdr>
          <w:bottom w:val="single" w:color="E8690B" w:sz="4" w:space="8"/>
        </w:pBdr>
        <w:spacing w:after="300"/>
        <w:jc w:val="center"/>
      </w:pPr>
      <w:r>
        <w:rPr>
          <w:rFonts w:ascii="Arial" w:cs="Arial" w:eastAsia="Arial" w:hAnsi="Arial"/>
          <w:i/>
          <w:iCs/>
          <w:color w:val="5A6A7A"/>
          <w:sz w:val="20"/>
          <w:szCs w:val="20"/>
        </w:rPr>
        <w:t xml:space="preserve">Eligibility-Based Scheme Matching for Workers, Families &amp; Community</w:t>
      </w:r>
    </w:p>
    <w:p>
      <w:pPr>
        <w:pStyle w:val="Heading1"/>
      </w:pPr>
      <w:r>
        <w:t xml:space="preserve">A. Central Government Schemes</w:t>
      </w:r>
    </w:p>
    <w:p>
      <w:pPr>
        <w:spacing w:after="150"/>
      </w:pPr>
      <w:r>
        <w:rPr>
          <w:rFonts w:ascii="Arial" w:cs="Arial" w:eastAsia="Arial" w:hAnsi="Arial"/>
          <w:color w:val="555555"/>
          <w:sz w:val="20"/>
          <w:szCs w:val="20"/>
        </w:rPr>
        <w:t xml:space="preserve">The following central government schemes are available to eligible workers and their family members across India, administered by various central ministries through banks, post offices, and government portals.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200"/>
      </w:tblGrid>
      <w:tr>
        <w:trPr>
          <w:tblHeader/>
        </w:trPr>
        <w:tc>
          <w:tcPr>
            <w:tcW w:type="dxa" w:w="22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Scheme Name</w:t>
            </w:r>
          </w:p>
        </w:tc>
        <w:tc>
          <w:tcPr>
            <w:tcW w:type="dxa" w:w="38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Scheme Description</w:t>
            </w:r>
          </w:p>
        </w:tc>
        <w:tc>
          <w:tcPr>
            <w:tcW w:type="dxa" w:w="16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Benefit</w:t>
            </w:r>
          </w:p>
        </w:tc>
        <w:tc>
          <w:tcPr>
            <w:tcW w:type="dxa" w:w="12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Effort Level</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Pradhan Mantri Jeevan Jyoti Bima Yojana (PMJJBY)</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An insurance scheme offering life insurance cover of Rs.2,00,000 to people in the age group 18-50 years, for death due to any reason (accidental/natural) for a premium of Rs.436 per year. It is a one-year (1st June to 31st May) cover, renewable from year to year. Premium is auto-debited from the subscriber's bank account. Enrollment requires Aadhaar and an active savings bank account.</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Life insurance cover of Rs.2 lakh for death due to any reason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Pradhan Mantri Suraksha Bima Yojana (PMSBY)</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An accidental insurance scheme for people in the age group 18-70 years. It provides insurance of Rs.2,00,000 in case of death/complete disability and Rs.1,00,000 in case of partial disability, at a premium of Rs.20 (auto-debited) from the policyholder's Aadhaar-linked bank account. One-year cover (1st June to 31st May), renewable annually.</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Accidental death and disability cover of up to Rs.2 lakh</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Atal Pension Yojana (APY)</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Subscribers receive fixed pension ranging from Rs.1,000 to Rs.5,000 per month post age 60 years, depending on contributions based on age of joining. Open to savings bank account holders aged 18-40 who are not members of any statutory social security scheme. Government co-contributes 50% (max Rs.1,000/year) for eligible subscribers.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Guaranteed pension of Rs.1,000 to Rs.5,000/month from age 60</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Pradhan Mantri Shram Yogi Mandhan (PM-SYM)</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Provides assured monthly pension of Rs.3,000 to unorganised sector workers after age 60. Applicants between 18-40 years eligible upon monthly contribution of Rs.55 to Rs.200. Worker's monthly income must not exceed Rs.15,000. Requires Aadhaar and savings bank account.</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Rs.3,000/month pension from age 60</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PM Kisan Samman Nidhi Yojana</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Provides financial assistance of Rs.6,000 per year in three equal installments to farmer families having cultivable land. Benefits transferred directly to beneficiary's Aadhaar-linked bank account. Requires Aadhaar, land records, and bank account details.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Rs.6,000/year in three installments of Rs.2,000</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Sukanya Samriddhi Yojana (SSY)</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Savings scheme for girl child below 10 years offering 8.2% per annum interest with tax-free returns. Flexible deposits from Rs.250 to Rs.1.5 lakh/year. Partial withdrawals for education after age 18, full maturity after 21 years or marriage after 18. Account can be opened at any post office or authorized bank.</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Savings at 8.2% interest per annum, tax-free</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Pradhan Mantri Matru Vandana Yojana (PMMVY)</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Maternity benefit of Rs.5,000 in three installments to pregnant women and lactating mothers for first live birth. Compensates wage loss during pregnancy. Requires Aadhaar, bank account in mother's name, and MCP card/hospital registration proof.</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Rs.5,000 in 3 installments for first live birth</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National Scholarship Portal (Pre-Matric SC/ST)</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Pre-matric scholarship for SC/ST students providing Rs.3,500 to Rs.6,000 annually. Requires Aadhaar, caste certificate, income certificate, bank account in student's name, school enrollment proof, and previous year marksheet.</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Rs.3,500 to Rs.6,000/year scholarship</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bl>
    <w:p>
      <w:r>
        <w:br w:type="page"/>
      </w:r>
    </w:p>
    <w:p>
      <w:pPr>
        <w:pStyle w:val="Heading1"/>
      </w:pPr>
      <w:r>
        <w:t xml:space="preserve">B. West Bengal State Government Schemes</w:t>
      </w:r>
    </w:p>
    <w:p>
      <w:pPr>
        <w:spacing w:after="150"/>
      </w:pPr>
      <w:r>
        <w:rPr>
          <w:rFonts w:ascii="Arial" w:cs="Arial" w:eastAsia="Arial" w:hAnsi="Arial"/>
          <w:color w:val="555555"/>
          <w:sz w:val="20"/>
          <w:szCs w:val="20"/>
        </w:rPr>
        <w:t xml:space="preserve">The following state government schemes are specific to residents of West Bengal, administered through Duare Sarkar camps, BDO/SDO offices, online portals, and district-level offices.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200"/>
      </w:tblGrid>
      <w:tr>
        <w:trPr>
          <w:tblHeader/>
        </w:trPr>
        <w:tc>
          <w:tcPr>
            <w:tcW w:type="dxa" w:w="22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Scheme Name</w:t>
            </w:r>
          </w:p>
        </w:tc>
        <w:tc>
          <w:tcPr>
            <w:tcW w:type="dxa" w:w="38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Scheme Description</w:t>
            </w:r>
          </w:p>
        </w:tc>
        <w:tc>
          <w:tcPr>
            <w:tcW w:type="dxa" w:w="16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Benefit</w:t>
            </w:r>
          </w:p>
        </w:tc>
        <w:tc>
          <w:tcPr>
            <w:tcW w:type="dxa" w:w="1200"/>
            <w:tcBorders>
              <w:top w:val="single" w:color="D0D0D0" w:sz="1"/>
              <w:left w:val="single" w:color="D0D0D0" w:sz="1"/>
              <w:bottom w:val="single" w:color="D0D0D0" w:sz="1"/>
              <w:right w:val="single" w:color="D0D0D0" w:sz="1"/>
            </w:tcBorders>
            <w:shd w:fill="F5A043"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Effort Level</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Swasthya Sathi</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Flagship health insurance of WB Government providing basic health cover for secondary and tertiary care up to Rs.5 lakh/year/family. Entire premium borne by State Government. Smart Card issued in name of female head of household, capturing family details, biometric, and SECC ID. Available at 2,800+ empanelled hospitals. Requires Aadhaar, ration card, and photo.</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Health coverage up to Rs.5 lakh per family per year</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Swasthya Sathi Members Addition/Deletion</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Add or delete members in existing Swasthya Sathi Card. Requires photographs, biometric, address, mobile number, and Aadhaar of new members. Updated details provided on the day of enrollment.</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Updated health coverage under existing card</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Lakshmir Bhandar</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income support for WB women aged 25-60 years. Revised Feb 2026: Rs.1,500/month (General), Rs.1,700/month (SC/ST). Requires Aadhaar, Swasthya Sathi card (mandatory prerequisite), bank passbook, caste certificate (if SC/ST), photo, and self-declaration. Swasthya Sathi enrollment must be completed first. Applied through Duare Sarkar camps.</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Rs.1,500 to Rs.1,700 per month (revised Feb 2026)</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Rupashree Prakalpa</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One-time grant of Rs.25,000 for marriage of girls from economically weaker families. Girl must be 18+, unmarried, first marriage, WB resident, family income under Rs.1.5 lakh/year. Groom must be 21+. Girl must have own bank account with IFSC/MICR. Requires Aadhaar, age proof, income certificate, bank passbook, proof of proposed marriage, and photo. Apply 30-60 days before marriage at BDO/SDO office.</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One-time Rs.25,000 marriage grant</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Old Age Pension</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pension of Rs.1,000 for WB residents aged 60+. Application at BDO (rural) or SDO (urban) office. Requires Aadhaar, age proof, and bank passbook.</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 per month pension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Tapasili Bandhu Pension</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pension of Rs.1,000 for senior citizens (60+) belonging to SC category in WB. Requires Aadhaar, SC caste certificate, age proof, and bank passbook.</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Rs.1,000/month for SC seniors</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Jai Johar Pension</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pension of Rs.1,000 for senior citizens (60+) belonging to ST category in WB. Requires Aadhaar, ST caste certificate, age proof, and bank passbook.</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Rs.1,000/month for ST seniors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Disability Pension (Manabik)</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pension of Rs.1,000 for persons with 40%+ disability. No income criteria. Requires Aadhaar, disability certificate from Govt Hospital (CMO), and bank passbook.</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Rs.1,000/month (no income limit)</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Widow Pension</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Monthly pension of Rs.1,000 for widows in WB. Family annual income must not exceed Rs.72,000. Requires Aadhaar, husband's death certificate, income certificate, and bank passbook.</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Rs.1,000/month pension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Kanyashree K1 (Annual Scholarship)</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Annual scholarship of Rs.1,000 for unmarried girls aged 13-18 in Class VIII or above. Family income up to Rs.1.2 lakh/year (exemption for disabled/orphaned). Applied through educational institution. Requires birth certificate, school enrollment, bank account in girl's name, income certificate, unmarried declaration, and photo.</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Rs.1,000/year scholarship</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Low</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Kanyashree K2 (One-Time Grant)</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One-time grant of Rs.25,000 for unmarried girls aged 18-19 pursuing education/training. Same income criteria as K1. Credited via DBT. Requires birth certificate, institution enrollment, bank account in girl's name, income certificate, and unmarried declaration.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Rs.25,000 one-time grant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SVMCM Scholarship</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Merit-cum-means scholarship for WB students from Class XI through postgraduate. Family income up to Rs.2.5 lakh. Rs.12,000 to Rs.96,000/year depending on course level. Online application at svmcm.wb.gov.in. Requires Aadhaar, income certificate, marksheet, admission proof, and bank passbook.</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Rs.12,000 to Rs.96,000/year</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Student's Credit Card</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Loan up to Rs.10 lakh at 4% simple interest for WB students from Cooperative/Public/Private banks. Upper age limit 40 years. Repayment period 15 years. Students in coaching for competitive exams also eligible. Requires Aadhaar, admission proof, and bank passbook.</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Loan up to Rs.10 lakh at 4% interest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Samajik Mukti Card (Bina Mulya Samajik Suraksha)</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Integrates PF, health, death compensation for unorganised workers in WB. Monthly family income must not exceed Rs.6,500. Workers receive Samajik Mukti card, registration number, and PF passbook. Requires Aadhaar, income proof, and bank passbook.</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Free PF + health + death compensation + children's education aid</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Krishak Bandhu</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Financial assistance for WB farmers: Rs.4,000-Rs.10,000/year in two installments (Kharif + Rabi) + Rs.2 lakh life insurance cover. Farmers with 1+ acre get Rs.10,000; below 1 acre get pro-rata (min Rs.4,000). Requires Aadhaar, land records, and bank passbook.</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Rs.4,000-Rs.10,000/year + Rs.2 lakh life cover</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Kanya Vivah (WB Unorganised Workers)</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Rs.25,000 one-time grant from WB Labour Dept for registered unorganised worker's daughter's marriage. Worker must be Samajik Mukti registered, daughter 18+, income under Rs.6,500/month. Requires worker's and daughter's Aadhaar, marriage certificate, age proof, and income certificate.</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Rs.25,000 one-time marriage grant</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Caste Certificate</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SC/ST/OBC-A/OBC-B certificate from SDO office. Enables access to reserved benefits, scholarships, subsidies, and political representation. Available online (e-District) and offline.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Access to reserved benefits and schemes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Ration Card</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Digital ration card via Khadya Sathi portal. Proof of address and income. Required prerequisite for Swasthya Sathi, Lakshmir Bhandar, and other WB schemes. Online and offline application available.</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Subsidized ration + prerequisite for other schemes</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WB Income Certificate</w:t>
            </w:r>
          </w:p>
        </w:tc>
        <w:tc>
          <w:tcPr>
            <w:tcW w:type="dxa" w:w="3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Issued by SDO office. Required for Rupashree, Kanyashree, SVMCM, Widow Pension, and other income-based schemes. Online (e-District) and offline application.</w:t>
            </w:r>
          </w:p>
        </w:tc>
        <w:tc>
          <w:tcPr>
            <w:tcW w:type="dxa" w:w="1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Enables access to income-based welfare schemes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Low</w:t>
            </w:r>
          </w:p>
        </w:tc>
      </w:tr>
      <w:tr>
        <w:tc>
          <w:tcPr>
            <w:tcW w:type="dxa" w:w="2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bCs/>
                <w:color w:val="0D2240"/>
                <w:sz w:val="20"/>
                <w:szCs w:val="20"/>
              </w:rPr>
              <w:t xml:space="preserve">UDID Card (Unique Disability ID)</w:t>
            </w:r>
          </w:p>
        </w:tc>
        <w:tc>
          <w:tcPr>
            <w:tcW w:type="dxa" w:w="38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Universal Disability ID from Dept of Empowerment of Persons with Disabilities, Govt of India. Single identification for accessing all disability benefits. Requires Aadhaar, disability certificate from Govt Hospital (CMO), and passport photo. Apply at swavlambancard.gov.in.</w:t>
            </w:r>
          </w:p>
        </w:tc>
        <w:tc>
          <w:tcPr>
            <w:tcW w:type="dxa" w:w="16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Universal disability ID for all govt benefits</w:t>
            </w:r>
          </w:p>
        </w:tc>
        <w:tc>
          <w:tcPr>
            <w:tcW w:type="dxa" w:w="1200"/>
            <w:tcBorders>
              <w:top w:val="single" w:color="D0D0D0" w:sz="1"/>
              <w:left w:val="single" w:color="D0D0D0" w:sz="1"/>
              <w:bottom w:val="single" w:color="D0D0D0" w:sz="1"/>
              <w:right w:val="single" w:color="D0D0D0" w:sz="1"/>
            </w:tcBorders>
            <w:shd w:fill="FEF3E2"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bl>
    <w:p>
      <w:pPr>
        <w:spacing w:before="400"/>
      </w:pPr>
    </w:p>
    <w:p>
      <w:pPr>
        <w:pStyle w:val="Heading2"/>
      </w:pPr>
      <w:r>
        <w:t xml:space="preserve">Effort Level Classification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00"/>
      </w:tblGrid>
      <w:tr>
        <w:trPr>
          <w:tblHeader/>
        </w:trPr>
        <w:tc>
          <w:tcPr>
            <w:tcW w:type="dxa" w:w="1800"/>
            <w:tcBorders>
              <w:top w:val="single" w:color="D0D0D0" w:sz="1"/>
              <w:left w:val="single" w:color="D0D0D0" w:sz="1"/>
              <w:bottom w:val="single" w:color="D0D0D0" w:sz="1"/>
              <w:right w:val="single" w:color="D0D0D0" w:sz="1"/>
            </w:tcBorders>
            <w:shd w:fill="0D224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Effort Level</w:t>
            </w:r>
          </w:p>
        </w:tc>
        <w:tc>
          <w:tcPr>
            <w:tcW w:type="dxa" w:w="2200"/>
            <w:tcBorders>
              <w:top w:val="single" w:color="D0D0D0" w:sz="1"/>
              <w:left w:val="single" w:color="D0D0D0" w:sz="1"/>
              <w:bottom w:val="single" w:color="D0D0D0" w:sz="1"/>
              <w:right w:val="single" w:color="D0D0D0" w:sz="1"/>
            </w:tcBorders>
            <w:shd w:fill="0D224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 Category</w:t>
            </w:r>
          </w:p>
        </w:tc>
        <w:tc>
          <w:tcPr>
            <w:tcW w:type="dxa" w:w="4800"/>
            <w:tcBorders>
              <w:top w:val="single" w:color="D0D0D0" w:sz="1"/>
              <w:left w:val="single" w:color="D0D0D0" w:sz="1"/>
              <w:bottom w:val="single" w:color="D0D0D0" w:sz="1"/>
              <w:right w:val="single" w:color="D0D0D0" w:sz="1"/>
            </w:tcBorders>
            <w:shd w:fill="0D224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Low</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Category A (Rs.399)</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Simple documentation, minimal facilitation (e.g., income certificate, basic registration).</w:t>
            </w:r>
          </w:p>
        </w:tc>
      </w:tr>
      <w:tr>
        <w:tc>
          <w:tcPr>
            <w:tcW w:type="dxa" w:w="1800"/>
            <w:tcBorders>
              <w:top w:val="single" w:color="D0D0D0" w:sz="1"/>
              <w:left w:val="single" w:color="D0D0D0" w:sz="1"/>
              <w:bottom w:val="single" w:color="D0D0D0" w:sz="1"/>
              <w:right w:val="single" w:color="D0D0D0" w:sz="1"/>
            </w:tcBorders>
            <w:shd w:fill="F4F6F8"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Medium</w:t>
            </w:r>
          </w:p>
        </w:tc>
        <w:tc>
          <w:tcPr>
            <w:tcW w:type="dxa" w:w="2200"/>
            <w:tcBorders>
              <w:top w:val="single" w:color="D0D0D0" w:sz="1"/>
              <w:left w:val="single" w:color="D0D0D0" w:sz="1"/>
              <w:bottom w:val="single" w:color="D0D0D0" w:sz="1"/>
              <w:right w:val="single" w:color="D0D0D0" w:sz="1"/>
            </w:tcBorders>
            <w:shd w:fill="F4F6F8"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Category B (Rs.599)</w:t>
            </w:r>
          </w:p>
        </w:tc>
        <w:tc>
          <w:tcPr>
            <w:tcW w:type="dxa" w:w="4800"/>
            <w:tcBorders>
              <w:top w:val="single" w:color="D0D0D0" w:sz="1"/>
              <w:left w:val="single" w:color="D0D0D0" w:sz="1"/>
              <w:bottom w:val="single" w:color="D0D0D0" w:sz="1"/>
              <w:right w:val="single" w:color="D0D0D0" w:sz="1"/>
            </w:tcBorders>
            <w:shd w:fill="F4F6F8" w:val="clear"/>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Moderate documentation and follow-up with multiple form submissions or verification steps.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High</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bCs/>
                <w:color w:val="333333"/>
                <w:sz w:val="19"/>
                <w:szCs w:val="19"/>
              </w:rPr>
              <w:t xml:space="preserve">Category C (Rs.799)</w:t>
            </w:r>
          </w:p>
        </w:tc>
        <w:tc>
          <w:tcPr>
            <w:tcW w:type="dxa" w:w="4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333333"/>
                <w:sz w:val="19"/>
                <w:szCs w:val="19"/>
              </w:rPr>
              <w:t xml:space="preserve">Detailed eligibility checks, multiple document verifications, and longer processing timelines.</w:t>
            </w:r>
          </w:p>
        </w:tc>
      </w:tr>
    </w:tbl>
    <w:p>
      <w:pPr>
        <w:spacing w:before="300"/>
      </w:pPr>
      <w:r>
        <w:rPr>
          <w:rFonts w:ascii="Arial" w:cs="Arial" w:eastAsia="Arial" w:hAnsi="Arial"/>
          <w:b/>
          <w:bCs/>
          <w:color w:val="0D2240"/>
          <w:sz w:val="22"/>
          <w:szCs w:val="22"/>
        </w:rPr>
        <w:t xml:space="preserve">Total schemes covered: 28 (8 Central + 20 West Bengal State)</w:t>
      </w:r>
    </w:p>
    <w:p>
      <w:pPr>
        <w:spacing w:after="100"/>
      </w:pPr>
      <w:r>
        <w:rPr>
          <w:rFonts w:ascii="Arial" w:cs="Arial" w:eastAsia="Arial" w:hAnsi="Arial"/>
          <w:i/>
          <w:iCs/>
          <w:color w:val="5A6A7A"/>
          <w:sz w:val="18"/>
          <w:szCs w:val="18"/>
        </w:rPr>
        <w:t xml:space="preserve">Note: Scheme eligibility, benefit amounts, and documentation requirements are subject to change as per government notifications. The Jan Setu platform maintains updated scheme data verified from official government portals.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5A6A7A"/>
        <w:sz w:val="16"/>
        <w:szCs w:val="16"/>
      </w:rPr>
      <w:t xml:space="preserve">Jan Setu — Scheme Annexure</w:t>
    </w:r>
    <w:r>
      <w:t xml:space="preserve">	</w:t>
    </w:r>
    <w:r>
      <w:rPr>
        <w:rFonts w:ascii="Arial" w:cs="Arial" w:eastAsia="Arial" w:hAnsi="Arial"/>
        <w:color w:val="5A6A7A"/>
        <w:sz w:val="16"/>
        <w:szCs w:val="16"/>
      </w:rPr>
      <w:t xml:space="preserve">MB Sponge &amp; Power Limited, Jamuria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24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E869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2026-03-10T08:22:20.745Z</dcterms:created>
  <dcterms:modified xsi:type="dcterms:W3CDTF">2026-03-10T08:22:20.746Z</dcterms:modified>
</cp:coreProperties>
</file>

<file path=docProps/custom.xml><?xml version="1.0" encoding="utf-8"?>
<Properties xmlns="http://schemas.openxmlformats.org/officeDocument/2006/custom-properties" xmlns:vt="http://schemas.openxmlformats.org/officeDocument/2006/docPropsVTypes"/>
</file>