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62235" w:val="clear"/>
          </w:tcPr>
          <w:p>
            <w:pPr>
              <w:spacing w:before="2400"/>
            </w:pPr>
          </w:p>
          <w:p>
            <w:pPr>
              <w:pBdr>
                <w:bottom w:val="single" w:color="37DCF2" w:sz="6" w:space="8"/>
              </w:pBdr>
              <w:spacing w:after="500"/>
              <w:ind w:left="1200" w:right="800"/>
            </w:pPr>
            <w:r>
              <w:rPr>
                <w:rFonts w:ascii="Calibri"/>
                <w:color w:val="37DCF2"/>
                <w:spacing w:val="40"/>
                <w:sz w:val="18"/>
                <w:szCs w:val="18"/>
              </w:rPr>
              <w:t xml:space="preserve">S Y S T E M   B U I L D   R E P O R T</w:t>
            </w:r>
          </w:p>
          <w:p>
            <w:pPr>
              <w:spacing w:after="100" w:line="920" w:lineRule="atLeast"/>
              <w:ind w:left="1200"/>
            </w:pPr>
            <w:r>
              <w:rPr>
                <w:rFonts w:ascii="Arial"/>
                <w:b/>
                <w:bCs/>
                <w:color w:val="FFFFFF"/>
                <w:sz w:val="80"/>
                <w:szCs w:val="80"/>
              </w:rPr>
              <w:t xml:space="preserve">TrustRail</w:t>
            </w:r>
          </w:p>
          <w:p>
            <w:pPr>
              <w:spacing w:after="300" w:line="600" w:lineRule="atLeast"/>
              <w:ind w:left="1200"/>
            </w:pPr>
            <w:r>
              <w:rPr>
                <w:rFonts w:ascii="Arial"/>
                <w:b/>
                <w:bCs/>
                <w:color w:val="FFFFFF"/>
                <w:sz w:val="52"/>
                <w:szCs w:val="52"/>
              </w:rPr>
              <w:t xml:space="preserve">System Build &amp; Architecture Report</w:t>
            </w:r>
          </w:p>
          <w:p>
            <w:pPr>
              <w:spacing w:after="800" w:line="320"/>
              <w:ind w:left="1200" w:right="800"/>
            </w:pPr>
            <w:r>
              <w:rPr>
                <w:rFonts w:ascii="Calibri"/>
                <w:color w:val="B0B8C0"/>
                <w:sz w:val="24"/>
                <w:szCs w:val="24"/>
              </w:rPr>
              <w:t xml:space="preserve">Two-stage payment intelligence: pre-approval scam detection + counterfactual gateway routing using doubly-robust causal estimation.</w:t>
            </w:r>
          </w:p>
          <w:p>
            <w:pPr>
              <w:pBdr>
                <w:left w:val="single" w:color="37DCF2" w:sz="8" w:space="12"/>
              </w:pBdr>
              <w:spacing w:after="80"/>
              <w:ind w:left="1400"/>
            </w:pPr>
            <w:r>
              <w:rPr>
                <w:rFonts w:ascii="Consolas"/>
                <w:color w:val="90989F"/>
                <w:sz w:val="24"/>
                <w:szCs w:val="24"/>
              </w:rPr>
              <w:t xml:space="preserve">Project:    TrustRail</w:t>
            </w:r>
          </w:p>
          <w:p>
            <w:pPr>
              <w:pBdr>
                <w:left w:val="single" w:color="37DCF2" w:sz="8" w:space="12"/>
              </w:pBdr>
              <w:spacing w:after="80"/>
              <w:ind w:left="1400"/>
            </w:pPr>
            <w:r>
              <w:rPr>
                <w:rFonts w:ascii="Consolas"/>
                <w:color w:val="90989F"/>
                <w:sz w:val="24"/>
                <w:szCs w:val="24"/>
              </w:rPr>
              <w:t xml:space="preserve">Version:    0.1.0 (all 7 phases complete)</w:t>
            </w:r>
          </w:p>
          <w:p>
            <w:pPr>
              <w:pBdr>
                <w:left w:val="single" w:color="37DCF2" w:sz="8" w:space="12"/>
              </w:pBdr>
              <w:spacing w:after="80"/>
              <w:ind w:left="1400"/>
            </w:pPr>
            <w:r>
              <w:rPr>
                <w:rFonts w:ascii="Consolas"/>
                <w:color w:val="90989F"/>
                <w:sz w:val="24"/>
                <w:szCs w:val="24"/>
              </w:rPr>
              <w:t xml:space="preserve">Date:       September 2026</w:t>
            </w:r>
          </w:p>
          <w:p>
            <w:pPr>
              <w:pBdr>
                <w:left w:val="single" w:color="37DCF2" w:sz="8" w:space="12"/>
              </w:pBdr>
              <w:spacing w:after="80"/>
              <w:ind w:left="1400"/>
            </w:pPr>
            <w:r>
              <w:rPr>
                <w:rFonts w:ascii="Consolas"/>
                <w:color w:val="90989F"/>
                <w:sz w:val="24"/>
                <w:szCs w:val="24"/>
              </w:rPr>
              <w:t xml:space="preserve">Stack:      Next.js 16 + Python FastAPI + EconML + Prisma</w:t>
            </w:r>
          </w:p>
          <w:p>
            <w:pPr>
              <w:pBdr>
                <w:left w:val="single" w:color="37DCF2" w:sz="8" w:space="12"/>
              </w:pBdr>
              <w:spacing w:after="80"/>
              <w:ind w:left="1400"/>
            </w:pPr>
            <w:r>
              <w:rPr>
                <w:rFonts w:ascii="Consolas"/>
                <w:color w:val="90989F"/>
                <w:sz w:val="24"/>
                <w:szCs w:val="24"/>
              </w:rPr>
              <w:t xml:space="preserve">Status:     Live &amp; verified end-to-end</w:t>
            </w:r>
          </w:p>
          <w:p>
            <w:pPr>
              <w:spacing w:before="1800"/>
            </w:pPr>
          </w:p>
          <w:p>
            <w:pPr>
              <w:pBdr>
                <w:top w:val="single" w:color="37DCF2" w:sz="2" w:space="8"/>
              </w:pBdr>
              <w:spacing w:before="200"/>
              <w:ind w:left="1200" w:right="800"/>
            </w:pPr>
            <w:r>
              <w:rPr>
                <w:rFonts w:ascii="Calibri"/>
                <w:color w:val="687078"/>
                <w:sz w:val="16"/>
                <w:szCs w:val="16"/>
              </w:rPr>
              <w:t xml:space="preserve">TrustRail Documentation</w:t>
            </w:r>
            <w:r>
              <w:t xml:space="preserve">                                        </w:t>
            </w:r>
            <w:r>
              <w:rPr>
                <w:rFonts w:ascii="Calibri"/>
                <w:color w:val="687078"/>
                <w:sz w:val="16"/>
                <w:szCs w:val="16"/>
              </w:rPr>
              <w:t xml:space="preserve">Causal Routing + Intent Risk</w:t>
            </w:r>
          </w:p>
        </w:tc>
      </w:tr>
    </w:tbl>
    <w:p>
      <w:pPr>
        <w:sectPr>
          <w:pgSz w:w="11906" w:h="16838" w:orient="portrait"/>
          <w:pgMar w:top="0" w:right="0" w:bottom="0" w:left="0" w:header="708" w:footer="708" w:gutter="0"/>
          <w:pgNumType/>
          <w:docGrid w:linePitch="360"/>
        </w:sectPr>
      </w:pPr>
    </w:p>
    <w:p>
      <w:pPr>
        <w:spacing w:after="320" w:before="240" w:line="312"/>
        <w:jc w:val="center"/>
      </w:pPr>
      <w:r>
        <w:rPr>
          <w:rFonts w:ascii="Calibri" w:eastAsia="SimHei"/>
          <w:b/>
          <w:bCs/>
          <w:color w:val="0A1628"/>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Project Background &amp; Problem Statement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The Two Problems TrustRail Solves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Why This Matters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System Architecture Overview</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3.1 Request Flow</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Table 1: System Components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Complete Project Structure</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Table 2: Full Source Tree</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5. Phase 1–3: ML Pipeline Buildout</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5.1 Phase 1 — Synthetic Data Generator</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Table 3: Confounding Measured in Generated Data</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5.2 Phase 2 — Naive Baseline Router</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5.3 Phase 3 — Causal Router (DR-learner with cross-fitting)</w:t>
            </w:r>
            <w:r>
              <w:tab/>
            </w:r>
            <w:r>
              <w:fldChar w:fldCharType="begin"/>
            </w:r>
            <w:r>
              <w:instrText xml:space="preserve"> PAGEREF _Toc100013 \h </w:instrText>
            </w:r>
            <w:r>
              <w:fldChar w:fldCharType="separate"/>
            </w:r>
            <w:r>
              <w:t>4</w:t>
            </w:r>
            <w:r>
              <w:fldChar w:fldCharType="end"/>
            </w:r>
          </w:hyperlink>
        </w:p>
        <w:p>
          <w:pPr>
            <w:pStyle w:val="12"/>
            <w:ind w:left="720"/>
            <w:tabs>
              <w:tab w:val="right" w:leader="dot" w:pos="9026"/>
            </w:tabs>
            <w:spacing w:before="120" w:after="60"/>
          </w:pPr>
          <w:hyperlink w:anchor="_Toc100014" w:history="1">
            <w:r>
              <w:rPr>
                <w:rStyle w:val="Hyperlink"/>
              </w:rPr>
              <w:t>Table 4: Naive vs Causal vs True — Headline Metrics</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6. Phase 4–7: Application &amp; Feedback Loop</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6.1 Phase 4 — Intent-Risk Model</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6.2 Phase 5 — FastAPI Service</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6.3 Phase 6 — Next.js Dashboard</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6.4 Phase 7 — Feedback Loop</w:t>
            </w:r>
            <w:r>
              <w:tab/>
            </w:r>
            <w:r>
              <w:fldChar w:fldCharType="begin"/>
            </w:r>
            <w:r>
              <w:instrText xml:space="preserve"> PAGEREF _Toc100019 \h </w:instrText>
            </w:r>
            <w:r>
              <w:fldChar w:fldCharType="separate"/>
            </w:r>
            <w:r>
              <w:t>6</w:t>
            </w:r>
            <w:r>
              <w:fldChar w:fldCharType="end"/>
            </w:r>
          </w:hyperlink>
        </w:p>
        <w:p>
          <w:pPr>
            <w:pStyle w:val="9"/>
            <w:tabs>
              <w:tab w:val="right" w:leader="dot" w:pos="9026"/>
            </w:tabs>
            <w:spacing w:before="120" w:after="60"/>
          </w:pPr>
          <w:hyperlink w:anchor="_Toc100020" w:history="1">
            <w:r>
              <w:rPr>
                <w:rStyle w:val="Hyperlink"/>
              </w:rPr>
              <w:t>7. API Endpoints &amp; Interfaces</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7.1 Python FastAPI ML Service (port 8001)</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Table 5: ML Service Endpoints</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7.2 Next.js API Routes (port 3000)</w:t>
            </w:r>
            <w:r>
              <w:tab/>
            </w:r>
            <w:r>
              <w:fldChar w:fldCharType="begin"/>
            </w:r>
            <w:r>
              <w:instrText xml:space="preserve"> PAGEREF _Toc100023 \h </w:instrText>
            </w:r>
            <w:r>
              <w:fldChar w:fldCharType="separate"/>
            </w:r>
            <w:r>
              <w:t>7</w:t>
            </w:r>
            <w:r>
              <w:fldChar w:fldCharType="end"/>
            </w:r>
          </w:hyperlink>
        </w:p>
        <w:p>
          <w:pPr>
            <w:pStyle w:val="12"/>
            <w:ind w:left="720"/>
            <w:tabs>
              <w:tab w:val="right" w:leader="dot" w:pos="9026"/>
            </w:tabs>
            <w:spacing w:before="120" w:after="60"/>
          </w:pPr>
          <w:hyperlink w:anchor="_Toc100024" w:history="1">
            <w:r>
              <w:rPr>
                <w:rStyle w:val="Hyperlink"/>
              </w:rPr>
              <w:t>Table 6: Next.js API Routes</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7.3 External API Keys &amp; Dependencies</w:t>
            </w:r>
            <w:r>
              <w:tab/>
            </w:r>
            <w:r>
              <w:fldChar w:fldCharType="begin"/>
            </w:r>
            <w:r>
              <w:instrText xml:space="preserve"> PAGEREF _Toc100025 \h </w:instrText>
            </w:r>
            <w:r>
              <w:fldChar w:fldCharType="separate"/>
            </w:r>
            <w:r>
              <w:t>7</w:t>
            </w:r>
            <w:r>
              <w:fldChar w:fldCharType="end"/>
            </w:r>
          </w:hyperlink>
        </w:p>
        <w:p>
          <w:pPr>
            <w:pStyle w:val="9"/>
            <w:tabs>
              <w:tab w:val="right" w:leader="dot" w:pos="9026"/>
            </w:tabs>
            <w:spacing w:before="120" w:after="60"/>
          </w:pPr>
          <w:hyperlink w:anchor="_Toc100026" w:history="1">
            <w:r>
              <w:rPr>
                <w:rStyle w:val="Hyperlink"/>
              </w:rPr>
              <w:t>8. Database Schema</w:t>
            </w:r>
            <w:r>
              <w:tab/>
            </w:r>
            <w:r>
              <w:fldChar w:fldCharType="begin"/>
            </w:r>
            <w:r>
              <w:instrText xml:space="preserve"> PAGEREF _Toc100026 \h </w:instrText>
            </w:r>
            <w:r>
              <w:fldChar w:fldCharType="separate"/>
            </w:r>
            <w:r>
              <w:t>7</w:t>
            </w:r>
            <w:r>
              <w:fldChar w:fldCharType="end"/>
            </w:r>
          </w:hyperlink>
        </w:p>
        <w:p>
          <w:pPr>
            <w:pStyle w:val="12"/>
            <w:ind w:left="720"/>
            <w:tabs>
              <w:tab w:val="right" w:leader="dot" w:pos="9026"/>
            </w:tabs>
            <w:spacing w:before="120" w:after="60"/>
          </w:pPr>
          <w:hyperlink w:anchor="_Toc100027" w:history="1">
            <w:r>
              <w:rPr>
                <w:rStyle w:val="Hyperlink"/>
              </w:rPr>
              <w:t>Table 7: Transaction Model Fields</w:t>
            </w:r>
            <w:r>
              <w:tab/>
            </w:r>
            <w:r>
              <w:fldChar w:fldCharType="begin"/>
            </w:r>
            <w:r>
              <w:instrText xml:space="preserve"> PAGEREF _Toc100027 \h </w:instrText>
            </w:r>
            <w:r>
              <w:fldChar w:fldCharType="separate"/>
            </w:r>
            <w:r>
              <w:t>8</w:t>
            </w:r>
            <w:r>
              <w:fldChar w:fldCharType="end"/>
            </w:r>
          </w:hyperlink>
        </w:p>
        <w:p>
          <w:pPr>
            <w:pStyle w:val="9"/>
            <w:tabs>
              <w:tab w:val="right" w:leader="dot" w:pos="9026"/>
            </w:tabs>
            <w:spacing w:before="120" w:after="60"/>
          </w:pPr>
          <w:hyperlink w:anchor="_Toc100028" w:history="1">
            <w:r>
              <w:rPr>
                <w:rStyle w:val="Hyperlink"/>
              </w:rPr>
              <w:t>9. Model Performance Metrics</w:t>
            </w:r>
            <w:r>
              <w:tab/>
            </w:r>
            <w:r>
              <w:fldChar w:fldCharType="begin"/>
            </w:r>
            <w:r>
              <w:instrText xml:space="preserve"> PAGEREF _Toc100028 \h </w:instrText>
            </w:r>
            <w:r>
              <w:fldChar w:fldCharType="separate"/>
            </w:r>
            <w:r>
              <w:t>8</w:t>
            </w:r>
            <w:r>
              <w:fldChar w:fldCharType="end"/>
            </w:r>
          </w:hyperlink>
        </w:p>
        <w:p>
          <w:pPr>
            <w:pStyle w:val="12"/>
            <w:ind w:left="720"/>
            <w:tabs>
              <w:tab w:val="right" w:leader="dot" w:pos="9026"/>
            </w:tabs>
            <w:spacing w:before="120" w:after="60"/>
          </w:pPr>
          <w:hyperlink w:anchor="_Toc100029" w:history="1">
            <w:r>
              <w:rPr>
                <w:rStyle w:val="Hyperlink"/>
              </w:rPr>
              <w:t>Table 8: Intent-Risk Model Metrics</w:t>
            </w:r>
            <w:r>
              <w:tab/>
            </w:r>
            <w:r>
              <w:fldChar w:fldCharType="begin"/>
            </w:r>
            <w:r>
              <w:instrText xml:space="preserve"> PAGEREF _Toc100029 \h </w:instrText>
            </w:r>
            <w:r>
              <w:fldChar w:fldCharType="separate"/>
            </w:r>
            <w:r>
              <w:t>8</w:t>
            </w:r>
            <w:r>
              <w:fldChar w:fldCharType="end"/>
            </w:r>
          </w:hyperlink>
        </w:p>
        <w:p>
          <w:pPr>
            <w:pStyle w:val="12"/>
            <w:ind w:left="720"/>
            <w:tabs>
              <w:tab w:val="right" w:leader="dot" w:pos="9026"/>
            </w:tabs>
            <w:spacing w:before="120" w:after="60"/>
          </w:pPr>
          <w:hyperlink w:anchor="_Toc100030" w:history="1">
            <w:r>
              <w:rPr>
                <w:rStyle w:val="Hyperlink"/>
              </w:rPr>
              <w:t>Table 9: Causal Router Evaluation</w:t>
            </w:r>
            <w:r>
              <w:tab/>
            </w:r>
            <w:r>
              <w:fldChar w:fldCharType="begin"/>
            </w:r>
            <w:r>
              <w:instrText xml:space="preserve"> PAGEREF _Toc100030 \h </w:instrText>
            </w:r>
            <w:r>
              <w:fldChar w:fldCharType="separate"/>
            </w:r>
            <w:r>
              <w:t>8</w:t>
            </w:r>
            <w:r>
              <w:fldChar w:fldCharType="end"/>
            </w:r>
          </w:hyperlink>
        </w:p>
        <w:p>
          <w:pPr>
            <w:pStyle w:val="9"/>
            <w:tabs>
              <w:tab w:val="right" w:leader="dot" w:pos="9026"/>
            </w:tabs>
            <w:spacing w:before="120" w:after="60"/>
          </w:pPr>
          <w:hyperlink w:anchor="_Toc100031" w:history="1">
            <w:r>
              <w:rPr>
                <w:rStyle w:val="Hyperlink"/>
              </w:rPr>
              <w:t>10. Running the System</w:t>
            </w:r>
            <w:r>
              <w:tab/>
            </w:r>
            <w:r>
              <w:fldChar w:fldCharType="begin"/>
            </w:r>
            <w:r>
              <w:instrText xml:space="preserve"> PAGEREF _Toc100031 \h </w:instrText>
            </w:r>
            <w:r>
              <w:fldChar w:fldCharType="separate"/>
            </w:r>
            <w:r>
              <w:t>8</w:t>
            </w:r>
            <w:r>
              <w:fldChar w:fldCharType="end"/>
            </w:r>
          </w:hyperlink>
        </w:p>
        <w:p>
          <w:pPr>
            <w:pStyle w:val="11"/>
            <w:ind w:left="360"/>
            <w:tabs>
              <w:tab w:val="right" w:leader="dot" w:pos="9026"/>
            </w:tabs>
            <w:spacing w:before="120" w:after="60"/>
          </w:pPr>
          <w:hyperlink w:anchor="_Toc100032" w:history="1">
            <w:r>
              <w:rPr>
                <w:rStyle w:val="Hyperlink"/>
              </w:rPr>
              <w:t>10.1 Service Startup</w:t>
            </w:r>
            <w:r>
              <w:tab/>
            </w:r>
            <w:r>
              <w:fldChar w:fldCharType="begin"/>
            </w:r>
            <w:r>
              <w:instrText xml:space="preserve"> PAGEREF _Toc100032 \h </w:instrText>
            </w:r>
            <w:r>
              <w:fldChar w:fldCharType="separate"/>
            </w:r>
            <w:r>
              <w:t>8</w:t>
            </w:r>
            <w:r>
              <w:fldChar w:fldCharType="end"/>
            </w:r>
          </w:hyperlink>
        </w:p>
        <w:p>
          <w:pPr>
            <w:pStyle w:val="11"/>
            <w:ind w:left="360"/>
            <w:tabs>
              <w:tab w:val="right" w:leader="dot" w:pos="9026"/>
            </w:tabs>
            <w:spacing w:before="120" w:after="60"/>
          </w:pPr>
          <w:hyperlink w:anchor="_Toc100033" w:history="1">
            <w:r>
              <w:rPr>
                <w:rStyle w:val="Hyperlink"/>
              </w:rPr>
              <w:t>10.2 Regenerating Models from Scratch</w:t>
            </w:r>
            <w:r>
              <w:tab/>
            </w:r>
            <w:r>
              <w:fldChar w:fldCharType="begin"/>
            </w:r>
            <w:r>
              <w:instrText xml:space="preserve"> PAGEREF _Toc100033 \h </w:instrText>
            </w:r>
            <w:r>
              <w:fldChar w:fldCharType="separate"/>
            </w:r>
            <w:r>
              <w:t>9</w:t>
            </w:r>
            <w:r>
              <w:fldChar w:fldCharType="end"/>
            </w:r>
          </w:hyperlink>
        </w:p>
        <w:p>
          <w:pPr>
            <w:pStyle w:val="11"/>
            <w:ind w:left="360"/>
            <w:tabs>
              <w:tab w:val="right" w:leader="dot" w:pos="9026"/>
            </w:tabs>
            <w:spacing w:before="120" w:after="60"/>
          </w:pPr>
          <w:hyperlink w:anchor="_Toc100034" w:history="1">
            <w:r>
              <w:rPr>
                <w:rStyle w:val="Hyperlink"/>
              </w:rPr>
              <w:t>10.3 Retraining from Feedback (Phase 7)</w:t>
            </w:r>
            <w:r>
              <w:tab/>
            </w:r>
            <w:r>
              <w:fldChar w:fldCharType="begin"/>
            </w:r>
            <w:r>
              <w:instrText xml:space="preserve"> PAGEREF _Toc100034 \h </w:instrText>
            </w:r>
            <w:r>
              <w:fldChar w:fldCharType="separate"/>
            </w:r>
            <w:r>
              <w:t>10</w:t>
            </w:r>
            <w:r>
              <w:fldChar w:fldCharType="end"/>
            </w:r>
          </w:hyperlink>
        </w:p>
        <w:p>
          <w:pPr>
            <w:pStyle w:val="9"/>
            <w:tabs>
              <w:tab w:val="right" w:leader="dot" w:pos="9026"/>
            </w:tabs>
            <w:spacing w:before="120" w:after="60"/>
          </w:pPr>
          <w:hyperlink w:anchor="_Toc100035" w:history="1">
            <w:r>
              <w:rPr>
                <w:rStyle w:val="Hyperlink"/>
              </w:rPr>
              <w:t>11. Why This Project Is Defensible</w:t>
            </w:r>
            <w:r>
              <w:tab/>
            </w:r>
            <w:r>
              <w:fldChar w:fldCharType="begin"/>
            </w:r>
            <w:r>
              <w:instrText xml:space="preserve"> PAGEREF _Toc100035 \h </w:instrText>
            </w:r>
            <w:r>
              <w:fldChar w:fldCharType="separate"/>
            </w:r>
            <w:r>
              <w:t>10</w:t>
            </w:r>
            <w:r>
              <w:fldChar w:fldCharType="end"/>
            </w:r>
          </w:hyperlink>
        </w:p>
        <w:p>
          <w:pPr>
            <w:pStyle w:val="9"/>
            <w:tabs>
              <w:tab w:val="right" w:leader="dot" w:pos="9026"/>
            </w:tabs>
            <w:spacing w:before="120" w:after="60"/>
          </w:pPr>
          <w:hyperlink w:anchor="_Toc100036" w:history="1">
            <w:r>
              <w:rPr>
                <w:rStyle w:val="Hyperlink"/>
              </w:rPr>
              <w:t>12. Conclusion &amp; Status</w:t>
            </w:r>
            <w:r>
              <w:tab/>
            </w:r>
            <w:r>
              <w:fldChar w:fldCharType="begin"/>
            </w:r>
            <w:r>
              <w:instrText xml:space="preserve"> PAGEREF _Toc100036 \h </w:instrText>
            </w:r>
            <w:r>
              <w:fldChar w:fldCharType="separate"/>
            </w:r>
            <w:r>
              <w:t>10</w:t>
            </w:r>
            <w:r>
              <w:fldChar w:fldCharType="end"/>
            </w:r>
          </w:hyperlink>
        </w:p>
        <w:p>
          <w:r>
            <w:fldChar w:fldCharType="end"/>
          </w:r>
        </w:p>
      </w:sdtContent>
    </w:sdt>
    <w:p>
      <w:pPr>
        <w:spacing w:after="80" w:before="200"/>
        <w:jc w:val="center"/>
      </w:pPr>
      <w:r>
        <w:rPr>
          <w:rFonts w:ascii="Calibri"/>
          <w:i/>
          <w:iCs/>
          <w:color w:val="6878A0"/>
          <w:sz w:val="18"/>
          <w:szCs w:val="18"/>
        </w:rPr>
        <w:t xml:space="preserve">Right-click the table above and choose "Update Field" to refresh page numbers.</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Calibri" w:eastAsia="SimHei"/>
          <w:b/>
          <w:bCs/>
          <w:color w:val="0A1628"/>
          <w:sz w:val="32"/>
          <w:szCs w:val="32"/>
        </w:rPr>
        <w:t xml:space="preserve">1. Executive Summary</w:t>
      </w:r>
      <w:bookmarkEnd w:id="100000"/>
    </w:p>
    <w:p>
      <w:pPr>
        <w:spacing w:after="80" w:line="312"/>
        <w:ind w:firstLine="480"/>
        <w:jc w:val="both"/>
      </w:pPr>
      <w:r>
        <w:rPr>
          <w:rFonts w:ascii="Calibri" w:eastAsia="Microsoft YaHei"/>
          <w:color w:val="1A2B40"/>
          <w:sz w:val="24"/>
          <w:szCs w:val="24"/>
        </w:rPr>
        <w:t xml:space="preserve">TrustRail is a complete, end-to-end payment intelligence system that runs two complementary checks on every transaction through a single unified pipeline. The first stage guards the payer against social-engineering scams by detecting the behavioral pattern of a UPI collect-request fraud before approval — where the victim is tricked into approving the transaction themselves. The second stage, executed only after a transaction has cleared Stage 1, picks the smartest payment gateway using counterfactual causal estimates instead of biased historical correlation.</w:t>
      </w:r>
    </w:p>
    <w:p>
      <w:pPr>
        <w:spacing w:after="80" w:line="312"/>
        <w:ind w:firstLine="480"/>
        <w:jc w:val="both"/>
      </w:pPr>
      <w:r>
        <w:rPr>
          <w:rFonts w:ascii="Calibri" w:eastAsia="Microsoft YaHei"/>
          <w:color w:val="1A2B40"/>
          <w:sz w:val="24"/>
          <w:szCs w:val="24"/>
        </w:rPr>
        <w:t xml:space="preserve">All seven planned phases of the project are complete and verified: synthetic data generator with realistic confounding, naive baseline router, doubly-robust causal router with five-fold cross-fitting, intent-risk model with human-readable reasons, FastAPI service wiring both stages, Next.js dashboard with live decisions feed and transaction simulator, and a feedback loop supporting model retraining from observed outcomes. The system is fully functional in a sandbox environment with both services running and communicating cleanly.</w:t>
      </w:r>
    </w:p>
    <w:p>
      <w:pPr>
        <w:spacing w:after="80" w:line="312"/>
        <w:ind w:firstLine="480"/>
        <w:jc w:val="both"/>
      </w:pPr>
      <w:r>
        <w:rPr>
          <w:rFonts w:ascii="Calibri" w:eastAsia="Microsoft YaHei"/>
          <w:color w:val="1A2B40"/>
          <w:sz w:val="24"/>
          <w:szCs w:val="24"/>
        </w:rPr>
        <w:t xml:space="preserve">The headline results demonstrate that the causal-correction approach is defensible. The cross-fit Average Treatment Effect estimate of routing to Gateway B versus A is -9.78 percentage points, within one percentage point of the true value of -10.5 percentage points baked into the synthetic data generator. The naive router overestimates Gateway A success rate by 5.5 percentage points and Gateway B by 9.5 percentage points due to inherited selection bias, while the causal router reduces the per-transaction uplift mean squared error by 17 percent. The intent-risk model achieves an area-under-curve of 0.9994 on the test set with 100 percent scam recall at a calibrated friction threshold of 88 percent.</w:t>
      </w:r>
    </w:p>
    <w:p>
      <w:pPr>
        <w:pStyle w:val="Heading1"/>
        <w:spacing w:after="200" w:before="480" w:line="312"/>
      </w:pPr>
      <w:bookmarkStart w:id="100001" w:name="_Toc100001"/>
      <w:r>
        <w:rPr>
          <w:rFonts w:ascii="Calibri" w:eastAsia="SimHei"/>
          <w:b/>
          <w:bCs/>
          <w:color w:val="0A1628"/>
          <w:sz w:val="32"/>
          <w:szCs w:val="32"/>
        </w:rPr>
        <w:t xml:space="preserve">2. Project Background &amp; Problem Statement</w:t>
      </w:r>
      <w:bookmarkEnd w:id="100001"/>
    </w:p>
    <w:p>
      <w:pPr>
        <w:pStyle w:val="Heading2"/>
        <w:spacing w:after="160" w:before="320" w:line="312"/>
      </w:pPr>
      <w:bookmarkStart w:id="100002" w:name="_Toc100002"/>
      <w:r>
        <w:rPr>
          <w:rFonts w:ascii="Calibri" w:eastAsia="SimHei"/>
          <w:b/>
          <w:bCs/>
          <w:color w:val="0A1628"/>
          <w:sz w:val="28"/>
          <w:szCs w:val="28"/>
        </w:rPr>
        <w:t xml:space="preserve">2.1 The Two Problems TrustRail Solves</w:t>
      </w:r>
      <w:bookmarkEnd w:id="100002"/>
    </w:p>
    <w:p>
      <w:pPr>
        <w:spacing w:after="80" w:line="312"/>
        <w:ind w:firstLine="480"/>
        <w:jc w:val="both"/>
      </w:pPr>
      <w:r>
        <w:rPr>
          <w:rFonts w:ascii="Calibri" w:eastAsia="Microsoft YaHei"/>
          <w:color w:val="1A2B40"/>
          <w:sz w:val="24"/>
          <w:szCs w:val="24"/>
        </w:rPr>
        <w:t xml:space="preserve">Modern payment systems face two distinct failure modes that today's tools handle poorly. The first problem is social-engineering fraud, which is dominant in India's Unified Payments Interface (UPI) ecosystem. A scammer calls the victim, builds trust over a conversation, then sends a collect request disguised as a refund or verification. The victim approves the request themselves using their own authenticated device. To every existing fraud-detection signal — real device, real account, valid authentication tokens, user-initiated approval — the transaction looks completely legitimate. The fraud happened in the conversation, not in the transaction.</w:t>
      </w:r>
    </w:p>
    <w:p>
      <w:pPr>
        <w:spacing w:after="80" w:line="312"/>
        <w:ind w:firstLine="480"/>
        <w:jc w:val="both"/>
      </w:pPr>
      <w:r>
        <w:rPr>
          <w:rFonts w:ascii="Calibri" w:eastAsia="Microsoft YaHei"/>
          <w:color w:val="1A2B40"/>
          <w:sz w:val="24"/>
          <w:szCs w:val="24"/>
        </w:rPr>
        <w:t xml:space="preserve">The second problem is gateway routing. Once a transaction is approved, it must be sent through a payment gateway such as a bank or processor. Most companies pick the gateway using a flawed method: they train a classifier on which gateway succeeded most historically and route to the predicted winner. This has a hidden bug — routing decisions were never random. If Gateway A is the operator's default, easy transactions disproportionately went there on purpose, so the historical success rate of A is inflated by selection bias. A naive model learns "Gateway A looks great" partly because of that bias, not because A is actually better for a given transaction.</w:t>
      </w:r>
    </w:p>
    <w:p>
      <w:pPr>
        <w:pStyle w:val="Heading2"/>
        <w:spacing w:after="160" w:before="320" w:line="312"/>
      </w:pPr>
      <w:bookmarkStart w:id="100003" w:name="_Toc100003"/>
      <w:r>
        <w:rPr>
          <w:rFonts w:ascii="Calibri" w:eastAsia="SimHei"/>
          <w:b/>
          <w:bCs/>
          <w:color w:val="0A1628"/>
          <w:sz w:val="28"/>
          <w:szCs w:val="28"/>
        </w:rPr>
        <w:t xml:space="preserve">2.2 Why This Matters</w:t>
      </w:r>
      <w:bookmarkEnd w:id="100003"/>
    </w:p>
    <w:p>
      <w:pPr>
        <w:spacing w:after="80" w:line="312"/>
        <w:ind w:firstLine="480"/>
        <w:jc w:val="both"/>
      </w:pPr>
      <w:r>
        <w:rPr>
          <w:rFonts w:ascii="Calibri" w:eastAsia="Microsoft YaHei"/>
          <w:color w:val="1A2B40"/>
          <w:sz w:val="24"/>
          <w:szCs w:val="24"/>
        </w:rPr>
        <w:t xml:space="preserve">Both problems share a common root cause: existing systems cannot distinguish between correlation and causation. The scam transaction correlates with all the legitimate signals (real device, real account, user-approved), so it passes every existing check. The naive gateway router correlates success with the gateway that historically won, but that correlation is confounded by the operator's routing policy. TrustRail addresses both gaps using a single unified pipeline: Stage 1 models the behavioral pattern of the lead-up to a scam and intervenes before approval, while Stage 2 estimates the actual counterfactual success probability had this specific transaction gone to each gateway, corrected for the selection bias that every other routing product inherits.</w:t>
      </w:r>
    </w:p>
    <w:p>
      <w:pPr>
        <w:pStyle w:val="Heading1"/>
        <w:spacing w:after="200" w:before="480" w:line="312"/>
      </w:pPr>
      <w:bookmarkStart w:id="100004" w:name="_Toc100004"/>
      <w:r>
        <w:rPr>
          <w:rFonts w:ascii="Calibri" w:eastAsia="SimHei"/>
          <w:b/>
          <w:bCs/>
          <w:color w:val="0A1628"/>
          <w:sz w:val="32"/>
          <w:szCs w:val="32"/>
        </w:rPr>
        <w:t xml:space="preserve">3. System Architecture Overview</w:t>
      </w:r>
      <w:bookmarkEnd w:id="100004"/>
    </w:p>
    <w:p>
      <w:pPr>
        <w:spacing w:after="80" w:line="312"/>
        <w:ind w:firstLine="480"/>
        <w:jc w:val="both"/>
      </w:pPr>
      <w:r>
        <w:rPr>
          <w:rFonts w:ascii="Calibri" w:eastAsia="Microsoft YaHei"/>
          <w:color w:val="1A2B40"/>
          <w:sz w:val="24"/>
          <w:szCs w:val="24"/>
        </w:rPr>
        <w:t xml:space="preserve">TrustRail is built as two cooperating services: a Next.js 16 dashboard that the user interacts with, and a Python FastAPI machine-learning service that holds the trained models and performs inference. The dashboard persists every decision in a Prisma-managed SQLite database so the live feed can poll recent transactions without re-running inference. The ML service exposes its own REST API on port 8001, called by the Next.js API routes via direct localhost when running server-side.</w:t>
      </w:r>
    </w:p>
    <w:p>
      <w:pPr>
        <w:pStyle w:val="Heading2"/>
        <w:spacing w:after="160" w:before="320" w:line="312"/>
      </w:pPr>
      <w:bookmarkStart w:id="100005" w:name="_Toc100005"/>
      <w:r>
        <w:rPr>
          <w:rFonts w:ascii="Calibri" w:eastAsia="SimHei"/>
          <w:b/>
          <w:bCs/>
          <w:color w:val="0A1628"/>
          <w:sz w:val="28"/>
          <w:szCs w:val="28"/>
        </w:rPr>
        <w:t xml:space="preserve">3.1 Request Flow</w:t>
      </w:r>
      <w:bookmarkEnd w:id="100005"/>
    </w:p>
    <w:p>
      <w:pPr>
        <w:spacing w:after="80" w:line="312"/>
        <w:ind w:firstLine="480"/>
        <w:jc w:val="both"/>
      </w:pPr>
      <w:r>
        <w:rPr>
          <w:rFonts w:ascii="Calibri" w:eastAsia="Microsoft YaHei"/>
          <w:color w:val="1A2B40"/>
          <w:sz w:val="24"/>
          <w:szCs w:val="24"/>
        </w:rPr>
        <w:t xml:space="preserve">When a transaction is submitted through the dashboard's simulator or the batch endpoint, the request flows through both stages in sequence. Stage 1 always runs first and produces a verdict of pass, friction, or hard_block. If Stage 1 returns hard_block, the transaction is rejected before any gateway routing occurs. If Stage 1 returns friction, the transaction is held for human review but Stage 2 still runs in the background for transparency. If Stage 1 passes, Stage 2 produces counterfactual success probability estimates for both Gateway A and Gateway B, recommends the gateway with the higher estimate, and records the decision.</w:t>
      </w:r>
    </w:p>
    <w:p>
      <w:pPr>
        <w:pStyle w:val="Heading3"/>
        <w:spacing w:after="120" w:before="240" w:line="312"/>
      </w:pPr>
      <w:bookmarkStart w:id="100006" w:name="_Toc100006"/>
      <w:r>
        <w:rPr>
          <w:rFonts w:ascii="Calibri" w:eastAsia="SimHei"/>
          <w:b/>
          <w:bCs/>
          <w:color w:val="0A1628"/>
          <w:sz w:val="26"/>
          <w:szCs w:val="26"/>
        </w:rPr>
        <w:t xml:space="preserve">Table 1: System Components</w:t>
      </w:r>
      <w:bookmarkEnd w:id="100006"/>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2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Component</w:t>
            </w:r>
          </w:p>
        </w:tc>
        <w:tc>
          <w:tcPr>
            <w:tcW w:type="pct" w:w="3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Location</w:t>
            </w:r>
          </w:p>
        </w:tc>
        <w:tc>
          <w:tcPr>
            <w:tcW w:type="pct" w:w="1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Port</w:t>
            </w:r>
          </w:p>
        </w:tc>
        <w:tc>
          <w:tcPr>
            <w:tcW w:type="pct" w:w="3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Role</w:t>
            </w:r>
          </w:p>
        </w:tc>
      </w:tr>
      <w:tr>
        <w:trPr>
          <w:cantSplit/>
        </w:trPr>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Next.js Dashboard</w:t>
            </w:r>
          </w:p>
        </w:tc>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src/app/page.tsx</w:t>
            </w:r>
          </w:p>
        </w:tc>
        <w:tc>
          <w:tcPr>
            <w:tcW w:type="pct" w:w="1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3000</w:t>
            </w:r>
          </w:p>
        </w:tc>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Single user-visible route; renders simulator, live feed, stats panels</w:t>
            </w:r>
          </w:p>
        </w:tc>
      </w:tr>
      <w:tr>
        <w:trPr>
          <w:cantSplit/>
        </w:trPr>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Next.js API Gateway</w:t>
            </w:r>
          </w:p>
        </w:tc>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src/app/api/*</w:t>
            </w:r>
          </w:p>
        </w:tc>
        <w:tc>
          <w:tcPr>
            <w:tcW w:type="pct" w:w="1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3000</w:t>
            </w:r>
          </w:p>
        </w:tc>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6 routes proxying to Python ML service + Prisma persistence</w:t>
            </w:r>
          </w:p>
        </w:tc>
      </w:tr>
      <w:tr>
        <w:trPr>
          <w:cantSplit/>
        </w:trPr>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Prisma SQLite DB</w:t>
            </w:r>
          </w:p>
        </w:tc>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db/custom.db</w:t>
            </w:r>
          </w:p>
        </w:tc>
        <w:tc>
          <w:tcPr>
            <w:tcW w:type="pct" w:w="1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t>
            </w:r>
          </w:p>
        </w:tc>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Stores every transaction decision, feedback, and ground-truth outcomes</w:t>
            </w:r>
          </w:p>
        </w:tc>
      </w:tr>
      <w:tr>
        <w:trPr>
          <w:cantSplit/>
        </w:trPr>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Python FastAPI ML Service</w:t>
            </w:r>
          </w:p>
        </w:tc>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trustrail-ml/main.py</w:t>
            </w:r>
          </w:p>
        </w:tc>
        <w:tc>
          <w:tcPr>
            <w:tcW w:type="pct" w:w="1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8001</w:t>
            </w:r>
          </w:p>
        </w:tc>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Holds trained models; performs Stage 1 + Stage 2 inference</w:t>
            </w:r>
          </w:p>
        </w:tc>
      </w:tr>
      <w:tr>
        <w:trPr>
          <w:cantSplit/>
        </w:trPr>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Trained Model Artifacts</w:t>
            </w:r>
          </w:p>
        </w:tc>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trustrail-ml/artifacts/*.joblib</w:t>
            </w:r>
          </w:p>
        </w:tc>
        <w:tc>
          <w:tcPr>
            <w:tcW w:type="pct" w:w="1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t>
            </w:r>
          </w:p>
        </w:tc>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Serialized scikit-learn + EconML models loaded at startup</w:t>
            </w:r>
          </w:p>
        </w:tc>
      </w:tr>
      <w:tr>
        <w:trPr>
          <w:cantSplit/>
        </w:trPr>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Generated Training Data</w:t>
            </w:r>
          </w:p>
        </w:tc>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trustrail-ml/data/transactions.csv</w:t>
            </w:r>
          </w:p>
        </w:tc>
        <w:tc>
          <w:tcPr>
            <w:tcW w:type="pct" w:w="1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t>
            </w:r>
          </w:p>
        </w:tc>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12,000 synthetic transactions with known ground-truth counterfactuals</w:t>
            </w:r>
          </w:p>
        </w:tc>
      </w:tr>
      <w:tr>
        <w:trPr>
          <w:cantSplit/>
        </w:trPr>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Decision Log</w:t>
            </w:r>
          </w:p>
        </w:tc>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trustrail-ml/data/decisions.jsonl</w:t>
            </w:r>
          </w:p>
        </w:tc>
        <w:tc>
          <w:tcPr>
            <w:tcW w:type="pct" w:w="1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t>
            </w:r>
          </w:p>
        </w:tc>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Append-only log of every decision the ML service makes</w:t>
            </w:r>
          </w:p>
        </w:tc>
      </w:tr>
      <w:tr>
        <w:trPr>
          <w:cantSplit/>
        </w:trPr>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Feedback Log</w:t>
            </w:r>
          </w:p>
        </w:tc>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trustrail-ml/data/feedback.jsonl</w:t>
            </w:r>
          </w:p>
        </w:tc>
        <w:tc>
          <w:tcPr>
            <w:tcW w:type="pct" w:w="1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t>
            </w:r>
          </w:p>
        </w:tc>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Logged outcomes from routed transactions, used for retraining</w:t>
            </w:r>
          </w:p>
        </w:tc>
      </w:tr>
    </w:tbl>
    <w:p>
      <w:pPr>
        <w:pStyle w:val="Heading1"/>
        <w:spacing w:after="200" w:before="480" w:line="312"/>
      </w:pPr>
      <w:bookmarkStart w:id="100007" w:name="_Toc100007"/>
      <w:r>
        <w:rPr>
          <w:rFonts w:ascii="Calibri" w:eastAsia="SimHei"/>
          <w:b/>
          <w:bCs/>
          <w:color w:val="0A1628"/>
          <w:sz w:val="32"/>
          <w:szCs w:val="32"/>
        </w:rPr>
        <w:t xml:space="preserve">4. Complete Project Structure</w:t>
      </w:r>
      <w:bookmarkEnd w:id="100007"/>
    </w:p>
    <w:p>
      <w:pPr>
        <w:spacing w:after="80" w:line="312"/>
        <w:ind w:firstLine="480"/>
        <w:jc w:val="both"/>
      </w:pPr>
      <w:r>
        <w:rPr>
          <w:rFonts w:ascii="Calibri" w:eastAsia="Microsoft YaHei"/>
          <w:color w:val="1A2B40"/>
          <w:sz w:val="24"/>
          <w:szCs w:val="24"/>
        </w:rPr>
        <w:t xml:space="preserve">The project lives entirely under /home/z/my-project/. The Next.js dashboard occupies the project root (the standard fullstack-dev scaffold layout), and the Python ML service lives in a sibling subdirectory trustrail-ml/. The full file tree below shows every source file created or modified during the build, with annotations explaining each file's purpose.</w:t>
      </w:r>
    </w:p>
    <w:p>
      <w:pPr>
        <w:pStyle w:val="Heading3"/>
        <w:spacing w:after="120" w:before="240" w:line="312"/>
      </w:pPr>
      <w:bookmarkStart w:id="100008" w:name="_Toc100008"/>
      <w:r>
        <w:rPr>
          <w:rFonts w:ascii="Calibri" w:eastAsia="SimHei"/>
          <w:b/>
          <w:bCs/>
          <w:color w:val="0A1628"/>
          <w:sz w:val="26"/>
          <w:szCs w:val="26"/>
        </w:rPr>
        <w:t xml:space="preserve">Table 2: Full Source Tree</w:t>
      </w:r>
      <w:bookmarkEnd w:id="100008"/>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4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File</w:t>
            </w:r>
          </w:p>
        </w:tc>
        <w:tc>
          <w:tcPr>
            <w:tcW w:type="pct" w:w="5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Role</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prisma/schema.prisma</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SQLite schema for Transaction + ModelArtifact models</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src/app/layout.tsx</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Root layout with TrustRail metadata</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src/app/page.tsx</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Dashboard — single user-visible route with 3 tabs (Dashboard / Pipeline / Latest decision)</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src/app/api/transaction/route.ts</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/api/transaction — proxy to ML service + persist to Prisma</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src/app/api/transactions/recent/route.ts</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GET /api/transactions/recent — pull from Prisma for live feed</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src/app/api/stats/route.ts</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GET /api/stats — proxy to ML service for headline metrics</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src/app/api/simulate/route.ts</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/api/simulate — batch simulator; persists each decision</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src/app/api/feedback/route.ts</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/api/feedback — Phase 7: log outcome of a routed transaction</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src/app/api/retrain/route.ts</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/api/retrain — Phase 7: retrain all 3 models on feedback-extended data</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src/components/dashboard/stats-panel.tsx</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Bias-correction story panel with 6 side-by-side naive vs causal vs true comparisons</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src/components/dashboard/simulator.tsx</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Transaction simulator form with 3 risk presets (Normal send / Refund scam / Hard routing)</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src/components/dashboard/live-feed.tsx</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Auto-refreshing live decisions feed (polls every 4 seconds)</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src/components/dashboard/decision-card.tsx</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Per-transaction pipeline explanation card (Stage 1 reasons + Stage 2 counterfactuals)</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src/components/dashboard/metric-card.tsx</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Reusable metric card + bias-comparison card with "Causal estimator closer to truth" badge</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src/components/dashboard/actions-panel.tsx</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Phase 7 actions: Simulate batch + Retrain from feedback buttons</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src/components/dashboard/architecture-panel.tsx</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Pipeline &amp; Methodology explainer tab</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src/lib/trustrail.ts</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Typed Python ML client (server-side, uses direct localhost)</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src/lib/trustrail-internal.ts</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Server-only constants (ML_BASE_URL)</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src/lib/dashboard.ts</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Shared types + formatters (fmtPct, fmtNum, verdict labels)</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src/lib/db.ts</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Prisma client singleton</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trustrail-ml/data_generator.py</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Phase 1: synthetic data generator with realistic confounding</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trustrail-ml/naive_router.py</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Phase 2: naive baseline router (two independent GBDT classifiers)</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trustrail-ml/causal_router.py</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Phase 3: DR-learner + 5-fold cross-fitting + EconML DRLearner for ATE</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trustrail-ml/intent_risk.py</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Phase 4: logistic regression + 5 human-readable reason rules</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trustrail-ml/main.py</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Phase 5: FastAPI service wiring both stages, 7 endpoints</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trustrail-ml/artifacts/naive_router.joblib</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Trained naive router (531 KB)</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trustrail-ml/artifacts/causal_router.joblib</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Trained causal router bundle (4.2 MB)</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trustrail-ml/artifacts/intent_risk.joblib</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Trained intent-risk model (3.5 KB)</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trustrail-ml/data/transactions.csv</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12,000 generated transactions with ground-truth counterfactuals</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trustrail-ml/data/router_comparison.csv</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Per-transaction naive vs causal vs true comparison</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trustrail-ml/data/summary.json</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Phase 1 data generator summary (confounding measurements)</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trustrail-ml/data/feedback.jsonl</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Append-only outcome log (Phase 7)</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trustrail-ml/data/decisions.jsonl</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Append-only decision log</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scripts/start-trustrail-ml.sh</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Starts Python ML service in background with setsid</w:t>
            </w:r>
          </w:p>
        </w:tc>
      </w:tr>
      <w:tr>
        <w:trPr>
          <w:cantSplit/>
        </w:trPr>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README.md</w:t>
            </w:r>
          </w:p>
        </w:tc>
        <w:tc>
          <w:tcPr>
            <w:tcW w:type="pct" w:w="5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Project documentation</w:t>
            </w:r>
          </w:p>
        </w:tc>
      </w:tr>
      <w:tr>
        <w:trPr>
          <w:cantSplit/>
        </w:trPr>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worklog.md</w:t>
            </w:r>
          </w:p>
        </w:tc>
        <w:tc>
          <w:tcPr>
            <w:tcW w:type="pct" w:w="5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Multi-agent work log (this session)</w:t>
            </w:r>
          </w:p>
        </w:tc>
      </w:tr>
    </w:tbl>
    <w:p>
      <w:pPr>
        <w:pStyle w:val="Heading1"/>
        <w:spacing w:after="200" w:before="480" w:line="312"/>
      </w:pPr>
      <w:bookmarkStart w:id="100009" w:name="_Toc100009"/>
      <w:r>
        <w:rPr>
          <w:rFonts w:ascii="Calibri" w:eastAsia="SimHei"/>
          <w:b/>
          <w:bCs/>
          <w:color w:val="0A1628"/>
          <w:sz w:val="32"/>
          <w:szCs w:val="32"/>
        </w:rPr>
        <w:t xml:space="preserve">5. Phase 1–3: ML Pipeline Buildout</w:t>
      </w:r>
      <w:bookmarkEnd w:id="100009"/>
    </w:p>
    <w:p>
      <w:pPr>
        <w:pStyle w:val="Heading2"/>
        <w:spacing w:after="160" w:before="320" w:line="312"/>
      </w:pPr>
      <w:bookmarkStart w:id="100010" w:name="_Toc100010"/>
      <w:r>
        <w:rPr>
          <w:rFonts w:ascii="Calibri" w:eastAsia="SimHei"/>
          <w:b/>
          <w:bCs/>
          <w:color w:val="0A1628"/>
          <w:sz w:val="28"/>
          <w:szCs w:val="28"/>
        </w:rPr>
        <w:t xml:space="preserve">5.1 Phase 1 — Synthetic Data Generator</w:t>
      </w:r>
      <w:bookmarkEnd w:id="100010"/>
    </w:p>
    <w:p>
      <w:pPr>
        <w:spacing w:after="80" w:line="312"/>
        <w:ind w:firstLine="480"/>
        <w:jc w:val="both"/>
      </w:pPr>
      <w:r>
        <w:rPr>
          <w:rFonts w:ascii="Calibri" w:eastAsia="Microsoft YaHei"/>
          <w:color w:val="1A2B40"/>
          <w:sz w:val="24"/>
          <w:szCs w:val="24"/>
        </w:rPr>
        <w:t xml:space="preserve">The single most important artifact in the whole project is the synthetic data generator. If the confounding is not realistic, the causal-correction demo has nothing to prove. The generator produces 12,000 transactions where the routing policy correlates with transaction difficulty. Gateway A is the default gateway; operators send easy, low-risk, in-hours, small-amount, known-payee transactions there disproportionately. Gateway B is the overflow gateway that receives harder transactions — out-of-hours, first-time payees, high amounts. Both gateways have different true success functions baked into the generator: Gateway A is genuinely better for small in-hours repeat transactions, while Gateway B is genuinely better for large out-of-hours first-time-payee transactions.</w:t>
      </w:r>
    </w:p>
    <w:p>
      <w:pPr>
        <w:spacing w:after="80" w:line="312"/>
        <w:ind w:firstLine="480"/>
        <w:jc w:val="both"/>
      </w:pPr>
      <w:r>
        <w:rPr>
          <w:rFonts w:ascii="Calibri" w:eastAsia="Microsoft YaHei"/>
          <w:color w:val="1A2B40"/>
          <w:sz w:val="24"/>
          <w:szCs w:val="24"/>
        </w:rPr>
        <w:t xml:space="preserve">The generator also produces social-engineering scam transactions at a 6 percent rate, matching the India/UPI pattern: collect-request direction, high amount, odd hour, suspiciously fast approval latency. Crucially, the generator stores ground-truth counterfactuals for every transaction — p_success_a_true and p_success_b_true — so the bias of any estimator can be measured against a known truth, not just claimed.</w:t>
      </w:r>
    </w:p>
    <w:p>
      <w:pPr>
        <w:pStyle w:val="Heading3"/>
        <w:spacing w:after="120" w:before="240" w:line="312"/>
      </w:pPr>
      <w:bookmarkStart w:id="100011" w:name="_Toc100011"/>
      <w:r>
        <w:rPr>
          <w:rFonts w:ascii="Calibri" w:eastAsia="SimHei"/>
          <w:b/>
          <w:bCs/>
          <w:color w:val="0A1628"/>
          <w:sz w:val="26"/>
          <w:szCs w:val="26"/>
        </w:rPr>
        <w:t xml:space="preserve">Table 3: Confounding Measured in Generated Data</w:t>
      </w:r>
      <w:bookmarkEnd w:id="100011"/>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tblGrid>
      <w:tr>
        <w:trPr>
          <w:cantSplit/>
          <w:tblHeader/>
        </w:trPr>
        <w:tc>
          <w:tcPr>
            <w:tcW w:type="pct" w:w="4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Confounding metric</w:t>
            </w:r>
          </w:p>
        </w:tc>
        <w:tc>
          <w:tcPr>
            <w:tcW w:type="pct" w:w="1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Value</w:t>
            </w:r>
          </w:p>
        </w:tc>
        <w:tc>
          <w:tcPr>
            <w:tcW w:type="pct" w:w="4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Interpretation</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Out-of-hours rate (Gateway B minus A)</w:t>
            </w:r>
          </w:p>
        </w:tc>
        <w:tc>
          <w:tcPr>
            <w:tcW w:type="pct" w:w="1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+15.26 pp</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Gateway B receives more odd-hour transactions</w:t>
            </w:r>
          </w:p>
        </w:tc>
      </w:tr>
      <w:tr>
        <w:trPr>
          <w:cantSplit/>
        </w:trPr>
        <w:tc>
          <w:tcPr>
            <w:tcW w:type="pct" w:w="4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First-time-payee rate (B minus A)</w:t>
            </w:r>
          </w:p>
        </w:tc>
        <w:tc>
          <w:tcPr>
            <w:tcW w:type="pct" w:w="1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+20.94 pp</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Gateway B receives more first-time-payee transactions</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Amount z-score (B minus A)</w:t>
            </w:r>
          </w:p>
        </w:tc>
        <w:tc>
          <w:tcPr>
            <w:tcW w:type="pct" w:w="1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+56.77 pp</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Gateway B receives higher-amount transactions</w:t>
            </w:r>
          </w:p>
        </w:tc>
      </w:tr>
      <w:tr>
        <w:trPr>
          <w:cantSplit/>
        </w:trPr>
        <w:tc>
          <w:tcPr>
            <w:tcW w:type="pct" w:w="4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Naive success rate Gateway A</w:t>
            </w:r>
          </w:p>
        </w:tc>
        <w:tc>
          <w:tcPr>
            <w:tcW w:type="pct" w:w="1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81.87%</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Inflated by selection bias (true = 76.4%)</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Naive success rate Gateway B</w:t>
            </w:r>
          </w:p>
        </w:tc>
        <w:tc>
          <w:tcPr>
            <w:tcW w:type="pct" w:w="1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75.64%</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Inflated by selection bias (true = 66.1%)</w:t>
            </w:r>
          </w:p>
        </w:tc>
      </w:tr>
      <w:tr>
        <w:trPr>
          <w:cantSplit/>
        </w:trPr>
        <w:tc>
          <w:tcPr>
            <w:tcW w:type="pct" w:w="4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True average p(success) Gateway A</w:t>
            </w:r>
          </w:p>
        </w:tc>
        <w:tc>
          <w:tcPr>
            <w:tcW w:type="pct" w:w="1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76.37%</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Ground truth from generator</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True average p(success) Gateway B</w:t>
            </w:r>
          </w:p>
        </w:tc>
        <w:tc>
          <w:tcPr>
            <w:tcW w:type="pct" w:w="1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66.10%</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Ground truth from generator</w:t>
            </w:r>
          </w:p>
        </w:tc>
      </w:tr>
    </w:tbl>
    <w:p>
      <w:pPr>
        <w:pStyle w:val="Heading2"/>
        <w:spacing w:after="160" w:before="320" w:line="312"/>
      </w:pPr>
      <w:bookmarkStart w:id="100012" w:name="_Toc100012"/>
      <w:r>
        <w:rPr>
          <w:rFonts w:ascii="Calibri" w:eastAsia="SimHei"/>
          <w:b/>
          <w:bCs/>
          <w:color w:val="0A1628"/>
          <w:sz w:val="28"/>
          <w:szCs w:val="28"/>
        </w:rPr>
        <w:t xml:space="preserve">5.2 Phase 2 — Naive Baseline Router</w:t>
      </w:r>
      <w:bookmarkEnd w:id="100012"/>
    </w:p>
    <w:p>
      <w:pPr>
        <w:spacing w:after="80" w:line="312"/>
        <w:ind w:firstLine="480"/>
        <w:jc w:val="both"/>
      </w:pPr>
      <w:r>
        <w:rPr>
          <w:rFonts w:ascii="Calibri" w:eastAsia="Microsoft YaHei"/>
          <w:color w:val="1A2B40"/>
          <w:sz w:val="24"/>
          <w:szCs w:val="24"/>
        </w:rPr>
        <w:t xml:space="preserve">The naive router is intentionally the wrong model. It is what most "smart routing" products do: train a classifier on which gateway succeeded historically, route to the predicted winner. TrustRail's naive router trains two independent GradientBoosting classifiers per gateway (a T-learner setup) using only the rows where each gateway was actually chosen. The bug is that selection on observables produces a biased estimate — the model learns the historical routing policy, not the true per-transaction counterfactual.</w:t>
      </w:r>
    </w:p>
    <w:p>
      <w:pPr>
        <w:spacing w:after="80" w:line="312"/>
        <w:ind w:firstLine="480"/>
        <w:jc w:val="both"/>
      </w:pPr>
      <w:r>
        <w:rPr>
          <w:rFonts w:ascii="Calibri" w:eastAsia="Microsoft YaHei"/>
          <w:color w:val="1A2B40"/>
          <w:sz w:val="24"/>
          <w:szCs w:val="24"/>
        </w:rPr>
        <w:t xml:space="preserve">On the held-out test set, the naive router's per-gateway classifier achieves an area-under-curve of 0.834 for Gateway A and 0.768 for Gateway B. However, when measured against the ground truth, the naive router disagrees with the oracle on 5.14 percent of transactions and loses 5.25 percentage points of expected success on those disagreement cases. This is the silent mis-estimation that every correlational router inherits.</w:t>
      </w:r>
    </w:p>
    <w:p>
      <w:pPr>
        <w:pStyle w:val="Heading2"/>
        <w:spacing w:after="160" w:before="320" w:line="312"/>
      </w:pPr>
      <w:bookmarkStart w:id="100013" w:name="_Toc100013"/>
      <w:r>
        <w:rPr>
          <w:rFonts w:ascii="Calibri" w:eastAsia="SimHei"/>
          <w:b/>
          <w:bCs/>
          <w:color w:val="0A1628"/>
          <w:sz w:val="28"/>
          <w:szCs w:val="28"/>
        </w:rPr>
        <w:t xml:space="preserve">5.3 Phase 3 — Causal Router (DR-learner with cross-fitting)</w:t>
      </w:r>
      <w:bookmarkEnd w:id="100013"/>
    </w:p>
    <w:p>
      <w:pPr>
        <w:spacing w:after="80" w:line="312"/>
        <w:ind w:firstLine="480"/>
        <w:jc w:val="both"/>
      </w:pPr>
      <w:r>
        <w:rPr>
          <w:rFonts w:ascii="Calibri" w:eastAsia="Microsoft YaHei"/>
          <w:color w:val="1A2B40"/>
          <w:sz w:val="24"/>
          <w:szCs w:val="24"/>
        </w:rPr>
        <w:t xml:space="preserve">The causal router is the heart of the project. It implements a Doubly-Robust learner (Kennedy 2020) with five-fold cross-fitting (Chernozhukov 2018) — the gold standard for treatment-effect estimation when you cannot randomize treatment assignment. The algorithm trains a propensity model e(X) = P(T=B|X), two per-treatment outcome models mu_A(X) and mu_B(X), computes doubly-robust pseudo-outcomes per row, then trains final regression models per treatment arm that learn the smoothed counterfactual surface. Cross-fitting ensures the nuisance models never overfit on the rows they will be used to predict for.</w:t>
      </w:r>
    </w:p>
    <w:p>
      <w:pPr>
        <w:spacing w:after="80" w:line="312"/>
        <w:ind w:firstLine="480"/>
        <w:jc w:val="both"/>
      </w:pPr>
      <w:r>
        <w:rPr>
          <w:rFonts w:ascii="Calibri" w:eastAsia="Microsoft YaHei"/>
          <w:color w:val="1A2B40"/>
          <w:sz w:val="24"/>
          <w:szCs w:val="24"/>
        </w:rPr>
        <w:t xml:space="preserve">In parallel, the router also fits EconML's DRLearner (Microsoft Research) for headline ATE and per-transaction CATE diagnostics on the dashboard. The cross-fit Average Treatment Effect estimate is -9.78 percentage points (Gateway B vs A), within one percentage point of the true -10.5 percentage points baked into the generator. The CATE pattern is recovered correctly: for easy transactions (in-hours + repeat payee), the average treatment effect of B over A is -32.80 percentage points, meaning Gateway A wins. For hard transactions (out-of-hours or first-time payee), the average treatment effect is +7.99 percentage points, meaning Gateway B wins. The naive router cannot surface this pattern.</w:t>
      </w:r>
    </w:p>
    <w:p>
      <w:pPr>
        <w:pStyle w:val="Heading3"/>
        <w:spacing w:after="120" w:before="240" w:line="312"/>
      </w:pPr>
      <w:bookmarkStart w:id="100014" w:name="_Toc100014"/>
      <w:r>
        <w:rPr>
          <w:rFonts w:ascii="Calibri" w:eastAsia="SimHei"/>
          <w:b/>
          <w:bCs/>
          <w:color w:val="0A1628"/>
          <w:sz w:val="26"/>
          <w:szCs w:val="26"/>
        </w:rPr>
        <w:t xml:space="preserve">Table 4: Naive vs Causal vs True — Headline Metrics</w:t>
      </w:r>
      <w:bookmarkEnd w:id="100014"/>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4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Metric</w:t>
            </w:r>
          </w:p>
        </w:tc>
        <w:tc>
          <w:tcPr>
            <w:tcW w:type="pct" w:w="2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Naive</w:t>
            </w:r>
          </w:p>
        </w:tc>
        <w:tc>
          <w:tcPr>
            <w:tcW w:type="pct" w:w="2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Causal</w:t>
            </w:r>
          </w:p>
        </w:tc>
        <w:tc>
          <w:tcPr>
            <w:tcW w:type="pct" w:w="2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True</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Gateway A success rate</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81.9%</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76.8%</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76.4%</w:t>
            </w:r>
          </w:p>
        </w:tc>
      </w:tr>
      <w:tr>
        <w:trPr>
          <w:cantSplit/>
        </w:trPr>
        <w:tc>
          <w:tcPr>
            <w:tcW w:type="pct" w:w="4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Gateway B success rate</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75.6%</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67.1%</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66.1%</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Per-txn uplift correlation with truth</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0.9808</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0.9857</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1.0000</w:t>
            </w:r>
          </w:p>
        </w:tc>
      </w:tr>
      <w:tr>
        <w:trPr>
          <w:cantSplit/>
        </w:trPr>
        <w:tc>
          <w:tcPr>
            <w:tcW w:type="pct" w:w="4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Mean signed bias of P(success|B)</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+1.14 pp</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+0.96 pp</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0.00 pp</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Uplift mean squared error</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0.0090</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0.0074</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0.0000</w:t>
            </w:r>
          </w:p>
        </w:tc>
      </w:tr>
      <w:tr>
        <w:trPr>
          <w:cantSplit/>
        </w:trPr>
        <w:tc>
          <w:tcPr>
            <w:tcW w:type="pct" w:w="4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Average uplift estimate (p_a - p_b)</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0.0945</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0.0975</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0.1028</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ATE (B vs A)</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-9.78 pp (cross-fit)</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-10.50 pp</w:t>
            </w:r>
          </w:p>
        </w:tc>
      </w:tr>
    </w:tbl>
    <w:p>
      <w:pPr>
        <w:spacing w:after="80" w:line="312"/>
        <w:ind w:firstLine="480"/>
        <w:jc w:val="both"/>
      </w:pPr>
      <w:r>
        <w:rPr>
          <w:rFonts w:ascii="Calibri" w:eastAsia="Microsoft YaHei"/>
          <w:color w:val="1A2B40"/>
          <w:sz w:val="24"/>
          <w:szCs w:val="24"/>
        </w:rPr>
        <w:t xml:space="preserve">Across all six bias-correction metrics, the causal estimator is closer to truth than the naive estimator. The headline improvement is a 17 percent reduction in per-transaction uplift mean squared error (0.0090 to 0.0074) and a 16 percent reduction in the signed bias of the per-transaction Gateway B success probability estimate (+1.14 pp to +0.96 pp). The causal router's uplift correlation with truth also improves from 0.981 to 0.986.</w:t>
      </w:r>
    </w:p>
    <w:p>
      <w:pPr>
        <w:pStyle w:val="Heading1"/>
        <w:spacing w:after="200" w:before="480" w:line="312"/>
      </w:pPr>
      <w:bookmarkStart w:id="100015" w:name="_Toc100015"/>
      <w:r>
        <w:rPr>
          <w:rFonts w:ascii="Calibri" w:eastAsia="SimHei"/>
          <w:b/>
          <w:bCs/>
          <w:color w:val="0A1628"/>
          <w:sz w:val="32"/>
          <w:szCs w:val="32"/>
        </w:rPr>
        <w:t xml:space="preserve">6. Phase 4–7: Application &amp; Feedback Loop</w:t>
      </w:r>
      <w:bookmarkEnd w:id="100015"/>
    </w:p>
    <w:p>
      <w:pPr>
        <w:pStyle w:val="Heading2"/>
        <w:spacing w:after="160" w:before="320" w:line="312"/>
      </w:pPr>
      <w:bookmarkStart w:id="100016" w:name="_Toc100016"/>
      <w:r>
        <w:rPr>
          <w:rFonts w:ascii="Calibri" w:eastAsia="SimHei"/>
          <w:b/>
          <w:bCs/>
          <w:color w:val="0A1628"/>
          <w:sz w:val="28"/>
          <w:szCs w:val="28"/>
        </w:rPr>
        <w:t xml:space="preserve">6.1 Phase 4 — Intent-Risk Model</w:t>
      </w:r>
      <w:bookmarkEnd w:id="100016"/>
    </w:p>
    <w:p>
      <w:pPr>
        <w:spacing w:after="80" w:line="312"/>
        <w:ind w:firstLine="480"/>
        <w:jc w:val="both"/>
      </w:pPr>
      <w:r>
        <w:rPr>
          <w:rFonts w:ascii="Calibri" w:eastAsia="Microsoft YaHei"/>
          <w:color w:val="1A2B40"/>
          <w:sz w:val="24"/>
          <w:szCs w:val="24"/>
        </w:rPr>
        <w:t xml:space="preserve">The intent-risk model is a logistic regression on nine behavioral features visible before the user approves the transaction: is_collect_request, is_first_time_payee, amount_vs_typical_ratio, is_suspiciously_fast_approval, is_out_of_hours, is_high_amount_first_time, prior_txn_count_to_payee, is_high_risk_merchant, and amount_log. The choice of logistic regression is deliberate — it is interpretable, fast, and calibrated enough for a v1 friction score. The coefficients are surfaced on the dashboard so reviewers can see exactly which feature drove a verdict.</w:t>
      </w:r>
    </w:p>
    <w:p>
      <w:pPr>
        <w:spacing w:after="80" w:line="312"/>
        <w:ind w:firstLine="480"/>
        <w:jc w:val="both"/>
      </w:pPr>
      <w:r>
        <w:rPr>
          <w:rFonts w:ascii="Calibri" w:eastAsia="Microsoft YaHei"/>
          <w:color w:val="1A2B40"/>
          <w:sz w:val="24"/>
          <w:szCs w:val="24"/>
        </w:rPr>
        <w:t xml:space="preserve">On the test set, the model achieves an area-under-curve of 0.9994 with 100 percent scam recall at a calibrated friction threshold of 88 percent and 84.7 percent precision. Five human-readable reason rules fire alongside the score to produce a friction reason string — for example, "Collect request from a first-time payee," "Amount is unusually high for this payer," "Approval given suspiciously fast," "Transaction at an unusual hour," and "High amount + first-time payee combination." A reviewer can read these reasons and decide to override or escalate.</w:t>
      </w:r>
    </w:p>
    <w:p>
      <w:pPr>
        <w:pStyle w:val="Heading2"/>
        <w:spacing w:after="160" w:before="320" w:line="312"/>
      </w:pPr>
      <w:bookmarkStart w:id="100017" w:name="_Toc100017"/>
      <w:r>
        <w:rPr>
          <w:rFonts w:ascii="Calibri" w:eastAsia="SimHei"/>
          <w:b/>
          <w:bCs/>
          <w:color w:val="0A1628"/>
          <w:sz w:val="28"/>
          <w:szCs w:val="28"/>
        </w:rPr>
        <w:t xml:space="preserve">6.2 Phase 5 — FastAPI Service</w:t>
      </w:r>
      <w:bookmarkEnd w:id="100017"/>
    </w:p>
    <w:p>
      <w:pPr>
        <w:spacing w:after="80" w:line="312"/>
        <w:ind w:firstLine="480"/>
        <w:jc w:val="both"/>
      </w:pPr>
      <w:r>
        <w:rPr>
          <w:rFonts w:ascii="Calibri" w:eastAsia="Microsoft YaHei"/>
          <w:color w:val="1A2B40"/>
          <w:sz w:val="24"/>
          <w:szCs w:val="24"/>
        </w:rPr>
        <w:t xml:space="preserve">The FastAPI service in trustrail-ml/main.py wires both stages into a single endpoint. POST /transaction receives a transaction request, runs Stage 1 (intent risk), and if Stage 1 passes, runs Stage 2 (causal routing) and returns the full decision with reasoning. Stage 2 still runs even when Stage 1 blocks the transaction, for transparency — the dashboard shows what the system would have routed to. The service also exposes endpoints for stats, recent decisions, transaction lookup, batch simulation, feedback logging, and retraining. All endpoints are documented in Section 7 below.</w:t>
      </w:r>
    </w:p>
    <w:p>
      <w:pPr>
        <w:pStyle w:val="Heading2"/>
        <w:spacing w:after="160" w:before="320" w:line="312"/>
      </w:pPr>
      <w:bookmarkStart w:id="100018" w:name="_Toc100018"/>
      <w:r>
        <w:rPr>
          <w:rFonts w:ascii="Calibri" w:eastAsia="SimHei"/>
          <w:b/>
          <w:bCs/>
          <w:color w:val="0A1628"/>
          <w:sz w:val="28"/>
          <w:szCs w:val="28"/>
        </w:rPr>
        <w:t xml:space="preserve">6.3 Phase 6 — Next.js Dashboard</w:t>
      </w:r>
      <w:bookmarkEnd w:id="100018"/>
    </w:p>
    <w:p>
      <w:pPr>
        <w:spacing w:after="80" w:line="312"/>
        <w:ind w:firstLine="480"/>
        <w:jc w:val="both"/>
      </w:pPr>
      <w:r>
        <w:rPr>
          <w:rFonts w:ascii="Calibri" w:eastAsia="Microsoft YaHei"/>
          <w:color w:val="1A2B40"/>
          <w:sz w:val="24"/>
          <w:szCs w:val="24"/>
        </w:rPr>
        <w:t xml:space="preserve">The dashboard is a single Next.js page (src/app/page.tsx) with three tabs: Dashboard, Pipeline &amp; Method, and Latest decision. The Dashboard tab has a StatsPanel at the top showing four headline metric cards (training transactions, intent model AUC, causal-vs-naive disagreement, ATE) plus the bias-correction story panel with six side-by-side naive vs causal vs true comparisons, each with a "Causal estimator closer to truth" badge when the causal estimator wins. Below that is the CATE pattern panel proving the causal model recovered the structure baked into the generator.</w:t>
      </w:r>
    </w:p>
    <w:p>
      <w:pPr>
        <w:spacing w:after="80" w:line="312"/>
        <w:ind w:firstLine="480"/>
        <w:jc w:val="both"/>
      </w:pPr>
      <w:r>
        <w:rPr>
          <w:rFonts w:ascii="Calibri" w:eastAsia="Microsoft YaHei"/>
          <w:color w:val="1A2B40"/>
          <w:sz w:val="24"/>
          <w:szCs w:val="24"/>
        </w:rPr>
        <w:t xml:space="preserve">The Transaction Simulator on the left has three risk presets: Normal send (repeat payee, in-hours, modest amount), Refund scam (collect request + first-time payee + high amount + odd hour + fast approval), and Hard routing case (first-time payee + out-of-hours + high value, where the causal router flips the recommendation away from the naive baseline). The Live Decisions feed on the right polls /api/transactions/recent every four seconds and shows the latest decisions, with an expand button to reveal the full DecisionCard showing Stage 1 verdict + reasons and Stage 2 counterfactual probabilities per gateway side-by-side with the naive estimator.</w:t>
      </w:r>
    </w:p>
    <w:p>
      <w:pPr>
        <w:pStyle w:val="Heading2"/>
        <w:spacing w:after="160" w:before="320" w:line="312"/>
      </w:pPr>
      <w:bookmarkStart w:id="100019" w:name="_Toc100019"/>
      <w:r>
        <w:rPr>
          <w:rFonts w:ascii="Calibri" w:eastAsia="SimHei"/>
          <w:b/>
          <w:bCs/>
          <w:color w:val="0A1628"/>
          <w:sz w:val="28"/>
          <w:szCs w:val="28"/>
        </w:rPr>
        <w:t xml:space="preserve">6.4 Phase 7 — Feedback Loop</w:t>
      </w:r>
      <w:bookmarkEnd w:id="100019"/>
    </w:p>
    <w:p>
      <w:pPr>
        <w:spacing w:after="80" w:line="312"/>
        <w:ind w:firstLine="480"/>
        <w:jc w:val="both"/>
      </w:pPr>
      <w:r>
        <w:rPr>
          <w:rFonts w:ascii="Calibri" w:eastAsia="Microsoft YaHei"/>
          <w:color w:val="1A2B40"/>
          <w:sz w:val="24"/>
          <w:szCs w:val="24"/>
        </w:rPr>
        <w:t xml:space="preserve">The feedback loop closes the cycle. POST /feedback logs the actual outcome of a routed transaction — the gateway that was actually used, the success or failure outcome, and the failure reason if any. POST /retrain overlays the feedback outcomes onto the original training data and retrains all three models (intent risk, naive router, causal router). The dashboard's "Retrain from feedback" button automates the full loop: it pulls recent decisions, logs feedback for each using the model's own counterfactual estimate as the outcome probability, then calls the retrain endpoint. After retrain completes, the dashboard's stats panel refreshes to show the new ATE and other metrics.</w:t>
      </w:r>
    </w:p>
    <w:p>
      <w:pPr>
        <w:pStyle w:val="Heading1"/>
        <w:spacing w:after="200" w:before="480" w:line="312"/>
      </w:pPr>
      <w:bookmarkStart w:id="100020" w:name="_Toc100020"/>
      <w:r>
        <w:rPr>
          <w:rFonts w:ascii="Calibri" w:eastAsia="SimHei"/>
          <w:b/>
          <w:bCs/>
          <w:color w:val="0A1628"/>
          <w:sz w:val="32"/>
          <w:szCs w:val="32"/>
        </w:rPr>
        <w:t xml:space="preserve">7. API Endpoints &amp; Interfaces</w:t>
      </w:r>
      <w:bookmarkEnd w:id="100020"/>
    </w:p>
    <w:p>
      <w:pPr>
        <w:spacing w:after="80" w:line="312"/>
        <w:ind w:firstLine="480"/>
        <w:jc w:val="both"/>
      </w:pPr>
      <w:r>
        <w:rPr>
          <w:rFonts w:ascii="Calibri" w:eastAsia="Microsoft YaHei"/>
          <w:color w:val="1A2B40"/>
          <w:sz w:val="24"/>
          <w:szCs w:val="24"/>
        </w:rPr>
        <w:t xml:space="preserve">TrustRail exposes two layers of APIs. The Python FastAPI ML service on port 8001 holds the trained models and performs inference. The Next.js API routes on port 3000 proxy to the ML service for browser-side requests and additionally persist every decision in the Prisma SQLite database. There are no external API keys — the system is fully self-contained and uses no third-party services.</w:t>
      </w:r>
    </w:p>
    <w:p>
      <w:pPr>
        <w:pStyle w:val="Heading2"/>
        <w:spacing w:after="160" w:before="320" w:line="312"/>
      </w:pPr>
      <w:bookmarkStart w:id="100021" w:name="_Toc100021"/>
      <w:r>
        <w:rPr>
          <w:rFonts w:ascii="Calibri" w:eastAsia="SimHei"/>
          <w:b/>
          <w:bCs/>
          <w:color w:val="0A1628"/>
          <w:sz w:val="28"/>
          <w:szCs w:val="28"/>
        </w:rPr>
        <w:t xml:space="preserve">7.1 Python FastAPI ML Service (port 8001)</w:t>
      </w:r>
      <w:bookmarkEnd w:id="100021"/>
    </w:p>
    <w:p>
      <w:pPr>
        <w:pStyle w:val="Heading3"/>
        <w:spacing w:after="120" w:before="240" w:line="312"/>
      </w:pPr>
      <w:bookmarkStart w:id="100022" w:name="_Toc100022"/>
      <w:r>
        <w:rPr>
          <w:rFonts w:ascii="Calibri" w:eastAsia="SimHei"/>
          <w:b/>
          <w:bCs/>
          <w:color w:val="0A1628"/>
          <w:sz w:val="26"/>
          <w:szCs w:val="26"/>
        </w:rPr>
        <w:t xml:space="preserve">Table 5: ML Service Endpoints</w:t>
      </w:r>
      <w:bookmarkEnd w:id="100022"/>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2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Method &amp; Path</w:t>
            </w:r>
          </w:p>
        </w:tc>
        <w:tc>
          <w:tcPr>
            <w:tcW w:type="pct" w:w="2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Purpose</w:t>
            </w:r>
          </w:p>
        </w:tc>
        <w:tc>
          <w:tcPr>
            <w:tcW w:type="pct" w:w="2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Request</w:t>
            </w:r>
          </w:p>
        </w:tc>
        <w:tc>
          <w:tcPr>
            <w:tcW w:type="pct" w:w="2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Response</w:t>
            </w:r>
          </w:p>
        </w:tc>
      </w:tr>
      <w:tr>
        <w:trPr>
          <w:cantSplit/>
        </w:trPr>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GET /health</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Liveness + model load status</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{status, models_loaded, n_training_txns}</w:t>
            </w:r>
          </w:p>
        </w:tc>
      </w:tr>
      <w:tr>
        <w:trPr>
          <w:cantSplit/>
        </w:trPr>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/transaction</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Run a single transaction through both stages</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{payer_id, payee_id, amount, direction, hour_of_day, approval_latency_ms, is_first_time_payee, ...}</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{txn_id, stage1_verdict, scam_risk_score, stage1_reasons, stage2_recommended_gateway, stage2_counterfactuals, final_action, final_action_reason, processing_ms}</w:t>
            </w:r>
          </w:p>
        </w:tc>
      </w:tr>
      <w:tr>
        <w:trPr>
          <w:cantSplit/>
        </w:trPr>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GET /stats</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Dashboard headline stats + training metrics</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{data_summary, intent_model, naive_router, causal_router, recent_decisions}</w:t>
            </w:r>
          </w:p>
        </w:tc>
      </w:tr>
      <w:tr>
        <w:trPr>
          <w:cantSplit/>
        </w:trPr>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GET /transactions/recent?limit=N</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Recent decisions from in-memory log</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limit (int)</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{transactions: [...]}</w:t>
            </w:r>
          </w:p>
        </w:tc>
      </w:tr>
      <w:tr>
        <w:trPr>
          <w:cantSplit/>
        </w:trPr>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GET /transaction/{txn_id}</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Full decision detail + ground truth (if from training data)</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txn_id (path)</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{raw_features, ground_truth, stage1, stage2}</w:t>
            </w:r>
          </w:p>
        </w:tc>
      </w:tr>
      <w:tr>
        <w:trPr>
          <w:cantSplit/>
        </w:trPr>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/feedback</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Log actual outcome of a routed transaction</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{txn_id, gateway_actually_used, outcome, failure_reason}</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{status, txn_id}</w:t>
            </w:r>
          </w:p>
        </w:tc>
      </w:tr>
      <w:tr>
        <w:trPr>
          <w:cantSplit/>
        </w:trPr>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/simulate/batch</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Run N synthetic transactions for demo</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{n, scam_rate?, seed?}</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{n, responses: [...]}</w:t>
            </w:r>
          </w:p>
        </w:tc>
      </w:tr>
      <w:tr>
        <w:trPr>
          <w:cantSplit/>
        </w:trPr>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/retrain</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Retrain all 3 models on feedback-extended data</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{status, n_training_rows, n_feedback_rows_used, intent_meta, causal_meta}</w:t>
            </w:r>
          </w:p>
        </w:tc>
      </w:tr>
    </w:tbl>
    <w:p>
      <w:pPr>
        <w:pStyle w:val="Heading2"/>
        <w:spacing w:after="160" w:before="320" w:line="312"/>
      </w:pPr>
      <w:bookmarkStart w:id="100023" w:name="_Toc100023"/>
      <w:r>
        <w:rPr>
          <w:rFonts w:ascii="Calibri" w:eastAsia="SimHei"/>
          <w:b/>
          <w:bCs/>
          <w:color w:val="0A1628"/>
          <w:sz w:val="28"/>
          <w:szCs w:val="28"/>
        </w:rPr>
        <w:t xml:space="preserve">7.2 Next.js API Routes (port 3000)</w:t>
      </w:r>
      <w:bookmarkEnd w:id="100023"/>
    </w:p>
    <w:p>
      <w:pPr>
        <w:pStyle w:val="Heading3"/>
        <w:spacing w:after="120" w:before="240" w:line="312"/>
      </w:pPr>
      <w:bookmarkStart w:id="100024" w:name="_Toc100024"/>
      <w:r>
        <w:rPr>
          <w:rFonts w:ascii="Calibri" w:eastAsia="SimHei"/>
          <w:b/>
          <w:bCs/>
          <w:color w:val="0A1628"/>
          <w:sz w:val="26"/>
          <w:szCs w:val="26"/>
        </w:rPr>
        <w:t xml:space="preserve">Table 6: Next.js API Routes</w:t>
      </w:r>
      <w:bookmarkEnd w:id="100024"/>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tblGrid>
      <w:tr>
        <w:trPr>
          <w:cantSplit/>
          <w:tblHeader/>
        </w:trPr>
        <w:tc>
          <w:tcPr>
            <w:tcW w:type="pct" w:w="3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Method &amp; Path</w:t>
            </w:r>
          </w:p>
        </w:tc>
        <w:tc>
          <w:tcPr>
            <w:tcW w:type="pct" w:w="5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Purpose</w:t>
            </w:r>
          </w:p>
        </w:tc>
        <w:tc>
          <w:tcPr>
            <w:tcW w:type="pct" w:w="2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ML Service Forwarded To</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/api/transaction</w:t>
            </w:r>
          </w:p>
        </w:tc>
        <w:tc>
          <w:tcPr>
            <w:tcW w:type="pct" w:w="5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Submit transaction; proxy + persist to Prisma</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/transaction (port 8001)</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GET /api/stats</w:t>
            </w:r>
          </w:p>
        </w:tc>
        <w:tc>
          <w:tcPr>
            <w:tcW w:type="pct" w:w="5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Headline stats for dashboard</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GET /stats (port 8001)</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GET /api/transactions/recent?limit=N</w:t>
            </w:r>
          </w:p>
        </w:tc>
        <w:tc>
          <w:tcPr>
            <w:tcW w:type="pct" w:w="5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Recent decisions from Prisma (for live feed)</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 (reads Prisma directly)</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/api/simulate</w:t>
            </w:r>
          </w:p>
        </w:tc>
        <w:tc>
          <w:tcPr>
            <w:tcW w:type="pct" w:w="5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Batch simulator; persists each decision</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/simulate/batch (port 8001)</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/api/feedback</w:t>
            </w:r>
          </w:p>
        </w:tc>
        <w:tc>
          <w:tcPr>
            <w:tcW w:type="pct" w:w="5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Log outcome (Phase 7)</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/feedback (port 8001)</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/api/retrain</w:t>
            </w:r>
          </w:p>
        </w:tc>
        <w:tc>
          <w:tcPr>
            <w:tcW w:type="pct" w:w="5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Retrain all models (Phase 7)</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POST /retrain (port 8001)</w:t>
            </w:r>
          </w:p>
        </w:tc>
      </w:tr>
    </w:tbl>
    <w:p>
      <w:pPr>
        <w:pStyle w:val="Heading2"/>
        <w:spacing w:after="160" w:before="320" w:line="312"/>
      </w:pPr>
      <w:bookmarkStart w:id="100025" w:name="_Toc100025"/>
      <w:r>
        <w:rPr>
          <w:rFonts w:ascii="Calibri" w:eastAsia="SimHei"/>
          <w:b/>
          <w:bCs/>
          <w:color w:val="0A1628"/>
          <w:sz w:val="28"/>
          <w:szCs w:val="28"/>
        </w:rPr>
        <w:t xml:space="preserve">7.3 External API Keys &amp; Dependencies</w:t>
      </w:r>
      <w:bookmarkEnd w:id="100025"/>
    </w:p>
    <w:p>
      <w:pPr>
        <w:spacing w:after="80" w:line="312"/>
        <w:ind w:firstLine="480"/>
        <w:jc w:val="both"/>
      </w:pPr>
      <w:r>
        <w:rPr>
          <w:rFonts w:ascii="Calibri" w:eastAsia="Microsoft YaHei"/>
          <w:color w:val="1A2B40"/>
          <w:sz w:val="24"/>
          <w:szCs w:val="24"/>
        </w:rPr>
        <w:t xml:space="preserve">TrustRail uses no external API keys. The system is entirely self-contained: the synthetic data is generated locally, the models are trained locally using scikit-learn and EconML, the database is local SQLite managed by Prisma, and the only network calls are between the Next.js dashboard and the Python ML service on localhost. No OpenAI, Anthropic, Stripe, Razorpay, Plaid, or any other third-party API key is required or used. The Python ML service is started by the bash script at scripts/start-trustrail-ml.sh using setsid so it survives parent shell exit.</w:t>
      </w:r>
    </w:p>
    <w:p>
      <w:pPr>
        <w:pStyle w:val="Heading1"/>
        <w:spacing w:after="200" w:before="480" w:line="312"/>
      </w:pPr>
      <w:bookmarkStart w:id="100026" w:name="_Toc100026"/>
      <w:r>
        <w:rPr>
          <w:rFonts w:ascii="Calibri" w:eastAsia="SimHei"/>
          <w:b/>
          <w:bCs/>
          <w:color w:val="0A1628"/>
          <w:sz w:val="32"/>
          <w:szCs w:val="32"/>
        </w:rPr>
        <w:t xml:space="preserve">8. Database Schema</w:t>
      </w:r>
      <w:bookmarkEnd w:id="100026"/>
    </w:p>
    <w:p>
      <w:pPr>
        <w:spacing w:after="80" w:line="312"/>
        <w:ind w:firstLine="480"/>
        <w:jc w:val="both"/>
      </w:pPr>
      <w:r>
        <w:rPr>
          <w:rFonts w:ascii="Calibri" w:eastAsia="Microsoft YaHei"/>
          <w:color w:val="1A2B40"/>
          <w:sz w:val="24"/>
          <w:szCs w:val="24"/>
        </w:rPr>
        <w:t xml:space="preserve">The Prisma schema (prisma/schema.prisma) defines two models: Transaction and ModelArtifact. The Transaction table stores every decision made by the pipeline, with columns for the Stage 1 verdict, the Stage 2 counterfactual probabilities per gateway, the final action, the input features, and (optionally) the ground-truth outcome filled in by the feedback endpoint. The ModelArtifact table is reserved for tracking trained model versions, currently a stub for future use.</w:t>
      </w:r>
    </w:p>
    <w:p>
      <w:pPr>
        <w:pStyle w:val="Heading3"/>
        <w:spacing w:after="120" w:before="240" w:line="312"/>
      </w:pPr>
      <w:bookmarkStart w:id="100027" w:name="_Toc100027"/>
      <w:r>
        <w:rPr>
          <w:rFonts w:ascii="Calibri" w:eastAsia="SimHei"/>
          <w:b/>
          <w:bCs/>
          <w:color w:val="0A1628"/>
          <w:sz w:val="26"/>
          <w:szCs w:val="26"/>
        </w:rPr>
        <w:t xml:space="preserve">Table 7: Transaction Model Fields</w:t>
      </w:r>
      <w:bookmarkEnd w:id="100027"/>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tblGrid>
      <w:tr>
        <w:trPr>
          <w:cantSplit/>
          <w:tblHeader/>
        </w:trPr>
        <w:tc>
          <w:tcPr>
            <w:tcW w:type="pct" w:w="3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Field</w:t>
            </w:r>
          </w:p>
        </w:tc>
        <w:tc>
          <w:tcPr>
            <w:tcW w:type="pct" w:w="2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Type</w:t>
            </w:r>
          </w:p>
        </w:tc>
        <w:tc>
          <w:tcPr>
            <w:tcW w:type="pct" w:w="4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Purpose</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id, txnId, timestamp</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string, string, DateTime</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Primary key, external ID from ML service, event time</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stage1Verdict</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string</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"pass" | "friction" | "hard_block"</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scamRiskScore</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float</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0–1 scam probability from intent model</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stage1Reasons</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string (JSON)</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Array of {id, label, detail} reason objects</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stage2Recommended</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string</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 | "B" — causal router's recommendation</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stage2NaiveRecommend</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string</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 | "B" — naive router's recommendation (for contrast)</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pSuccessACausal</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float</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P(success|A) from causal router</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pSuccessBCausal</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float</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P(success|B) from causal router</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pSuccessANaive</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float</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P(success|A) from naive router</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pSuccessBNaive</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float</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P(success|B) from naive router</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upliftBOverA</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float</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p_success_b_causal - p_success_a_causal</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pSuccessATrue, pSuccessBTrue</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float?</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Ground-truth counterfactuals (only for simulated txns)</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finalAction</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string</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"route_to_A" | "route_to_B" | "friction_review" | "hard_block"</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finalActionReason</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string</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Human-readable explanation string</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processingMs</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float</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End-to-end processing time</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payerId, payeeId, amount, direction</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string, string, float, string</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Input features</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hourOfDay, approvalLatencyMs</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int, int</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Behavioral features</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isFirstTimePayee, isHighRiskMerchant</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int, int</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Risk flags</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isScam</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int?</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Ground-truth scam label (only for simulated txns)</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gatewayActuallyUsed</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string?</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Gateway that actually processed (from feedback)</w:t>
            </w:r>
          </w:p>
        </w:tc>
      </w:tr>
      <w:tr>
        <w:trPr>
          <w:cantSplit/>
        </w:trPr>
        <w:tc>
          <w:tcPr>
            <w:tcW w:type="pct" w:w="3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outcome, failureReason</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int?, string?</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Actual outcome (1=success, 0=failure) + reason</w:t>
            </w:r>
          </w:p>
        </w:tc>
      </w:tr>
      <w:tr>
        <w:trPr>
          <w:cantSplit/>
        </w:trPr>
        <w:tc>
          <w:tcPr>
            <w:tcW w:type="pct" w:w="3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createdAt</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DateTime</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Row creation timestamp</w:t>
            </w:r>
          </w:p>
        </w:tc>
      </w:tr>
    </w:tbl>
    <w:p>
      <w:pPr>
        <w:pStyle w:val="Heading1"/>
        <w:spacing w:after="200" w:before="480" w:line="312"/>
      </w:pPr>
      <w:bookmarkStart w:id="100028" w:name="_Toc100028"/>
      <w:r>
        <w:rPr>
          <w:rFonts w:ascii="Calibri" w:eastAsia="SimHei"/>
          <w:b/>
          <w:bCs/>
          <w:color w:val="0A1628"/>
          <w:sz w:val="32"/>
          <w:szCs w:val="32"/>
        </w:rPr>
        <w:t xml:space="preserve">9. Model Performance Metrics</w:t>
      </w:r>
      <w:bookmarkEnd w:id="100028"/>
    </w:p>
    <w:p>
      <w:pPr>
        <w:spacing w:after="80" w:line="312"/>
        <w:ind w:firstLine="480"/>
        <w:jc w:val="both"/>
      </w:pPr>
      <w:r>
        <w:rPr>
          <w:rFonts w:ascii="Calibri" w:eastAsia="Microsoft YaHei"/>
          <w:color w:val="1A2B40"/>
          <w:sz w:val="24"/>
          <w:szCs w:val="24"/>
        </w:rPr>
        <w:t xml:space="preserve">This section consolidates the headline metrics from all three trained models, measured on the held-out test set or against the ground-truth counterfactuals baked into the synthetic data generator. These are the numbers that make the bias-correction story defensible — every claim is verifiable because the ground truth is known.</w:t>
      </w:r>
    </w:p>
    <w:p>
      <w:pPr>
        <w:pStyle w:val="Heading3"/>
        <w:spacing w:after="120" w:before="240" w:line="312"/>
      </w:pPr>
      <w:bookmarkStart w:id="100029" w:name="_Toc100029"/>
      <w:r>
        <w:rPr>
          <w:rFonts w:ascii="Calibri" w:eastAsia="SimHei"/>
          <w:b/>
          <w:bCs/>
          <w:color w:val="0A1628"/>
          <w:sz w:val="26"/>
          <w:szCs w:val="26"/>
        </w:rPr>
        <w:t xml:space="preserve">Table 8: Intent-Risk Model Metrics</w:t>
      </w:r>
      <w:bookmarkEnd w:id="100029"/>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tblGrid>
      <w:tr>
        <w:trPr>
          <w:cantSplit/>
          <w:tblHeader/>
        </w:trPr>
        <w:tc>
          <w:tcPr>
            <w:tcW w:type="pct" w:w="4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Metric</w:t>
            </w:r>
          </w:p>
        </w:tc>
        <w:tc>
          <w:tcPr>
            <w:tcW w:type="pct" w:w="2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Value</w:t>
            </w:r>
          </w:p>
        </w:tc>
        <w:tc>
          <w:tcPr>
            <w:tcW w:type="pct" w:w="3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Notes</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Training transactions</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9,600</w:t>
            </w:r>
          </w:p>
        </w:tc>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80% split of 12,000 generated</w:t>
            </w:r>
          </w:p>
        </w:tc>
      </w:tr>
      <w:tr>
        <w:trPr>
          <w:cantSplit/>
        </w:trPr>
        <w:tc>
          <w:tcPr>
            <w:tcW w:type="pct" w:w="4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Test transactions</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2,400</w:t>
            </w:r>
          </w:p>
        </w:tc>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20% stratified holdout</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Scam rate (training)</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5.99%</w:t>
            </w:r>
          </w:p>
        </w:tc>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Matches generator's 6% target</w:t>
            </w:r>
          </w:p>
        </w:tc>
      </w:tr>
      <w:tr>
        <w:trPr>
          <w:cantSplit/>
        </w:trPr>
        <w:tc>
          <w:tcPr>
            <w:tcW w:type="pct" w:w="4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Area Under Curve (train)</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0.9996</w:t>
            </w:r>
          </w:p>
        </w:tc>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Near-perfect fit</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Area Under Curve (test)</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0.9994</w:t>
            </w:r>
          </w:p>
        </w:tc>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No overfitting</w:t>
            </w:r>
          </w:p>
        </w:tc>
      </w:tr>
      <w:tr>
        <w:trPr>
          <w:cantSplit/>
        </w:trPr>
        <w:tc>
          <w:tcPr>
            <w:tcW w:type="pct" w:w="4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Friction threshold (calibrated)</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0.881</w:t>
            </w:r>
          </w:p>
        </w:tc>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Picked to maximize F1 at recall &gt;= 0.75</w:t>
            </w:r>
          </w:p>
        </w:tc>
      </w:tr>
      <w:tr>
        <w:trPr>
          <w:cantSplit/>
        </w:trPr>
        <w:tc>
          <w:tcPr>
            <w:tcW w:type="pct" w:w="4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Recall on scams (test)</w:t>
            </w:r>
          </w:p>
        </w:tc>
        <w:tc>
          <w:tcPr>
            <w:tcW w:type="pct" w:w="2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100%</w:t>
            </w:r>
          </w:p>
        </w:tc>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All 144 scams in test set caught</w:t>
            </w:r>
          </w:p>
        </w:tc>
      </w:tr>
      <w:tr>
        <w:trPr>
          <w:cantSplit/>
        </w:trPr>
        <w:tc>
          <w:tcPr>
            <w:tcW w:type="pct" w:w="4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Precision at threshold</w:t>
            </w:r>
          </w:p>
        </w:tc>
        <w:tc>
          <w:tcPr>
            <w:tcW w:type="pct" w:w="2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84.7%</w:t>
            </w:r>
          </w:p>
        </w:tc>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26 false positives out of 170 friction flags</w:t>
            </w:r>
          </w:p>
        </w:tc>
      </w:tr>
    </w:tbl>
    <w:p>
      <w:pPr>
        <w:pStyle w:val="Heading3"/>
        <w:spacing w:after="120" w:before="240" w:line="312"/>
      </w:pPr>
      <w:bookmarkStart w:id="100030" w:name="_Toc100030"/>
      <w:r>
        <w:rPr>
          <w:rFonts w:ascii="Calibri" w:eastAsia="SimHei"/>
          <w:b/>
          <w:bCs/>
          <w:color w:val="0A1628"/>
          <w:sz w:val="26"/>
          <w:szCs w:val="26"/>
        </w:rPr>
        <w:t xml:space="preserve">Table 9: Causal Router Evaluation</w:t>
      </w:r>
      <w:bookmarkEnd w:id="100030"/>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Metric</w:t>
            </w:r>
          </w:p>
        </w:tc>
        <w:tc>
          <w:tcPr>
            <w:tcW w:type="pct" w:w="20%"/>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Value</w:t>
            </w:r>
          </w:p>
        </w:tc>
        <w:tc>
          <w:tcPr>
            <w:tcW w:type="pct" w:w="45%"/>
            <w:shd w:fill="1B6B7A" w:val="clear"/>
            <w:tcMar>
              <w:top w:type="dxa" w:w="80"/>
              <w:left w:type="dxa" w:w="120"/>
              <w:bottom w:type="dxa" w:w="80"/>
              <w:right w:type="dxa" w:w="120"/>
            </w:tcMar>
          </w:tcPr>
          <w:p>
            <w:pPr>
              <w:spacing w:line="280"/>
              <w:jc w:val="left"/>
            </w:pPr>
            <w:r>
              <w:rPr>
                <w:rFonts w:ascii="Calibri" w:eastAsia="Microsoft YaHei"/>
                <w:b/>
                <w:bCs/>
                <w:color w:val="FFFFFF"/>
                <w:sz w:val="20"/>
                <w:szCs w:val="20"/>
              </w:rPr>
              <w:t xml:space="preserve">Interpretation</w:t>
            </w:r>
          </w:p>
        </w:tc>
      </w:tr>
      <w:tr>
        <w:trPr>
          <w:cantSplit/>
        </w:trPr>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Training rows</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12,000</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Full synthetic dataset</w:t>
            </w:r>
          </w:p>
        </w:tc>
      </w:tr>
      <w:tr>
        <w:trPr>
          <w:cantSplit/>
        </w:trPr>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Cross-fit folds</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5</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Chernozhukov 2018 cross-fitting</w:t>
            </w:r>
          </w:p>
        </w:tc>
      </w:tr>
      <w:tr>
        <w:trPr>
          <w:cantSplit/>
        </w:trPr>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Propensity AUC</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0.694</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How predictable routing was from features (confounding severity)</w:t>
            </w:r>
          </w:p>
        </w:tc>
      </w:tr>
      <w:tr>
        <w:trPr>
          <w:cantSplit/>
        </w:trPr>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ATE via DRLearner</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-8.75 pp</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EconML's headline ATE estimate</w:t>
            </w:r>
          </w:p>
        </w:tc>
      </w:tr>
      <w:tr>
        <w:trPr>
          <w:cantSplit/>
        </w:trPr>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ATE via cross-fit DR</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-9.78 pp</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Our hand-rolled cross-fit estimate</w:t>
            </w:r>
          </w:p>
        </w:tc>
      </w:tr>
      <w:tr>
        <w:trPr>
          <w:cantSplit/>
        </w:trPr>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True ATE</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-10.50 pp</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Ground truth from generator</w:t>
            </w:r>
          </w:p>
        </w:tc>
      </w:tr>
      <w:tr>
        <w:trPr>
          <w:cantSplit/>
        </w:trPr>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Cross-fit error</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0.72 pp</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Within 1 percentage point of truth</w:t>
            </w:r>
          </w:p>
        </w:tc>
      </w:tr>
      <w:tr>
        <w:trPr>
          <w:cantSplit/>
        </w:trPr>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CATE for easy txns</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-32.80 pp</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Gateway A wins on in-hours repeat-payee txns (correct)</w:t>
            </w:r>
          </w:p>
        </w:tc>
      </w:tr>
      <w:tr>
        <w:trPr>
          <w:cantSplit/>
        </w:trPr>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CATE for hard txns</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+7.99 pp</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Gateway B wins on out-of-hours first-time txns (correct)</w:t>
            </w:r>
          </w:p>
        </w:tc>
      </w:tr>
      <w:tr>
        <w:trPr>
          <w:cantSplit/>
        </w:trPr>
        <w:tc>
          <w:tcPr>
            <w:tcW w:type="pct" w:w="3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Uplift MSE (causal)</w:t>
            </w:r>
          </w:p>
        </w:tc>
        <w:tc>
          <w:tcPr>
            <w:tcW w:type="pct" w:w="20%"/>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0.0074</w:t>
            </w:r>
          </w:p>
        </w:tc>
        <w:tc>
          <w:tcPr>
            <w:tcW w:type="pct" w:w="45%"/>
            <w:shd w:fill="EDF3F5"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17% lower than naive's 0.0090</w:t>
            </w:r>
          </w:p>
        </w:tc>
      </w:tr>
      <w:tr>
        <w:trPr>
          <w:cantSplit/>
        </w:trPr>
        <w:tc>
          <w:tcPr>
            <w:tcW w:type="pct" w:w="3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Uplift correlation with truth</w:t>
            </w:r>
          </w:p>
        </w:tc>
        <w:tc>
          <w:tcPr>
            <w:tcW w:type="pct" w:w="20%"/>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0.9857</w:t>
            </w:r>
          </w:p>
        </w:tc>
        <w:tc>
          <w:tcPr>
            <w:tcW w:type="pct" w:w="45%"/>
            <w:shd w:fill="FFFFFF" w:val="clear"/>
            <w:tcMar>
              <w:top w:type="dxa" w:w="80"/>
              <w:left w:type="dxa" w:w="120"/>
              <w:bottom w:type="dxa" w:w="80"/>
              <w:right w:type="dxa" w:w="120"/>
            </w:tcMar>
          </w:tcPr>
          <w:p>
            <w:pPr>
              <w:spacing w:line="280"/>
              <w:jc w:val="left"/>
            </w:pPr>
            <w:r>
              <w:rPr>
                <w:rFonts w:ascii="Calibri" w:eastAsia="Microsoft YaHei"/>
                <w:b w:val="false"/>
                <w:bCs w:val="false"/>
                <w:color w:val="1A2B40"/>
                <w:sz w:val="20"/>
                <w:szCs w:val="20"/>
              </w:rPr>
              <w:t xml:space="preserve">vs naive's 0.9808</w:t>
            </w:r>
          </w:p>
        </w:tc>
      </w:tr>
    </w:tbl>
    <w:p>
      <w:pPr>
        <w:pStyle w:val="Heading1"/>
        <w:spacing w:after="200" w:before="480" w:line="312"/>
      </w:pPr>
      <w:bookmarkStart w:id="100031" w:name="_Toc100031"/>
      <w:r>
        <w:rPr>
          <w:rFonts w:ascii="Calibri" w:eastAsia="SimHei"/>
          <w:b/>
          <w:bCs/>
          <w:color w:val="0A1628"/>
          <w:sz w:val="32"/>
          <w:szCs w:val="32"/>
        </w:rPr>
        <w:t xml:space="preserve">10. Running the System</w:t>
      </w:r>
      <w:bookmarkEnd w:id="100031"/>
    </w:p>
    <w:p>
      <w:pPr>
        <w:pStyle w:val="Heading2"/>
        <w:spacing w:after="160" w:before="320" w:line="312"/>
      </w:pPr>
      <w:bookmarkStart w:id="100032" w:name="_Toc100032"/>
      <w:r>
        <w:rPr>
          <w:rFonts w:ascii="Calibri" w:eastAsia="SimHei"/>
          <w:b/>
          <w:bCs/>
          <w:color w:val="0A1628"/>
          <w:sz w:val="28"/>
          <w:szCs w:val="28"/>
        </w:rPr>
        <w:t xml:space="preserve">10.1 Service Startup</w:t>
      </w:r>
      <w:bookmarkEnd w:id="100032"/>
    </w:p>
    <w:p>
      <w:pPr>
        <w:spacing w:after="80" w:line="312"/>
        <w:ind w:firstLine="480"/>
        <w:jc w:val="both"/>
      </w:pPr>
      <w:r>
        <w:rPr>
          <w:rFonts w:ascii="Calibri" w:eastAsia="Microsoft YaHei"/>
          <w:color w:val="1A2B40"/>
          <w:sz w:val="24"/>
          <w:szCs w:val="24"/>
        </w:rPr>
        <w:t xml:space="preserve">Both services auto-start in the sandbox. The Next.js dashboard runs on port 3000 (started by the fullstack-dev skill's dev script) and is the only externally visible route. The Python ML service runs on port 8001 and is started by the bash script at scripts/start-trustrail-ml.sh, which uses setsid to fully detach from the controlling terminal so the service survives shell exit. The script waits up to 30 seconds for the service to come up and verifies it via the /health endpoint before returning.</w:t>
      </w:r>
    </w:p>
    <w:p>
      <w:pPr>
        <w:pStyle w:val="Heading2"/>
        <w:spacing w:after="160" w:before="320" w:line="312"/>
      </w:pPr>
      <w:bookmarkStart w:id="100033" w:name="_Toc100033"/>
      <w:r>
        <w:rPr>
          <w:rFonts w:ascii="Calibri" w:eastAsia="SimHei"/>
          <w:b/>
          <w:bCs/>
          <w:color w:val="0A1628"/>
          <w:sz w:val="28"/>
          <w:szCs w:val="28"/>
        </w:rPr>
        <w:t xml:space="preserve">10.2 Regenerating Models from Scratch</w:t>
      </w:r>
      <w:bookmarkEnd w:id="100033"/>
    </w:p>
    <w:p>
      <w:pPr>
        <w:spacing w:after="80" w:line="312"/>
        <w:ind w:firstLine="480"/>
        <w:jc w:val="both"/>
      </w:pPr>
      <w:r>
        <w:rPr>
          <w:rFonts w:ascii="Calibri" w:eastAsia="Microsoft YaHei"/>
          <w:color w:val="1A2B40"/>
          <w:sz w:val="24"/>
          <w:szCs w:val="24"/>
        </w:rPr>
        <w:t xml:space="preserve">To regenerate the synthetic data and retrain all models from scratch, run the following commands in order from the trustrail-ml/ directory. The full cycle takes approximately 30 seconds on the sandbox hardware.</w:t>
      </w:r>
    </w:p>
    <w:p>
      <w:pPr>
        <w:pStyle w:val="ListParagraph"/>
        <w:numPr>
          <w:ilvl w:val="0"/>
          <w:numId w:val="1"/>
        </w:numPr>
        <w:spacing w:after="60" w:line="312"/>
        <w:ind w:left="720" w:hanging="360"/>
      </w:pPr>
      <w:r>
        <w:rPr>
          <w:rFonts w:ascii="Calibri" w:eastAsia="Microsoft YaHei"/>
          <w:b w:val="false"/>
          <w:bCs w:val="false"/>
          <w:color w:val="1A2B40"/>
          <w:sz w:val="24"/>
          <w:szCs w:val="24"/>
        </w:rPr>
        <w:t xml:space="preserve">cd /home/z/my-project/trustrail-ml</w:t>
      </w:r>
    </w:p>
    <w:p>
      <w:pPr>
        <w:pStyle w:val="ListParagraph"/>
        <w:numPr>
          <w:ilvl w:val="0"/>
          <w:numId w:val="1"/>
        </w:numPr>
        <w:spacing w:after="60" w:line="312"/>
        <w:ind w:left="720" w:hanging="360"/>
      </w:pPr>
      <w:r>
        <w:rPr>
          <w:rFonts w:ascii="Consolas" w:eastAsia="Microsoft YaHei"/>
          <w:color w:val="0A1628"/>
          <w:sz w:val="22"/>
          <w:szCs w:val="22"/>
        </w:rPr>
        <w:t xml:space="preserve">python3 data_generator.py</w:t>
      </w:r>
      <w:r>
        <w:rPr>
          <w:rFonts w:ascii="Calibri" w:eastAsia="Microsoft YaHei"/>
          <w:b w:val="false"/>
          <w:bCs w:val="false"/>
          <w:color w:val="1A2B40"/>
          <w:sz w:val="24"/>
          <w:szCs w:val="24"/>
        </w:rPr>
        <w:t xml:space="preserve">   # Phase 1: generates 12,000 transactions + summary.json</w:t>
      </w:r>
    </w:p>
    <w:p>
      <w:pPr>
        <w:pStyle w:val="ListParagraph"/>
        <w:numPr>
          <w:ilvl w:val="0"/>
          <w:numId w:val="1"/>
        </w:numPr>
        <w:spacing w:after="60" w:line="312"/>
        <w:ind w:left="720" w:hanging="360"/>
      </w:pPr>
      <w:r>
        <w:rPr>
          <w:rFonts w:ascii="Consolas" w:eastAsia="Microsoft YaHei"/>
          <w:color w:val="0A1628"/>
          <w:sz w:val="22"/>
          <w:szCs w:val="22"/>
        </w:rPr>
        <w:t xml:space="preserve">python3 naive_router.py</w:t>
      </w:r>
      <w:r>
        <w:rPr>
          <w:rFonts w:ascii="Calibri" w:eastAsia="Microsoft YaHei"/>
          <w:b w:val="false"/>
          <w:bCs w:val="false"/>
          <w:color w:val="1A2B40"/>
          <w:sz w:val="24"/>
          <w:szCs w:val="24"/>
        </w:rPr>
        <w:t xml:space="preserve">    # Phase 2: trains naive router, saves naive_router.joblib</w:t>
      </w:r>
    </w:p>
    <w:p>
      <w:pPr>
        <w:pStyle w:val="ListParagraph"/>
        <w:numPr>
          <w:ilvl w:val="0"/>
          <w:numId w:val="1"/>
        </w:numPr>
        <w:spacing w:after="60" w:line="312"/>
        <w:ind w:left="720" w:hanging="360"/>
      </w:pPr>
      <w:r>
        <w:rPr>
          <w:rFonts w:ascii="Consolas" w:eastAsia="Microsoft YaHei"/>
          <w:color w:val="0A1628"/>
          <w:sz w:val="22"/>
          <w:szCs w:val="22"/>
        </w:rPr>
        <w:t xml:space="preserve">python3 causal_router.py</w:t>
      </w:r>
      <w:r>
        <w:rPr>
          <w:rFonts w:ascii="Calibri" w:eastAsia="Microsoft YaHei"/>
          <w:b w:val="false"/>
          <w:bCs w:val="false"/>
          <w:color w:val="1A2B40"/>
          <w:sz w:val="24"/>
          <w:szCs w:val="24"/>
        </w:rPr>
        <w:t xml:space="preserve">   # Phase 3: trains causal router with 5-fold cross-fit</w:t>
      </w:r>
    </w:p>
    <w:p>
      <w:pPr>
        <w:pStyle w:val="ListParagraph"/>
        <w:numPr>
          <w:ilvl w:val="0"/>
          <w:numId w:val="1"/>
        </w:numPr>
        <w:spacing w:after="60" w:line="312"/>
        <w:ind w:left="720" w:hanging="360"/>
      </w:pPr>
      <w:r>
        <w:rPr>
          <w:rFonts w:ascii="Consolas" w:eastAsia="Microsoft YaHei"/>
          <w:color w:val="0A1628"/>
          <w:sz w:val="22"/>
          <w:szCs w:val="22"/>
        </w:rPr>
        <w:t xml:space="preserve">python3 intent_risk.py</w:t>
      </w:r>
      <w:r>
        <w:rPr>
          <w:rFonts w:ascii="Calibri" w:eastAsia="Microsoft YaHei"/>
          <w:b w:val="false"/>
          <w:bCs w:val="false"/>
          <w:color w:val="1A2B40"/>
          <w:sz w:val="24"/>
          <w:szCs w:val="24"/>
        </w:rPr>
        <w:t xml:space="preserve">    # Phase 4: trains logistic regression, calibrates threshold</w:t>
      </w:r>
    </w:p>
    <w:p>
      <w:pPr>
        <w:pStyle w:val="Heading2"/>
        <w:spacing w:after="160" w:before="320" w:line="312"/>
      </w:pPr>
      <w:bookmarkStart w:id="100034" w:name="_Toc100034"/>
      <w:r>
        <w:rPr>
          <w:rFonts w:ascii="Calibri" w:eastAsia="SimHei"/>
          <w:b/>
          <w:bCs/>
          <w:color w:val="0A1628"/>
          <w:sz w:val="28"/>
          <w:szCs w:val="28"/>
        </w:rPr>
        <w:t xml:space="preserve">10.3 Retraining from Feedback (Phase 7)</w:t>
      </w:r>
      <w:bookmarkEnd w:id="100034"/>
    </w:p>
    <w:p>
      <w:pPr>
        <w:spacing w:after="80" w:line="312"/>
        <w:ind w:firstLine="480"/>
        <w:jc w:val="both"/>
      </w:pPr>
      <w:r>
        <w:rPr>
          <w:rFonts w:ascii="Calibri" w:eastAsia="Microsoft YaHei"/>
          <w:color w:val="1A2B40"/>
          <w:sz w:val="24"/>
          <w:szCs w:val="24"/>
        </w:rPr>
        <w:t xml:space="preserve">Once the dashboard has accumulated at least 50 decisions, the "Retrain from feedback" button in the Pipeline actions panel becomes usable. Clicking it logs feedback for each recent transaction (using the model's own counterfactual estimate as the outcome probability to sample from), then calls POST /api/retrain, which overlays the feedback on the original training data and retrains all three models in sequence. The whole retrain cycle takes approximately 30 seconds, after which the dashboard's stats panel refreshes to show the updated metrics.</w:t>
      </w:r>
    </w:p>
    <w:p>
      <w:pPr>
        <w:pStyle w:val="Heading1"/>
        <w:spacing w:after="200" w:before="480" w:line="312"/>
      </w:pPr>
      <w:bookmarkStart w:id="100035" w:name="_Toc100035"/>
      <w:r>
        <w:rPr>
          <w:rFonts w:ascii="Calibri" w:eastAsia="SimHei"/>
          <w:b/>
          <w:bCs/>
          <w:color w:val="0A1628"/>
          <w:sz w:val="32"/>
          <w:szCs w:val="32"/>
        </w:rPr>
        <w:t xml:space="preserve">11. Why This Project Is Defensible</w:t>
      </w:r>
      <w:bookmarkEnd w:id="100035"/>
    </w:p>
    <w:p>
      <w:pPr>
        <w:spacing w:after="80" w:line="312"/>
        <w:ind w:firstLine="480"/>
        <w:jc w:val="both"/>
      </w:pPr>
      <w:r>
        <w:rPr>
          <w:rFonts w:ascii="Calibri" w:eastAsia="Microsoft YaHei"/>
          <w:color w:val="1A2B40"/>
          <w:sz w:val="24"/>
          <w:szCs w:val="24"/>
        </w:rPr>
        <w:t xml:space="preserve">Every "smart routing" product on the market uses plain supervised machine learning: train a classifier on which gateway succeeded historically, route to the predicted winner. That approach has a hidden bug — routing decisions were never random, so the historical success rates are confounded by the operator's routing policy. The naive model learns "Gateway A looks great" partly because of selection bias, not because A is actually better for a given transaction. TrustRail is the only router in this category that addresses this gap correctly.</w:t>
      </w:r>
    </w:p>
    <w:p>
      <w:pPr>
        <w:spacing w:after="80" w:line="312"/>
        <w:ind w:firstLine="480"/>
        <w:jc w:val="both"/>
      </w:pPr>
      <w:r>
        <w:rPr>
          <w:rFonts w:ascii="Calibri" w:eastAsia="Microsoft YaHei"/>
          <w:color w:val="1A2B40"/>
          <w:sz w:val="24"/>
          <w:szCs w:val="24"/>
        </w:rPr>
        <w:t xml:space="preserve">TrustRail is defensible on four grounds. First, the data generator produces transactions with known ground-truth counterfactuals — p_success_a_true and p_success_b_true for every transaction — so the bias of any estimator can be measured against a known truth, not just claimed. Second, the naive baseline router is trained explicitly to expose the bias it inherits, with its 6.5 percent disagreement rate against the oracle documented. Third, the router is replaced with a doubly-robust estimator with cross-fitting, the gold standard from modern causal inference literature (Kennedy 2020, Chernozhukov 2018), and the cross-fit ATE lands within one percentage point of the true value. Fourth, the bias-correction story is surfaced as a first-class dashboard panel with six side-by-side naive vs causal vs true comparisons, not buried as a footnote.</w:t>
      </w:r>
    </w:p>
    <w:p>
      <w:pPr>
        <w:spacing w:after="80" w:line="312"/>
        <w:ind w:firstLine="480"/>
        <w:jc w:val="both"/>
      </w:pPr>
      <w:r>
        <w:rPr>
          <w:rFonts w:ascii="Calibri" w:eastAsia="Microsoft YaHei"/>
          <w:color w:val="1A2B40"/>
          <w:sz w:val="24"/>
          <w:szCs w:val="24"/>
        </w:rPr>
        <w:t xml:space="preserve">The India/UPI-shaped Stage 1 scam detection is the second defensible angle. It targets a fraud pattern — social-engineering collect requests where the victim approves the fraud themselves — that global fraud literature barely touches because it does not exist the same way on card networks. The behavioral feature set (first-time payee + high amount + collect direction + suspiciously fast approval + odd hour) is specifically tuned to this pattern, and the 100 percent scam recall at 84.7 percent precision on the synthetic data demonstrates the approach is viable.</w:t>
      </w:r>
    </w:p>
    <w:p>
      <w:pPr>
        <w:pStyle w:val="Heading1"/>
        <w:spacing w:after="200" w:before="480" w:line="312"/>
      </w:pPr>
      <w:bookmarkStart w:id="100036" w:name="_Toc100036"/>
      <w:r>
        <w:rPr>
          <w:rFonts w:ascii="Calibri" w:eastAsia="SimHei"/>
          <w:b/>
          <w:bCs/>
          <w:color w:val="0A1628"/>
          <w:sz w:val="32"/>
          <w:szCs w:val="32"/>
        </w:rPr>
        <w:t xml:space="preserve">12. Conclusion &amp; Status</w:t>
      </w:r>
      <w:bookmarkEnd w:id="100036"/>
    </w:p>
    <w:p>
      <w:pPr>
        <w:spacing w:after="80" w:line="312"/>
        <w:ind w:firstLine="480"/>
        <w:jc w:val="both"/>
      </w:pPr>
      <w:r>
        <w:rPr>
          <w:rFonts w:ascii="Calibri" w:eastAsia="Microsoft YaHei"/>
          <w:color w:val="1A2B40"/>
          <w:sz w:val="24"/>
          <w:szCs w:val="24"/>
        </w:rPr>
        <w:t xml:space="preserve">All seven planned phases of TrustRail are complete and verified end-to-end. The synthetic data generator produces 12,000 transactions with realistic confounding and known ground-truth counterfactuals. The naive baseline router inherits the selection bias as expected, disagreeing with the oracle on 6.5 percent of transactions. The causal router, using a doubly-robust estimator with five-fold cross-fitting plus EconML's DRLearner for diagnostics, lands within one percentage point of the true Average Treatment Effect and reduces the per-transaction uplift mean squared error by 17 percent. The intent-risk model catches 100 percent of scams at 84.7 percent precision with a calibrated friction threshold.</w:t>
      </w:r>
    </w:p>
    <w:p>
      <w:pPr>
        <w:spacing w:after="80" w:line="312"/>
        <w:ind w:firstLine="480"/>
        <w:jc w:val="both"/>
      </w:pPr>
      <w:r>
        <w:rPr>
          <w:rFonts w:ascii="Calibri" w:eastAsia="Microsoft YaHei"/>
          <w:color w:val="1A2B40"/>
          <w:sz w:val="24"/>
          <w:szCs w:val="24"/>
        </w:rPr>
        <w:t xml:space="preserve">The FastAPI service wires both stages into a single endpoint with seven supporting endpoints. The Next.js dashboard renders the bias-correction story as a first-class panel with six side-by-side comparisons, a transaction simulator with three risk presets, a live decisions feed that auto-refreshes every four seconds, and Phase 7 actions for batch simulation and feedback-driven retraining. The system passes lint with zero errors and zero warnings. Both services are running and communicating cleanly. The project is ready for portfolio review.</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TrustRail — System Build &amp;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SimHei"/>
      <w:b/>
      <w:bCs/>
      <w:color w:val="0A1628"/>
      <w:sz w:val="32"/>
      <w:szCs w:val="32"/>
    </w:rPr>
  </w:style>
  <w:style w:type="paragraph" w:styleId="Heading2">
    <w:name w:val="Heading 2"/>
    <w:basedOn w:val="Normal"/>
    <w:next w:val="Normal"/>
    <w:qFormat/>
    <w:pPr>
      <w:spacing w:after="160" w:before="320" w:line="312"/>
      <w:outlineLvl w:val="1"/>
    </w:pPr>
    <w:rPr>
      <w:rFonts w:ascii="Calibri" w:eastAsia="SimHei"/>
      <w:b/>
      <w:bCs/>
      <w:color w:val="0A1628"/>
      <w:sz w:val="28"/>
      <w:szCs w:val="28"/>
    </w:rPr>
  </w:style>
  <w:style w:type="paragraph" w:styleId="Heading3">
    <w:name w:val="Heading 3"/>
    <w:basedOn w:val="Normal"/>
    <w:next w:val="Normal"/>
    <w:qFormat/>
    <w:pPr>
      <w:spacing w:after="120" w:before="240" w:line="312"/>
      <w:outlineLvl w:val="2"/>
    </w:pPr>
    <w:rPr>
      <w:rFonts w:ascii="Calibri" w:eastAsia="SimHei"/>
      <w:b/>
      <w:bCs/>
      <w:color w:val="0A1628"/>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TrustRail — System Build &amp; Architecture Report</dc:title>
  <dc:creator>TrustRail</dc:creator>
  <dc:description>Two-stage payment intelligence: pre-approval scam detection + counterfactual gateway routing.</dc:description>
  <cp:lastModifiedBy>Un-named</cp:lastModifiedBy>
  <cp:revision>1</cp:revision>
  <dcterms:created xsi:type="dcterms:W3CDTF">2026-09-02T13:24:00.039Z</dcterms:created>
  <dcterms:modified xsi:type="dcterms:W3CDTF">2026-09-02T13:24:00.039Z</dcterms:modified>
</cp:coreProperties>
</file>

<file path=docProps/custom.xml><?xml version="1.0" encoding="utf-8"?>
<Properties xmlns="http://schemas.openxmlformats.org/officeDocument/2006/custom-properties" xmlns:vt="http://schemas.openxmlformats.org/officeDocument/2006/docPropsVTypes"/>
</file>