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the Company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Trimble</w:t>
      </w:r>
      <w:r w:rsidDel="00000000" w:rsidR="00000000" w:rsidRPr="00000000">
        <w:rPr>
          <w:rtl w:val="0"/>
        </w:rPr>
        <w:t xml:space="preserve"> is a global company that specializes in providing innovative software, hardware, and services to a wide range of industries such as construction, agriculture, transportation, and government. The company's solutions help customers enhance productivity and streamline workflows.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the Role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role involves UI development in the Building and Construction domain for Trimble Access, primarily using C++ with a focus on the Qt and QML frameworks.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Preparation Strategy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Communication Skills: Develop strong communication skills to build confidence and clarity, which is crucial for interactions with interviewers.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Coding Practice: Focus on coding problems, especially on platforms like LeetCode, targeting key areas like arrays and strings, as these concepts are frequently tested.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Approach to Problem-Solving: Even if you are familiar with a problem, act as if you are encountering it for the first time. Provide the best solution without dragging out the explanation.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Concept Clarity: Be precise with the concepts and terminology you use. Avoid mentioning topics you are unsure of, as interviewers often dive deeper based on your responses.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Placement Drive Experience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Online Test: Focus on passing test cases efficiently, considering both accuracy and time taken, to clear this round successfully.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Technical Interview: Maintain clarity on concepts, avoid mentioning uncertain topics, and handle each question with confidence. If stuck, move on to the next question to manage time effectively.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HR Interview: Beyond technical skills, emotional intelligence (EQ) is evaluated. Showcase leadership qualities and handle situational questions tactfully.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Tips and Tricks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If you find yourself unclear or stuck during an answer, smoothly shift the conversation toward your areas of strength.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