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F48A" w14:textId="6382DE44" w:rsidR="002E332E" w:rsidRPr="002E332E" w:rsidRDefault="002E332E" w:rsidP="002E332E">
      <w:pPr>
        <w:spacing w:after="300"/>
        <w:jc w:val="center"/>
        <w:rPr>
          <w:rFonts w:asciiTheme="majorHAnsi" w:eastAsia="Times New Roman" w:hAnsiTheme="majorHAnsi" w:cstheme="majorHAnsi"/>
          <w:color w:val="000000"/>
          <w:kern w:val="0"/>
          <w:sz w:val="48"/>
          <w:szCs w:val="48"/>
          <w:lang w:eastAsia="en-IN" w:bidi="kn-IN"/>
          <w14:ligatures w14:val="none"/>
        </w:rPr>
      </w:pPr>
      <w:r w:rsidRPr="002E332E">
        <w:rPr>
          <w:rFonts w:asciiTheme="majorHAnsi" w:hAnsiTheme="majorHAnsi" w:cstheme="majorHAnsi"/>
          <w:sz w:val="48"/>
          <w:szCs w:val="48"/>
        </w:rPr>
        <w:t xml:space="preserve">UE24CS341A - </w:t>
      </w:r>
      <w:r w:rsidRPr="002E332E">
        <w:rPr>
          <w:rFonts w:asciiTheme="majorHAnsi" w:eastAsia="Times New Roman" w:hAnsiTheme="majorHAnsi" w:cstheme="majorHAnsi"/>
          <w:color w:val="000000"/>
          <w:kern w:val="0"/>
          <w:sz w:val="48"/>
          <w:szCs w:val="48"/>
          <w:lang w:eastAsia="en-IN" w:bidi="kn-IN"/>
          <w14:ligatures w14:val="none"/>
        </w:rPr>
        <w:t>Software Engineering</w:t>
      </w:r>
    </w:p>
    <w:p w14:paraId="7E225D2B" w14:textId="77777777" w:rsidR="002E332E" w:rsidRPr="002E332E" w:rsidRDefault="002E332E" w:rsidP="002E332E">
      <w:pPr>
        <w:spacing w:after="300"/>
        <w:jc w:val="center"/>
        <w:rPr>
          <w:rFonts w:asciiTheme="majorHAnsi" w:eastAsia="Times New Roman" w:hAnsiTheme="majorHAnsi" w:cstheme="majorHAnsi"/>
          <w:color w:val="000000"/>
          <w:kern w:val="0"/>
          <w:sz w:val="48"/>
          <w:szCs w:val="48"/>
          <w:lang w:eastAsia="en-IN" w:bidi="kn-IN"/>
          <w14:ligatures w14:val="none"/>
        </w:rPr>
      </w:pPr>
      <w:r w:rsidRPr="002E332E">
        <w:rPr>
          <w:rFonts w:asciiTheme="majorHAnsi" w:eastAsia="Times New Roman" w:hAnsiTheme="majorHAnsi" w:cstheme="majorHAnsi"/>
          <w:color w:val="000000"/>
          <w:kern w:val="0"/>
          <w:sz w:val="48"/>
          <w:szCs w:val="48"/>
          <w:lang w:eastAsia="en-IN" w:bidi="kn-IN"/>
          <w14:ligatures w14:val="none"/>
        </w:rPr>
        <w:t>Lab 3: Component Modelling &amp; Architectural Pattern Selection</w:t>
      </w:r>
    </w:p>
    <w:p w14:paraId="53187096" w14:textId="0A770DE4" w:rsidR="002E332E" w:rsidRPr="002E332E" w:rsidRDefault="002E332E" w:rsidP="002E332E">
      <w:pPr>
        <w:spacing w:after="300"/>
        <w:rPr>
          <w:rFonts w:asciiTheme="majorHAnsi" w:eastAsia="Times New Roman" w:hAnsiTheme="majorHAnsi" w:cstheme="majorHAnsi"/>
          <w:color w:val="000000"/>
          <w:kern w:val="0"/>
          <w:sz w:val="40"/>
          <w:szCs w:val="40"/>
          <w:lang w:eastAsia="en-IN" w:bidi="kn-IN"/>
          <w14:ligatures w14:val="none"/>
        </w:rPr>
      </w:pPr>
      <w:r w:rsidRPr="002E332E">
        <w:rPr>
          <w:rFonts w:asciiTheme="majorHAnsi" w:eastAsia="Times New Roman" w:hAnsiTheme="majorHAnsi" w:cstheme="majorHAnsi"/>
          <w:b/>
          <w:bCs/>
          <w:color w:val="000000"/>
          <w:kern w:val="0"/>
          <w:sz w:val="40"/>
          <w:szCs w:val="40"/>
          <w:lang w:eastAsia="en-IN" w:bidi="kn-IN"/>
          <w14:ligatures w14:val="none"/>
        </w:rPr>
        <w:t xml:space="preserve">Name: </w:t>
      </w:r>
      <w:r w:rsidRPr="002E332E">
        <w:rPr>
          <w:rFonts w:asciiTheme="majorHAnsi" w:eastAsia="Times New Roman" w:hAnsiTheme="majorHAnsi" w:cstheme="majorHAnsi"/>
          <w:color w:val="000000"/>
          <w:kern w:val="0"/>
          <w:sz w:val="40"/>
          <w:szCs w:val="40"/>
          <w:lang w:eastAsia="en-IN" w:bidi="kn-IN"/>
          <w14:ligatures w14:val="none"/>
        </w:rPr>
        <w:t>Rohanth Ganesha C</w:t>
      </w:r>
    </w:p>
    <w:p w14:paraId="3D7070AA" w14:textId="66E596A2" w:rsidR="002E332E" w:rsidRDefault="002E332E" w:rsidP="002E332E">
      <w:pPr>
        <w:spacing w:after="300"/>
        <w:rPr>
          <w:rFonts w:asciiTheme="majorHAnsi" w:eastAsia="Times New Roman" w:hAnsiTheme="majorHAnsi" w:cstheme="majorHAnsi"/>
          <w:color w:val="000000"/>
          <w:kern w:val="0"/>
          <w:sz w:val="40"/>
          <w:szCs w:val="40"/>
          <w:lang w:eastAsia="en-IN" w:bidi="kn-IN"/>
          <w14:ligatures w14:val="none"/>
        </w:rPr>
      </w:pPr>
      <w:r w:rsidRPr="002E332E">
        <w:rPr>
          <w:rFonts w:asciiTheme="majorHAnsi" w:eastAsia="Times New Roman" w:hAnsiTheme="majorHAnsi" w:cstheme="majorHAnsi"/>
          <w:b/>
          <w:bCs/>
          <w:color w:val="000000"/>
          <w:kern w:val="0"/>
          <w:sz w:val="40"/>
          <w:szCs w:val="40"/>
          <w:lang w:eastAsia="en-IN" w:bidi="kn-IN"/>
          <w14:ligatures w14:val="none"/>
        </w:rPr>
        <w:t xml:space="preserve">SRN: </w:t>
      </w:r>
      <w:r w:rsidRPr="002E332E">
        <w:rPr>
          <w:rFonts w:asciiTheme="majorHAnsi" w:eastAsia="Times New Roman" w:hAnsiTheme="majorHAnsi" w:cstheme="majorHAnsi"/>
          <w:color w:val="000000"/>
          <w:kern w:val="0"/>
          <w:sz w:val="40"/>
          <w:szCs w:val="40"/>
          <w:lang w:eastAsia="en-IN" w:bidi="kn-IN"/>
          <w14:ligatures w14:val="none"/>
        </w:rPr>
        <w:t>PES1UG24AM227</w:t>
      </w:r>
    </w:p>
    <w:p w14:paraId="63F67E21" w14:textId="77777777" w:rsidR="002E332E" w:rsidRDefault="002E332E" w:rsidP="002E332E">
      <w:pPr>
        <w:spacing w:after="300"/>
        <w:rPr>
          <w:rFonts w:asciiTheme="majorHAnsi" w:eastAsia="Times New Roman" w:hAnsiTheme="majorHAnsi" w:cstheme="majorHAnsi"/>
          <w:color w:val="000000"/>
          <w:kern w:val="0"/>
          <w:sz w:val="40"/>
          <w:szCs w:val="40"/>
          <w:lang w:eastAsia="en-IN" w:bidi="kn-IN"/>
          <w14:ligatures w14:val="none"/>
        </w:rPr>
      </w:pPr>
    </w:p>
    <w:p w14:paraId="13BDC55B" w14:textId="2FD9C2EF" w:rsidR="002E332E" w:rsidRPr="000E327E" w:rsidRDefault="002E332E" w:rsidP="002E332E">
      <w:pPr>
        <w:spacing w:after="300"/>
        <w:rPr>
          <w:rFonts w:eastAsia="Times New Roman" w:cstheme="minorHAnsi"/>
          <w:b/>
          <w:bCs/>
          <w:color w:val="000000"/>
          <w:kern w:val="0"/>
          <w:sz w:val="36"/>
          <w:szCs w:val="36"/>
          <w:lang w:eastAsia="en-IN" w:bidi="kn-IN"/>
          <w14:ligatures w14:val="none"/>
        </w:rPr>
      </w:pPr>
      <w:r w:rsidRPr="000E327E">
        <w:rPr>
          <w:rFonts w:eastAsia="Times New Roman" w:cstheme="minorHAnsi"/>
          <w:b/>
          <w:bCs/>
          <w:color w:val="000000"/>
          <w:kern w:val="0"/>
          <w:sz w:val="36"/>
          <w:szCs w:val="36"/>
          <w:lang w:eastAsia="en-IN" w:bidi="kn-IN"/>
          <w14:ligatures w14:val="none"/>
        </w:rPr>
        <w:t>1. Component Diagram</w:t>
      </w:r>
    </w:p>
    <w:p w14:paraId="5FFC5B72" w14:textId="1C6FC34F" w:rsidR="002E332E" w:rsidRPr="002E332E" w:rsidRDefault="007501C8" w:rsidP="002E332E">
      <w:pPr>
        <w:spacing w:after="300"/>
        <w:rPr>
          <w:rFonts w:asciiTheme="majorHAnsi" w:eastAsia="Times New Roman" w:hAnsiTheme="majorHAnsi" w:cstheme="majorHAnsi"/>
          <w:color w:val="000000"/>
          <w:kern w:val="0"/>
          <w:sz w:val="36"/>
          <w:szCs w:val="36"/>
          <w:lang w:eastAsia="en-IN" w:bidi="kn-IN"/>
          <w14:ligatures w14:val="none"/>
        </w:rPr>
      </w:pPr>
      <w:r>
        <w:rPr>
          <w:rFonts w:asciiTheme="majorHAnsi" w:eastAsia="Times New Roman" w:hAnsiTheme="majorHAnsi" w:cstheme="majorHAnsi"/>
          <w:noProof/>
          <w:color w:val="000000"/>
          <w:kern w:val="0"/>
          <w:sz w:val="36"/>
          <w:szCs w:val="36"/>
          <w:lang w:eastAsia="en-IN" w:bidi="kn-IN"/>
        </w:rPr>
        <w:drawing>
          <wp:inline distT="0" distB="0" distL="0" distR="0" wp14:anchorId="06A4726A" wp14:editId="18451E2E">
            <wp:extent cx="5731510" cy="4818380"/>
            <wp:effectExtent l="0" t="0" r="2540" b="1270"/>
            <wp:docPr id="97144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49576" name="Picture 9714495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712D" w14:textId="575B0AB9" w:rsidR="002E332E" w:rsidRPr="002E332E" w:rsidRDefault="002E332E" w:rsidP="002E332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 w:bidi="kn-IN"/>
          <w14:ligatures w14:val="none"/>
        </w:rPr>
      </w:pPr>
      <w:r w:rsidRPr="002E332E">
        <w:rPr>
          <w:rFonts w:eastAsia="Times New Roman" w:cstheme="minorHAnsi"/>
          <w:b/>
          <w:bCs/>
          <w:kern w:val="36"/>
          <w:sz w:val="36"/>
          <w:szCs w:val="36"/>
          <w:lang w:eastAsia="en-IN" w:bidi="kn-IN"/>
          <w14:ligatures w14:val="none"/>
        </w:rPr>
        <w:lastRenderedPageBreak/>
        <w:t>2. Architecture Selection</w:t>
      </w:r>
    </w:p>
    <w:p w14:paraId="55BE4E3B" w14:textId="77777777" w:rsidR="002E332E" w:rsidRPr="002E332E" w:rsidRDefault="002E332E" w:rsidP="002E33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  <w:t>Architectural Choice</w:t>
      </w:r>
    </w:p>
    <w:p w14:paraId="00CC21A7" w14:textId="77777777" w:rsidR="002E332E" w:rsidRPr="002E332E" w:rsidRDefault="002E332E" w:rsidP="002E332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  <w:t>The Clinical Trial Subject Recruitment Engine requires clear separation between candidate and researcher interactions, recruitment business logic, and storage of clinical-trial records. A Layered Architecture organizes the system into Presentation, Application/Domain, and Data/Security layers, making these responsibilities easier to manage and maintain.</w:t>
      </w:r>
    </w:p>
    <w:p w14:paraId="3233AC94" w14:textId="77777777" w:rsidR="002E332E" w:rsidRPr="002E332E" w:rsidRDefault="002E332E" w:rsidP="002E33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  <w:t>Two Reasons for the Choice</w:t>
      </w:r>
    </w:p>
    <w:p w14:paraId="03708A5A" w14:textId="77777777" w:rsidR="002E332E" w:rsidRPr="002E332E" w:rsidRDefault="002E332E" w:rsidP="002E332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  <w:t>1. Clear separation of responsibilities:</w:t>
      </w:r>
      <w:r w:rsidRPr="002E332E"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  <w:t xml:space="preserve"> The Presentation Layer can handle Trial Candidate and Clinical Researcher interactions, while the Application/Domain Layer manages eligibility evaluation, informed-consent milestones, and visit-compliance tracking. This separation makes the individual functions easier to maintain and test.</w:t>
      </w:r>
    </w:p>
    <w:p w14:paraId="0F7862D9" w14:textId="77777777" w:rsidR="002E332E" w:rsidRPr="002E332E" w:rsidRDefault="002E332E" w:rsidP="002E332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  <w:t>2. Centralized management of clinical-trial data:</w:t>
      </w:r>
      <w:r w:rsidRPr="002E332E"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  <w:t xml:space="preserve"> The Data/Security Layer can centrally manage subject records, trial criteria, consent information, and visit-compliance records. This is suitable for a system that requires consistent access to clinical-trial information and controlled handling of sensitive records.</w:t>
      </w:r>
    </w:p>
    <w:p w14:paraId="1874C6E2" w14:textId="77777777" w:rsidR="002E332E" w:rsidRPr="002E332E" w:rsidRDefault="002E332E" w:rsidP="002E33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  <w:t>Security Advantage</w:t>
      </w:r>
    </w:p>
    <w:p w14:paraId="52FE9618" w14:textId="77777777" w:rsidR="002E332E" w:rsidRPr="002E332E" w:rsidRDefault="002E332E" w:rsidP="002E332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  <w:t>Layered Architecture allows security controls to be centralized before access reaches sensitive trial data. A dedicated Security &amp; Audit Service can enforce authorization and maintain audit records of important system activities, supporting the scenario's requirement for auditable clinical-trial records and cryptographic audit trails.</w:t>
      </w:r>
    </w:p>
    <w:p w14:paraId="0BD0EB94" w14:textId="77777777" w:rsidR="002E332E" w:rsidRPr="002E332E" w:rsidRDefault="002E332E" w:rsidP="002E33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  <w:t>Performance Benefit</w:t>
      </w:r>
    </w:p>
    <w:p w14:paraId="68EA4842" w14:textId="77777777" w:rsidR="002E332E" w:rsidRPr="002E332E" w:rsidRDefault="002E332E" w:rsidP="002E332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  <w:t>Layered Architecture can provide predictable performance because closely related recruitment operations are handled within the Application/Domain Layer without the additional network communication required between many independently deployed services. This can support efficient eligibility evaluation and retrieval of trial records.</w:t>
      </w:r>
    </w:p>
    <w:p w14:paraId="7EE2EE5B" w14:textId="77777777" w:rsidR="002E332E" w:rsidRPr="002E332E" w:rsidRDefault="002E332E" w:rsidP="002E33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  <w:t>Conclusion</w:t>
      </w:r>
    </w:p>
    <w:p w14:paraId="62DF05DA" w14:textId="77777777" w:rsidR="002E332E" w:rsidRPr="002E332E" w:rsidRDefault="002E332E" w:rsidP="002E332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</w:pPr>
      <w:r w:rsidRPr="002E332E"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  <w:t xml:space="preserve">Layered Architecture provides a suitable balance of </w:t>
      </w:r>
      <w:r w:rsidRPr="002E332E">
        <w:rPr>
          <w:rFonts w:eastAsia="Times New Roman" w:cstheme="minorHAnsi"/>
          <w:b/>
          <w:bCs/>
          <w:kern w:val="0"/>
          <w:sz w:val="24"/>
          <w:szCs w:val="24"/>
          <w:lang w:eastAsia="en-IN" w:bidi="kn-IN"/>
          <w14:ligatures w14:val="none"/>
        </w:rPr>
        <w:t>separation of responsibilities, centralized data management, security, and performance</w:t>
      </w:r>
      <w:r w:rsidRPr="002E332E">
        <w:rPr>
          <w:rFonts w:eastAsia="Times New Roman" w:cstheme="minorHAnsi"/>
          <w:kern w:val="0"/>
          <w:sz w:val="24"/>
          <w:szCs w:val="24"/>
          <w:lang w:eastAsia="en-IN" w:bidi="kn-IN"/>
          <w14:ligatures w14:val="none"/>
        </w:rPr>
        <w:t xml:space="preserve"> for the Clinical Trial Subject Recruitment Engine.</w:t>
      </w:r>
    </w:p>
    <w:p w14:paraId="3369A42A" w14:textId="77777777" w:rsidR="002E332E" w:rsidRPr="002E332E" w:rsidRDefault="002E332E" w:rsidP="002E332E">
      <w:pPr>
        <w:spacing w:after="30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N" w:bidi="kn-IN"/>
          <w14:ligatures w14:val="none"/>
        </w:rPr>
      </w:pPr>
    </w:p>
    <w:p w14:paraId="5330A734" w14:textId="256162E9" w:rsidR="00443DF7" w:rsidRPr="002E332E" w:rsidRDefault="00443DF7" w:rsidP="002E332E">
      <w:pPr>
        <w:jc w:val="center"/>
        <w:rPr>
          <w:rFonts w:asciiTheme="majorHAnsi" w:hAnsiTheme="majorHAnsi" w:cstheme="majorHAnsi"/>
          <w:sz w:val="24"/>
          <w:szCs w:val="24"/>
        </w:rPr>
      </w:pPr>
    </w:p>
    <w:sectPr w:rsidR="00443DF7" w:rsidRPr="002E3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2E"/>
    <w:rsid w:val="000E327E"/>
    <w:rsid w:val="002E332E"/>
    <w:rsid w:val="00443DF7"/>
    <w:rsid w:val="00746C79"/>
    <w:rsid w:val="007501C8"/>
    <w:rsid w:val="009B41CC"/>
    <w:rsid w:val="00DF03AD"/>
    <w:rsid w:val="00F5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5840"/>
  <w15:chartTrackingRefBased/>
  <w15:docId w15:val="{DFE6D641-DD91-46C7-9ABD-1BD3DA8C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Rohanth Ganesha C</dc:creator>
  <cp:keywords/>
  <dc:description/>
  <cp:lastModifiedBy>Rohanth Ganesha C</cp:lastModifiedBy>
  <cp:revision>3</cp:revision>
  <dcterms:created xsi:type="dcterms:W3CDTF">2026-09-09T17:37:00Z</dcterms:created>
  <dcterms:modified xsi:type="dcterms:W3CDTF">2026-09-09T17:59:00Z</dcterms:modified>
</cp:coreProperties>
</file>