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1a5276"/>
          <w:sz w:val="40"/>
          <w:szCs w:val="40"/>
          <w:rtl w:val="0"/>
        </w:rPr>
        <w:t xml:space="preserve">PORTFOLIO PROJECT 1</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color w:val="2e86c1"/>
          <w:sz w:val="28"/>
          <w:szCs w:val="28"/>
          <w:rtl w:val="0"/>
        </w:rPr>
        <w:t xml:space="preserve">Cumulative Load and Scoring Efficiency in Steph Curry</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888888"/>
          <w:sz w:val="24"/>
          <w:szCs w:val="24"/>
          <w:rtl w:val="0"/>
        </w:rPr>
        <w:t xml:space="preserve">A Four-Season Analysis (2022–2026)</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i w:val="1"/>
          <w:iCs w:val="1"/>
          <w:color w:val="888888"/>
          <w:sz w:val="20"/>
          <w:szCs w:val="20"/>
          <w:rtl w:val="0"/>
        </w:rPr>
        <w:t xml:space="preserve">Technical Documentation &amp; Methodology</w:t>
      </w:r>
      <w:r w:rsidDel="00000000" w:rsidR="00000000" w:rsidRPr="00000000">
        <w:rPr>
          <w:rtl w:val="0"/>
        </w:rPr>
      </w:r>
    </w:p>
    <w:p w:rsidR="00000000" w:rsidDel="00000000" w:rsidP="00000000" w:rsidRDefault="00000000" w:rsidRPr="00000000" w14:paraId="00000005">
      <w:pPr>
        <w:pBdr>
          <w:bottom w:color="2e86c1" w:space="1" w:sz="6" w:val="single"/>
        </w:pBdr>
        <w:spacing w:after="80" w:before="320" w:lineRule="auto"/>
        <w:rPr/>
      </w:pPr>
      <w:r w:rsidDel="00000000" w:rsidR="00000000" w:rsidRPr="00000000">
        <w:rPr>
          <w:rFonts w:ascii="Arial" w:cs="Arial" w:eastAsia="Arial" w:hAnsi="Arial"/>
          <w:b w:val="1"/>
          <w:bCs w:val="1"/>
          <w:color w:val="2e86c1"/>
          <w:sz w:val="24"/>
          <w:szCs w:val="24"/>
          <w:rtl w:val="0"/>
        </w:rPr>
        <w:t xml:space="preserve">RESEARCH QUESTION</w:t>
      </w:r>
      <w:r w:rsidDel="00000000" w:rsidR="00000000" w:rsidRPr="00000000">
        <w:rPr>
          <w:rtl w:val="0"/>
        </w:rPr>
      </w:r>
    </w:p>
    <w:p w:rsidR="00000000" w:rsidDel="00000000" w:rsidP="00000000" w:rsidRDefault="00000000" w:rsidRPr="00000000" w14:paraId="00000006">
      <w:pPr>
        <w:spacing w:after="0" w:before="60" w:lineRule="auto"/>
        <w:rPr/>
      </w:pP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color w:val="1c2833"/>
          <w:sz w:val="21"/>
          <w:szCs w:val="21"/>
          <w:rtl w:val="0"/>
        </w:rPr>
        <w:t xml:space="preserve">Does cumulative minutes load predict scoring efficiency decline in Steph Curry, and does the threshold at which fatigue becomes visible shift earlier in the season as he ages?</w:t>
      </w:r>
      <w:r w:rsidDel="00000000" w:rsidR="00000000" w:rsidRPr="00000000">
        <w:rPr>
          <w:rtl w:val="0"/>
        </w:rPr>
      </w:r>
    </w:p>
    <w:p w:rsidR="00000000" w:rsidDel="00000000" w:rsidP="00000000" w:rsidRDefault="00000000" w:rsidRPr="00000000" w14:paraId="00000008">
      <w:pPr>
        <w:spacing w:after="0" w:before="80" w:lineRule="auto"/>
        <w:rPr/>
      </w:pP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i w:val="1"/>
          <w:iCs w:val="1"/>
          <w:color w:val="555555"/>
          <w:sz w:val="21"/>
          <w:szCs w:val="21"/>
          <w:rtl w:val="0"/>
        </w:rPr>
        <w:t xml:space="preserve">Why it matters: Load management is one of the most important and contested topics in modern NBA operations. Teams spend millions managing player minutes to prevent injury and preserve playoff performance. This project uses four seasons of game-level data to quantify whether there is a measurable relationship between cumulative load and output decline — and whether that relationship changes as a player ages into their late 30s.</w:t>
      </w:r>
      <w:r w:rsidDel="00000000" w:rsidR="00000000" w:rsidRPr="00000000">
        <w:rPr>
          <w:rtl w:val="0"/>
        </w:rPr>
      </w:r>
    </w:p>
    <w:p w:rsidR="00000000" w:rsidDel="00000000" w:rsidP="00000000" w:rsidRDefault="00000000" w:rsidRPr="00000000" w14:paraId="0000000A">
      <w:pPr>
        <w:spacing w:after="0" w:before="160" w:lineRule="auto"/>
        <w:rPr/>
      </w:pPr>
      <w:r w:rsidDel="00000000" w:rsidR="00000000" w:rsidRPr="00000000">
        <w:rPr>
          <w:rtl w:val="0"/>
        </w:rPr>
      </w:r>
    </w:p>
    <w:p w:rsidR="00000000" w:rsidDel="00000000" w:rsidP="00000000" w:rsidRDefault="00000000" w:rsidRPr="00000000" w14:paraId="0000000B">
      <w:pPr>
        <w:pBdr>
          <w:bottom w:color="2e86c1" w:space="1" w:sz="6" w:val="single"/>
        </w:pBdr>
        <w:spacing w:after="80" w:before="320" w:lineRule="auto"/>
        <w:rPr/>
      </w:pPr>
      <w:r w:rsidDel="00000000" w:rsidR="00000000" w:rsidRPr="00000000">
        <w:rPr>
          <w:rFonts w:ascii="Arial" w:cs="Arial" w:eastAsia="Arial" w:hAnsi="Arial"/>
          <w:b w:val="1"/>
          <w:bCs w:val="1"/>
          <w:color w:val="2e86c1"/>
          <w:sz w:val="24"/>
          <w:szCs w:val="24"/>
          <w:rtl w:val="0"/>
        </w:rPr>
        <w:t xml:space="preserve">DATA SOURCES</w:t>
      </w:r>
      <w:r w:rsidDel="00000000" w:rsidR="00000000" w:rsidRPr="00000000">
        <w:rPr>
          <w:rtl w:val="0"/>
        </w:rPr>
      </w:r>
    </w:p>
    <w:p w:rsidR="00000000" w:rsidDel="00000000" w:rsidP="00000000" w:rsidRDefault="00000000" w:rsidRPr="00000000" w14:paraId="0000000C">
      <w:pPr>
        <w:spacing w:after="0" w:before="60" w:lineRule="auto"/>
        <w:rPr/>
      </w:pP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Arial" w:cs="Arial" w:eastAsia="Arial" w:hAnsi="Arial"/>
          <w:color w:val="1c2833"/>
          <w:sz w:val="21"/>
          <w:szCs w:val="21"/>
          <w:rtl w:val="0"/>
        </w:rPr>
        <w:t xml:space="preserve">Source: Basketball-Reference.com — regular season game logs only. Playoffs excluded to maintain consistency across seasons.</w:t>
      </w:r>
      <w:r w:rsidDel="00000000" w:rsidR="00000000" w:rsidRPr="00000000">
        <w:rPr>
          <w:rtl w:val="0"/>
        </w:rPr>
      </w:r>
    </w:p>
    <w:p w:rsidR="00000000" w:rsidDel="00000000" w:rsidP="00000000" w:rsidRDefault="00000000" w:rsidRPr="00000000" w14:paraId="0000000E">
      <w:pPr>
        <w:spacing w:after="0" w:before="60" w:lineRule="auto"/>
        <w:rPr/>
      </w:pP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Fonts w:ascii="Arial" w:cs="Arial" w:eastAsia="Arial" w:hAnsi="Arial"/>
          <w:i w:val="1"/>
          <w:iCs w:val="1"/>
          <w:color w:val="555555"/>
          <w:sz w:val="21"/>
          <w:szCs w:val="21"/>
          <w:rtl w:val="0"/>
        </w:rPr>
        <w:t xml:space="preserve">Important: BigQuery sandbox tier auto-deletes tables after 60 days. Raw tables and views require re-uploading periodically. CSV backups saved locally to avoid data loss.</w:t>
      </w:r>
      <w:r w:rsidDel="00000000" w:rsidR="00000000" w:rsidRPr="00000000">
        <w:rPr>
          <w:rtl w:val="0"/>
        </w:rPr>
      </w:r>
    </w:p>
    <w:p w:rsidR="00000000" w:rsidDel="00000000" w:rsidP="00000000" w:rsidRDefault="00000000" w:rsidRPr="00000000" w14:paraId="00000010">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1400"/>
        <w:gridCol w:w="1400"/>
        <w:gridCol w:w="3560"/>
        <w:tblGridChange w:id="0">
          <w:tblGrid>
            <w:gridCol w:w="1600"/>
            <w:gridCol w:w="1400"/>
            <w:gridCol w:w="1400"/>
            <w:gridCol w:w="14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Table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Games Played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Games Missed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b w:val="0"/>
                <w:bCs w:val="0"/>
                <w:color w:val="1c2833"/>
                <w:sz w:val="20"/>
                <w:szCs w:val="20"/>
                <w:rtl w:val="0"/>
              </w:rPr>
              <w:t xml:space="preserve">2022-23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b w:val="0"/>
                <w:bCs w:val="0"/>
                <w:color w:val="1c2833"/>
                <w:sz w:val="20"/>
                <w:szCs w:val="20"/>
                <w:rtl w:val="0"/>
              </w:rPr>
              <w:t xml:space="preserve">curry_gamelog_2023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b w:val="0"/>
                <w:bCs w:val="0"/>
                <w:color w:val="1c2833"/>
                <w:sz w:val="20"/>
                <w:szCs w:val="20"/>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0"/>
                <w:bCs w:val="0"/>
                <w:color w:val="1c2833"/>
                <w:sz w:val="20"/>
                <w:szCs w:val="20"/>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0"/>
                <w:bCs w:val="0"/>
                <w:color w:val="1c2833"/>
                <w:sz w:val="20"/>
                <w:szCs w:val="20"/>
                <w:rtl w:val="0"/>
              </w:rPr>
              <w:t xml:space="preserve">Two injury absences: shoulder (11 games) and leg injury (11 games). 4 load management games.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0"/>
                <w:bCs w:val="0"/>
                <w:color w:val="1c2833"/>
                <w:sz w:val="20"/>
                <w:szCs w:val="20"/>
                <w:rtl w:val="0"/>
              </w:rPr>
              <w:t xml:space="preserve">2023-24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0"/>
                <w:bCs w:val="0"/>
                <w:color w:val="1c2833"/>
                <w:sz w:val="20"/>
                <w:szCs w:val="20"/>
                <w:rtl w:val="0"/>
              </w:rPr>
              <w:t xml:space="preserve">curry_gamelog_2024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0"/>
                <w:bCs w:val="0"/>
                <w:color w:val="1c2833"/>
                <w:sz w:val="20"/>
                <w:szCs w:val="20"/>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0"/>
                <w:bCs w:val="0"/>
                <w:color w:val="1c28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0"/>
                <w:bCs w:val="0"/>
                <w:color w:val="1c2833"/>
                <w:sz w:val="20"/>
                <w:szCs w:val="20"/>
                <w:rtl w:val="0"/>
              </w:rPr>
              <w:t xml:space="preserve">Clean season. Primary baseline. 8 load management games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0"/>
                <w:bCs w:val="0"/>
                <w:color w:val="1c2833"/>
                <w:sz w:val="20"/>
                <w:szCs w:val="20"/>
                <w:rtl w:val="0"/>
              </w:rPr>
              <w:t xml:space="preserve">2024-25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0"/>
                <w:bCs w:val="0"/>
                <w:color w:val="1c2833"/>
                <w:sz w:val="20"/>
                <w:szCs w:val="20"/>
                <w:rtl w:val="0"/>
              </w:rPr>
              <w:t xml:space="preserve">curry_gamelog_2025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0"/>
                <w:bCs w:val="0"/>
                <w:color w:val="1c2833"/>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0"/>
                <w:bCs w:val="0"/>
                <w:color w:val="1c28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0"/>
                <w:bCs w:val="0"/>
                <w:color w:val="1c2833"/>
                <w:sz w:val="20"/>
                <w:szCs w:val="20"/>
                <w:rtl w:val="0"/>
              </w:rPr>
              <w:t xml:space="preserve">Clean season. 12 load management games.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0"/>
                <w:bCs w:val="0"/>
                <w:color w:val="1c2833"/>
                <w:sz w:val="20"/>
                <w:szCs w:val="20"/>
                <w:rtl w:val="0"/>
              </w:rPr>
              <w:t xml:space="preserve">2025-26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0"/>
                <w:bCs w:val="0"/>
                <w:color w:val="1c2833"/>
                <w:sz w:val="20"/>
                <w:szCs w:val="20"/>
                <w:rtl w:val="0"/>
              </w:rPr>
              <w:t xml:space="preserve">curry_gamelog_2026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0"/>
                <w:bCs w:val="0"/>
                <w:color w:val="1c2833"/>
                <w:sz w:val="20"/>
                <w:szCs w:val="20"/>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0"/>
                <w:bCs w:val="0"/>
                <w:color w:val="1c2833"/>
                <w:sz w:val="20"/>
                <w:szCs w:val="20"/>
                <w:rtl w:val="0"/>
              </w:rPr>
              <w:t xml:space="preserve">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0"/>
                <w:bCs w:val="0"/>
                <w:color w:val="1c2833"/>
                <w:sz w:val="20"/>
                <w:szCs w:val="20"/>
                <w:rtl w:val="0"/>
              </w:rPr>
              <w:t xml:space="preserve">Two injury absences: quad contusion (5 games) and runner’s knee (27 games from Jan 31).</w:t>
            </w:r>
            <w:r w:rsidDel="00000000" w:rsidR="00000000" w:rsidRPr="00000000">
              <w:rPr>
                <w:rtl w:val="0"/>
              </w:rPr>
            </w:r>
          </w:p>
        </w:tc>
      </w:tr>
    </w:tbl>
    <w:p w:rsidR="00000000" w:rsidDel="00000000" w:rsidP="00000000" w:rsidRDefault="00000000" w:rsidRPr="00000000" w14:paraId="0000002A">
      <w:pPr>
        <w:spacing w:after="0" w:before="160" w:lineRule="auto"/>
        <w:rPr/>
      </w:pPr>
      <w:r w:rsidDel="00000000" w:rsidR="00000000" w:rsidRPr="00000000">
        <w:rPr>
          <w:rtl w:val="0"/>
        </w:rPr>
      </w:r>
    </w:p>
    <w:p w:rsidR="00000000" w:rsidDel="00000000" w:rsidP="00000000" w:rsidRDefault="00000000" w:rsidRPr="00000000" w14:paraId="0000002B">
      <w:pPr>
        <w:pBdr>
          <w:bottom w:color="2e86c1" w:space="1" w:sz="6" w:val="single"/>
        </w:pBdr>
        <w:spacing w:after="80" w:before="320" w:lineRule="auto"/>
        <w:rPr/>
      </w:pPr>
      <w:r w:rsidDel="00000000" w:rsidR="00000000" w:rsidRPr="00000000">
        <w:rPr>
          <w:rFonts w:ascii="Arial" w:cs="Arial" w:eastAsia="Arial" w:hAnsi="Arial"/>
          <w:b w:val="1"/>
          <w:bCs w:val="1"/>
          <w:color w:val="2e86c1"/>
          <w:sz w:val="24"/>
          <w:szCs w:val="24"/>
          <w:rtl w:val="0"/>
        </w:rPr>
        <w:t xml:space="preserve">LITERATURE &amp; CITATIONS</w:t>
      </w:r>
      <w:r w:rsidDel="00000000" w:rsidR="00000000" w:rsidRPr="00000000">
        <w:rPr>
          <w:rtl w:val="0"/>
        </w:rPr>
      </w:r>
    </w:p>
    <w:p w:rsidR="00000000" w:rsidDel="00000000" w:rsidP="00000000" w:rsidRDefault="00000000" w:rsidRPr="00000000" w14:paraId="0000002C">
      <w:pPr>
        <w:spacing w:after="0" w:before="60" w:lineRule="auto"/>
        <w:rPr/>
      </w:pPr>
      <w:r w:rsidDel="00000000" w:rsidR="00000000" w:rsidRPr="00000000">
        <w:rPr>
          <w:rtl w:val="0"/>
        </w:rPr>
      </w:r>
    </w:p>
    <w:p w:rsidR="00000000" w:rsidDel="00000000" w:rsidP="00000000" w:rsidRDefault="00000000" w:rsidRPr="00000000" w14:paraId="0000002D">
      <w:pPr>
        <w:spacing w:after="60" w:before="200" w:lineRule="auto"/>
        <w:rPr/>
      </w:pPr>
      <w:r w:rsidDel="00000000" w:rsidR="00000000" w:rsidRPr="00000000">
        <w:rPr>
          <w:rFonts w:ascii="Arial" w:cs="Arial" w:eastAsia="Arial" w:hAnsi="Arial"/>
          <w:b w:val="1"/>
          <w:bCs w:val="1"/>
          <w:color w:val="1c2833"/>
          <w:sz w:val="22"/>
          <w:szCs w:val="22"/>
          <w:rtl w:val="0"/>
        </w:rPr>
        <w:t xml:space="preserve">Core ACWR Literature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Hulin et al. (2016) — The acute:chronic workload ratio predicts injury. British Journal of Sports Medicine, 50:231–236. </w:t>
      </w:r>
      <w:hyperlink r:id="rId7">
        <w:r w:rsidDel="00000000" w:rsidR="00000000" w:rsidRPr="00000000">
          <w:rPr>
            <w:rFonts w:ascii="Arial" w:cs="Arial" w:eastAsia="Arial" w:hAnsi="Arial"/>
            <w:b w:val="0"/>
            <w:bCs w:val="0"/>
            <w:i w:val="0"/>
            <w:iCs w:val="0"/>
            <w:smallCaps w:val="0"/>
            <w:strike w:val="0"/>
            <w:color w:val="1155cc"/>
            <w:sz w:val="21"/>
            <w:szCs w:val="21"/>
            <w:u w:val="single"/>
            <w:shd w:fill="auto" w:val="clear"/>
            <w:vertAlign w:val="baseline"/>
            <w:rtl w:val="0"/>
          </w:rPr>
          <w:t xml:space="preserve">https://ro.uow.edu.au/smhpapers/3522</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Gabbett (2016) — The training-injury prevention paradox. British Journal of Sports Medicine, 50:273–280. </w:t>
      </w:r>
      <w:hyperlink r:id="rId8">
        <w:r w:rsidDel="00000000" w:rsidR="00000000" w:rsidRPr="00000000">
          <w:rPr>
            <w:rFonts w:ascii="Arial" w:cs="Arial" w:eastAsia="Arial" w:hAnsi="Arial"/>
            <w:b w:val="0"/>
            <w:bCs w:val="0"/>
            <w:i w:val="0"/>
            <w:iCs w:val="0"/>
            <w:smallCaps w:val="0"/>
            <w:strike w:val="0"/>
            <w:color w:val="1155cc"/>
            <w:sz w:val="21"/>
            <w:szCs w:val="21"/>
            <w:u w:val="single"/>
            <w:shd w:fill="auto" w:val="clear"/>
            <w:vertAlign w:val="baseline"/>
            <w:rtl w:val="0"/>
          </w:rPr>
          <w:t xml:space="preserve">https://pmc.ncbi.nlm.nih.gov/articles/PMC4789704</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0">
      <w:pPr>
        <w:spacing w:after="0" w:before="60" w:lineRule="auto"/>
        <w:rPr/>
      </w:pPr>
      <w:r w:rsidDel="00000000" w:rsidR="00000000" w:rsidRPr="00000000">
        <w:rPr>
          <w:rtl w:val="0"/>
        </w:rPr>
      </w:r>
    </w:p>
    <w:p w:rsidR="00000000" w:rsidDel="00000000" w:rsidP="00000000" w:rsidRDefault="00000000" w:rsidRPr="00000000" w14:paraId="00000031">
      <w:pPr>
        <w:spacing w:after="60" w:before="200" w:lineRule="auto"/>
        <w:rPr/>
      </w:pPr>
      <w:r w:rsidDel="00000000" w:rsidR="00000000" w:rsidRPr="00000000">
        <w:rPr>
          <w:rFonts w:ascii="Arial" w:cs="Arial" w:eastAsia="Arial" w:hAnsi="Arial"/>
          <w:b w:val="1"/>
          <w:bCs w:val="1"/>
          <w:color w:val="1c2833"/>
          <w:sz w:val="22"/>
          <w:szCs w:val="22"/>
          <w:rtl w:val="0"/>
        </w:rPr>
        <w:t xml:space="preserve">NBA-Specific Literature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Jildeh et al. (2024) — Load Management Is Essential to Prevent Season-Ending Injuries in the NBA. ScienceDirect. </w:t>
      </w:r>
      <w:hyperlink r:id="rId9">
        <w:r w:rsidDel="00000000" w:rsidR="00000000" w:rsidRPr="00000000">
          <w:rPr>
            <w:rFonts w:ascii="Arial" w:cs="Arial" w:eastAsia="Arial" w:hAnsi="Arial"/>
            <w:b w:val="0"/>
            <w:bCs w:val="0"/>
            <w:i w:val="0"/>
            <w:iCs w:val="0"/>
            <w:smallCaps w:val="0"/>
            <w:strike w:val="0"/>
            <w:color w:val="1155cc"/>
            <w:sz w:val="21"/>
            <w:szCs w:val="21"/>
            <w:u w:val="single"/>
            <w:shd w:fill="auto" w:val="clear"/>
            <w:vertAlign w:val="baseline"/>
            <w:rtl w:val="0"/>
          </w:rPr>
          <w:t xml:space="preserve">https://www.sciencedirect.com/science/article/abs/pii/S0749806324001592</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Chen, Huang, Ou, Parikh (2025) — Impact of Load Management on NBA Player Performance. CMU Capstone. </w:t>
      </w:r>
      <w:hyperlink r:id="rId10">
        <w:r w:rsidDel="00000000" w:rsidR="00000000" w:rsidRPr="00000000">
          <w:rPr>
            <w:rFonts w:ascii="Arial" w:cs="Arial" w:eastAsia="Arial" w:hAnsi="Arial"/>
            <w:b w:val="0"/>
            <w:bCs w:val="0"/>
            <w:i w:val="0"/>
            <w:iCs w:val="0"/>
            <w:smallCaps w:val="0"/>
            <w:strike w:val="0"/>
            <w:color w:val="1155cc"/>
            <w:sz w:val="21"/>
            <w:szCs w:val="21"/>
            <w:u w:val="single"/>
            <w:shd w:fill="auto" w:val="clear"/>
            <w:vertAlign w:val="baseline"/>
            <w:rtl w:val="0"/>
          </w:rPr>
          <w:t xml:space="preserve">https://www.stat.cmu.edu/capstoneresearch/460files_s25/team15.pdf</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arxiv (2026) — The Load Management Paradox: Correcting the Healthy-Worker Survivor Effect in NBA Injury Modeling. </w:t>
      </w:r>
      <w:hyperlink r:id="rId11">
        <w:r w:rsidDel="00000000" w:rsidR="00000000" w:rsidRPr="00000000">
          <w:rPr>
            <w:rFonts w:ascii="Arial" w:cs="Arial" w:eastAsia="Arial" w:hAnsi="Arial"/>
            <w:b w:val="0"/>
            <w:bCs w:val="0"/>
            <w:i w:val="0"/>
            <w:iCs w:val="0"/>
            <w:smallCaps w:val="0"/>
            <w:strike w:val="0"/>
            <w:color w:val="1155cc"/>
            <w:sz w:val="21"/>
            <w:szCs w:val="21"/>
            <w:u w:val="single"/>
            <w:shd w:fill="auto" w:val="clear"/>
            <w:vertAlign w:val="baseline"/>
            <w:rtl w:val="0"/>
          </w:rPr>
          <w:t xml:space="preserve">https://arxiv.org/pdf/2603.26935</w:t>
        </w:r>
      </w:hyperlin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5">
      <w:pPr>
        <w:spacing w:after="0" w:before="160" w:lineRule="auto"/>
        <w:rPr/>
      </w:pPr>
      <w:r w:rsidDel="00000000" w:rsidR="00000000" w:rsidRPr="00000000">
        <w:rPr>
          <w:rtl w:val="0"/>
        </w:rPr>
      </w:r>
    </w:p>
    <w:p w:rsidR="00000000" w:rsidDel="00000000" w:rsidP="00000000" w:rsidRDefault="00000000" w:rsidRPr="00000000" w14:paraId="00000036">
      <w:pPr>
        <w:pBdr>
          <w:bottom w:color="2e86c1" w:space="1" w:sz="6" w:val="single"/>
        </w:pBdr>
        <w:spacing w:after="80" w:before="320" w:lineRule="auto"/>
        <w:rPr/>
      </w:pPr>
      <w:r w:rsidDel="00000000" w:rsidR="00000000" w:rsidRPr="00000000">
        <w:rPr>
          <w:rFonts w:ascii="Arial" w:cs="Arial" w:eastAsia="Arial" w:hAnsi="Arial"/>
          <w:b w:val="1"/>
          <w:bCs w:val="1"/>
          <w:color w:val="2e86c1"/>
          <w:sz w:val="24"/>
          <w:szCs w:val="24"/>
          <w:rtl w:val="0"/>
        </w:rPr>
        <w:t xml:space="preserve">ANALYTICAL FRAMEWORK</w:t>
      </w:r>
      <w:r w:rsidDel="00000000" w:rsidR="00000000" w:rsidRPr="00000000">
        <w:rPr>
          <w:rtl w:val="0"/>
        </w:rPr>
      </w:r>
    </w:p>
    <w:p w:rsidR="00000000" w:rsidDel="00000000" w:rsidP="00000000" w:rsidRDefault="00000000" w:rsidRPr="00000000" w14:paraId="00000037">
      <w:pPr>
        <w:spacing w:after="0" w:before="60" w:lineRule="auto"/>
        <w:rPr/>
      </w:pPr>
      <w:r w:rsidDel="00000000" w:rsidR="00000000" w:rsidRPr="00000000">
        <w:rPr>
          <w:rtl w:val="0"/>
        </w:rPr>
      </w:r>
    </w:p>
    <w:p w:rsidR="00000000" w:rsidDel="00000000" w:rsidP="00000000" w:rsidRDefault="00000000" w:rsidRPr="00000000" w14:paraId="00000038">
      <w:pPr>
        <w:spacing w:after="60" w:before="200" w:lineRule="auto"/>
        <w:rPr/>
      </w:pPr>
      <w:r w:rsidDel="00000000" w:rsidR="00000000" w:rsidRPr="00000000">
        <w:rPr>
          <w:rFonts w:ascii="Arial" w:cs="Arial" w:eastAsia="Arial" w:hAnsi="Arial"/>
          <w:b w:val="1"/>
          <w:bCs w:val="1"/>
          <w:color w:val="1c2833"/>
          <w:sz w:val="22"/>
          <w:szCs w:val="22"/>
          <w:rtl w:val="0"/>
        </w:rPr>
        <w:t xml:space="preserve">Original Framework — ACWR</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Arial" w:cs="Arial" w:eastAsia="Arial" w:hAnsi="Arial"/>
          <w:color w:val="1c2833"/>
          <w:sz w:val="21"/>
          <w:szCs w:val="21"/>
          <w:rtl w:val="0"/>
        </w:rPr>
        <w:t xml:space="preserve">The project initially applied the Acute:Chronic Workload Ratio (ACWR) framework from sports science literature. ACWR compares 5-game rolling average (acute) against 10-game rolling average (chronic). Values above 1.3 were proposed as the primary fatigue flag.</w:t>
      </w:r>
      <w:r w:rsidDel="00000000" w:rsidR="00000000" w:rsidRPr="00000000">
        <w:rPr>
          <w:rtl w:val="0"/>
        </w:rPr>
      </w:r>
    </w:p>
    <w:p w:rsidR="00000000" w:rsidDel="00000000" w:rsidP="00000000" w:rsidRDefault="00000000" w:rsidRPr="00000000" w14:paraId="0000003A">
      <w:pPr>
        <w:spacing w:after="0" w:before="60" w:lineRule="auto"/>
        <w:rPr/>
      </w:pP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Fonts w:ascii="Arial" w:cs="Arial" w:eastAsia="Arial" w:hAnsi="Arial"/>
          <w:i w:val="1"/>
          <w:iCs w:val="1"/>
          <w:color w:val="555555"/>
          <w:sz w:val="21"/>
          <w:szCs w:val="21"/>
          <w:rtl w:val="0"/>
        </w:rPr>
        <w:t xml:space="preserve">ACWR window limitation: Gabbett’s original framework uses 7-day and 28-day windows from daily training data. NBA game logs only provide game-day data. 5 and 10 game windows are pragmatic proxies. Documented as limitation.</w:t>
      </w:r>
      <w:r w:rsidDel="00000000" w:rsidR="00000000" w:rsidRPr="00000000">
        <w:rPr>
          <w:rtl w:val="0"/>
        </w:rPr>
      </w:r>
    </w:p>
    <w:p w:rsidR="00000000" w:rsidDel="00000000" w:rsidP="00000000" w:rsidRDefault="00000000" w:rsidRPr="00000000" w14:paraId="0000003C">
      <w:pPr>
        <w:spacing w:after="0" w:before="80" w:lineRule="auto"/>
        <w:rPr/>
      </w:pPr>
      <w:r w:rsidDel="00000000" w:rsidR="00000000" w:rsidRPr="00000000">
        <w:rPr>
          <w:rtl w:val="0"/>
        </w:rPr>
      </w:r>
    </w:p>
    <w:p w:rsidR="00000000" w:rsidDel="00000000" w:rsidP="00000000" w:rsidRDefault="00000000" w:rsidRPr="00000000" w14:paraId="0000003D">
      <w:pPr>
        <w:spacing w:after="60" w:before="200" w:lineRule="auto"/>
        <w:rPr/>
      </w:pPr>
      <w:r w:rsidDel="00000000" w:rsidR="00000000" w:rsidRPr="00000000">
        <w:rPr>
          <w:rFonts w:ascii="Arial" w:cs="Arial" w:eastAsia="Arial" w:hAnsi="Arial"/>
          <w:b w:val="1"/>
          <w:bCs w:val="1"/>
          <w:color w:val="1c2833"/>
          <w:sz w:val="22"/>
          <w:szCs w:val="22"/>
          <w:rtl w:val="0"/>
        </w:rPr>
        <w:t xml:space="preserve">ACWR Finding</w:t>
      </w:r>
      <w:r w:rsidDel="00000000" w:rsidR="00000000" w:rsidRPr="00000000">
        <w:rPr>
          <w:rtl w:val="0"/>
        </w:rPr>
      </w:r>
    </w:p>
    <w:p w:rsidR="00000000" w:rsidDel="00000000" w:rsidP="00000000" w:rsidRDefault="00000000" w:rsidRPr="00000000" w14:paraId="0000003E">
      <w:pPr>
        <w:spacing w:after="60" w:before="60" w:lineRule="auto"/>
        <w:rPr/>
      </w:pPr>
      <w:sdt>
        <w:sdtPr>
          <w:id w:val="-617460504"/>
          <w:tag w:val="goog_rdk_0"/>
        </w:sdtPr>
        <w:sdtContent>
          <w:r w:rsidDel="00000000" w:rsidR="00000000" w:rsidRPr="00000000">
            <w:rPr>
              <w:rFonts w:ascii="Arial Unicode MS" w:cs="Arial Unicode MS" w:eastAsia="Arial Unicode MS" w:hAnsi="Arial Unicode MS"/>
              <w:color w:val="1c2833"/>
              <w:sz w:val="21"/>
              <w:szCs w:val="21"/>
              <w:rtl w:val="0"/>
            </w:rPr>
            <w:t xml:space="preserve">ACWR never exceeded 1.3 across 224 healthy game appearances. Average ACWR ≈1.0 across all seasons. This is evidence of elite sports science practice by the Golden State Warriors — their load management is so precise that acute load never spiked dangerously above the chronic baseline on game days Curry actually played.</w:t>
          </w:r>
        </w:sdtContent>
      </w:sdt>
      <w:r w:rsidDel="00000000" w:rsidR="00000000" w:rsidRPr="00000000">
        <w:rPr>
          <w:rtl w:val="0"/>
        </w:rPr>
      </w:r>
    </w:p>
    <w:p w:rsidR="00000000" w:rsidDel="00000000" w:rsidP="00000000" w:rsidRDefault="00000000" w:rsidRPr="00000000" w14:paraId="0000003F">
      <w:pPr>
        <w:spacing w:after="0" w:before="60" w:lineRule="auto"/>
        <w:rPr/>
      </w:pP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Fonts w:ascii="Arial" w:cs="Arial" w:eastAsia="Arial" w:hAnsi="Arial"/>
          <w:i w:val="1"/>
          <w:iCs w:val="1"/>
          <w:color w:val="555555"/>
          <w:sz w:val="21"/>
          <w:szCs w:val="21"/>
          <w:rtl w:val="0"/>
        </w:rPr>
        <w:t xml:space="preserve">However, an ACWR near 1.0 does not mean fatigue is absent. It means single-game load spikes were controlled. The slow accumulation of thousands of minutes across a season is a separate physiological phenomenon not captured by ACWR. Framework reoriented to cumulative load from Step 7 onwards.</w:t>
      </w:r>
      <w:r w:rsidDel="00000000" w:rsidR="00000000" w:rsidRPr="00000000">
        <w:rPr>
          <w:rtl w:val="0"/>
        </w:rPr>
      </w:r>
    </w:p>
    <w:p w:rsidR="00000000" w:rsidDel="00000000" w:rsidP="00000000" w:rsidRDefault="00000000" w:rsidRPr="00000000" w14:paraId="00000041">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800"/>
        <w:gridCol w:w="1800"/>
        <w:gridCol w:w="2360"/>
        <w:tblGridChange w:id="0">
          <w:tblGrid>
            <w:gridCol w:w="1600"/>
            <w:gridCol w:w="1800"/>
            <w:gridCol w:w="1800"/>
            <w:gridCol w:w="18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Healthy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Avg Acute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Avg Chronic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Avg ACWR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0"/>
                <w:bCs w:val="0"/>
                <w:color w:val="1c2833"/>
                <w:sz w:val="20"/>
                <w:szCs w:val="20"/>
                <w:rtl w:val="0"/>
              </w:rPr>
              <w:t xml:space="preserve">2022-23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color w:val="1c2833"/>
                <w:sz w:val="20"/>
                <w:szCs w:val="20"/>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color w:val="1c2833"/>
                <w:sz w:val="20"/>
                <w:szCs w:val="20"/>
                <w:rtl w:val="0"/>
              </w:rPr>
              <w:t xml:space="preserve">34.8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color w:val="1c2833"/>
                <w:sz w:val="20"/>
                <w:szCs w:val="20"/>
                <w:rtl w:val="0"/>
              </w:rPr>
              <w:t xml:space="preserve">34.7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color w:val="1c2833"/>
                <w:sz w:val="20"/>
                <w:szCs w:val="20"/>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color w:val="1c2833"/>
                <w:sz w:val="20"/>
                <w:szCs w:val="20"/>
                <w:rtl w:val="0"/>
              </w:rPr>
              <w:t xml:space="preserve">2023-24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color w:val="1c2833"/>
                <w:sz w:val="20"/>
                <w:szCs w:val="20"/>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color w:val="1c2833"/>
                <w:sz w:val="20"/>
                <w:szCs w:val="20"/>
                <w:rtl w:val="0"/>
              </w:rPr>
              <w:t xml:space="preserve">32.7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color w:val="1c2833"/>
                <w:sz w:val="20"/>
                <w:szCs w:val="20"/>
                <w:rtl w:val="0"/>
              </w:rPr>
              <w:t xml:space="preserve">32.6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color w:val="1c2833"/>
                <w:sz w:val="20"/>
                <w:szCs w:val="20"/>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color w:val="1c2833"/>
                <w:sz w:val="20"/>
                <w:szCs w:val="20"/>
                <w:rtl w:val="0"/>
              </w:rPr>
              <w:t xml:space="preserve">2024-25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color w:val="1c2833"/>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0"/>
                <w:bCs w:val="0"/>
                <w:color w:val="1c2833"/>
                <w:sz w:val="20"/>
                <w:szCs w:val="20"/>
                <w:rtl w:val="0"/>
              </w:rPr>
              <w:t xml:space="preserve">32.0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0"/>
                <w:bCs w:val="0"/>
                <w:color w:val="1c2833"/>
                <w:sz w:val="20"/>
                <w:szCs w:val="20"/>
                <w:rtl w:val="0"/>
              </w:rPr>
              <w:t xml:space="preserve">31.8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0"/>
                <w:bCs w:val="0"/>
                <w:color w:val="1c2833"/>
                <w:sz w:val="20"/>
                <w:szCs w:val="20"/>
                <w:rtl w:val="0"/>
              </w:rPr>
              <w:t xml:space="preserve">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0"/>
                <w:bCs w:val="0"/>
                <w:color w:val="1c2833"/>
                <w:sz w:val="20"/>
                <w:szCs w:val="20"/>
                <w:rtl w:val="0"/>
              </w:rPr>
              <w:t xml:space="preserve">2025-26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0"/>
                <w:bCs w:val="0"/>
                <w:color w:val="1c2833"/>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0"/>
                <w:bCs w:val="0"/>
                <w:color w:val="1c2833"/>
                <w:sz w:val="20"/>
                <w:szCs w:val="20"/>
                <w:rtl w:val="0"/>
              </w:rPr>
              <w:t xml:space="preserve">31.3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0"/>
                <w:bCs w:val="0"/>
                <w:color w:val="1c2833"/>
                <w:sz w:val="20"/>
                <w:szCs w:val="20"/>
                <w:rtl w:val="0"/>
              </w:rPr>
              <w:t xml:space="preserve">31.5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0"/>
                <w:bCs w:val="0"/>
                <w:color w:val="1c2833"/>
                <w:sz w:val="20"/>
                <w:szCs w:val="20"/>
                <w:rtl w:val="0"/>
              </w:rPr>
              <w:t xml:space="preserve">0.99</w:t>
            </w:r>
            <w:r w:rsidDel="00000000" w:rsidR="00000000" w:rsidRPr="00000000">
              <w:rPr>
                <w:rtl w:val="0"/>
              </w:rPr>
            </w:r>
          </w:p>
        </w:tc>
      </w:tr>
    </w:tbl>
    <w:p w:rsidR="00000000" w:rsidDel="00000000" w:rsidP="00000000" w:rsidRDefault="00000000" w:rsidRPr="00000000" w14:paraId="0000005B">
      <w:pPr>
        <w:spacing w:after="0" w:before="80" w:lineRule="auto"/>
        <w:rPr/>
      </w:pPr>
      <w:r w:rsidDel="00000000" w:rsidR="00000000" w:rsidRPr="00000000">
        <w:rPr>
          <w:rtl w:val="0"/>
        </w:rPr>
      </w:r>
    </w:p>
    <w:p w:rsidR="00000000" w:rsidDel="00000000" w:rsidP="00000000" w:rsidRDefault="00000000" w:rsidRPr="00000000" w14:paraId="0000005C">
      <w:pPr>
        <w:spacing w:after="60" w:before="200" w:lineRule="auto"/>
        <w:rPr/>
      </w:pPr>
      <w:r w:rsidDel="00000000" w:rsidR="00000000" w:rsidRPr="00000000">
        <w:rPr>
          <w:rFonts w:ascii="Arial" w:cs="Arial" w:eastAsia="Arial" w:hAnsi="Arial"/>
          <w:b w:val="1"/>
          <w:bCs w:val="1"/>
          <w:color w:val="1c2833"/>
          <w:sz w:val="22"/>
          <w:szCs w:val="22"/>
          <w:rtl w:val="0"/>
        </w:rPr>
        <w:t xml:space="preserve">Analytical Reframing</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80"/>
        <w:gridCol w:w="3880"/>
        <w:tblGridChange w:id="0">
          <w:tblGrid>
            <w:gridCol w:w="2400"/>
            <w:gridCol w:w="3080"/>
            <w:gridCol w:w="3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0"/>
                <w:szCs w:val="20"/>
                <w:rtl w:val="0"/>
              </w:rPr>
              <w:t xml:space="preserve">Original 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c3483"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Reframed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daef"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0"/>
                <w:bCs w:val="0"/>
                <w:color w:val="1c2833"/>
                <w:sz w:val="20"/>
                <w:szCs w:val="20"/>
                <w:rtl w:val="0"/>
              </w:rPr>
              <w:t xml:space="preserve">Primary load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0"/>
                <w:bCs w:val="0"/>
                <w:color w:val="1c2833"/>
                <w:sz w:val="20"/>
                <w:szCs w:val="20"/>
                <w:rtl w:val="0"/>
              </w:rPr>
              <w:t xml:space="preserve">ACWR (acute/chronic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daef"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0"/>
                <w:bCs w:val="0"/>
                <w:color w:val="1c2833"/>
                <w:sz w:val="20"/>
                <w:szCs w:val="20"/>
                <w:rtl w:val="0"/>
              </w:rPr>
              <w:t xml:space="preserve">Cumulative minutes from game 1 per season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daef"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0"/>
                <w:bCs w:val="0"/>
                <w:color w:val="1c2833"/>
                <w:sz w:val="20"/>
                <w:szCs w:val="20"/>
                <w:rtl w:val="0"/>
              </w:rPr>
              <w:t xml:space="preserve">Fatigue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rPr/>
            </w:pPr>
            <w:sdt>
              <w:sdtPr>
                <w:id w:val="-1018594636"/>
                <w:tag w:val="goog_rdk_1"/>
              </w:sdtPr>
              <w:sdtContent>
                <w:r w:rsidDel="00000000" w:rsidR="00000000" w:rsidRPr="00000000">
                  <w:rPr>
                    <w:rFonts w:ascii="Arial Unicode MS" w:cs="Arial Unicode MS" w:eastAsia="Arial Unicode MS" w:hAnsi="Arial Unicode MS"/>
                    <w:b w:val="0"/>
                    <w:bCs w:val="0"/>
                    <w:color w:val="1c2833"/>
                    <w:sz w:val="20"/>
                    <w:szCs w:val="20"/>
                    <w:rtl w:val="0"/>
                  </w:rPr>
                  <w:t xml:space="preserve">ACWR ≥ 1.3</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daef"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0"/>
                <w:bCs w:val="0"/>
                <w:color w:val="1c2833"/>
                <w:sz w:val="20"/>
                <w:szCs w:val="20"/>
                <w:rtl w:val="0"/>
              </w:rPr>
              <w:t xml:space="preserve">Cumulative minutes crossing 1,000 / 1,500 / 2,000 minute thresholds (exploratory)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daef"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color w:val="1c2833"/>
                <w:sz w:val="20"/>
                <w:szCs w:val="20"/>
                <w:rtl w:val="0"/>
              </w:rPr>
              <w:t xml:space="preserve">Ageing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color w:val="1c2833"/>
                <w:sz w:val="20"/>
                <w:szCs w:val="20"/>
                <w:rtl w:val="0"/>
              </w:rPr>
              <w:t xml:space="preserve">Earlier ACWR spike by game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daef"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color w:val="1c2833"/>
                <w:sz w:val="20"/>
                <w:szCs w:val="20"/>
                <w:rtl w:val="0"/>
              </w:rPr>
              <w:t xml:space="preserve">Earlier efficiency decline by game number and season third in later seasons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daef"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color w:val="1c2833"/>
                <w:sz w:val="20"/>
                <w:szCs w:val="20"/>
                <w:rtl w:val="0"/>
              </w:rPr>
              <w:t xml:space="preserve">Efficiency comparison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rPr/>
            </w:pPr>
            <w:sdt>
              <w:sdtPr>
                <w:id w:val="-1600863793"/>
                <w:tag w:val="goog_rdk_2"/>
              </w:sdtPr>
              <w:sdtContent>
                <w:r w:rsidDel="00000000" w:rsidR="00000000" w:rsidRPr="00000000">
                  <w:rPr>
                    <w:rFonts w:ascii="Arial Unicode MS" w:cs="Arial Unicode MS" w:eastAsia="Arial Unicode MS" w:hAnsi="Arial Unicode MS"/>
                    <w:b w:val="0"/>
                    <w:bCs w:val="0"/>
                    <w:color w:val="1c2833"/>
                    <w:sz w:val="20"/>
                    <w:szCs w:val="20"/>
                    <w:rtl w:val="0"/>
                  </w:rPr>
                  <w:t xml:space="preserve">Efficiency below avg when ACWR ≥ 1.3</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daef"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0"/>
                <w:bCs w:val="0"/>
                <w:color w:val="1c2833"/>
                <w:sz w:val="20"/>
                <w:szCs w:val="20"/>
                <w:rtl w:val="0"/>
              </w:rPr>
              <w:t xml:space="preserve">Efficiency across load buckets and season thirds, compared across all four seasons</w:t>
            </w:r>
            <w:r w:rsidDel="00000000" w:rsidR="00000000" w:rsidRPr="00000000">
              <w:rPr>
                <w:rtl w:val="0"/>
              </w:rPr>
            </w:r>
          </w:p>
        </w:tc>
      </w:tr>
    </w:tbl>
    <w:p w:rsidR="00000000" w:rsidDel="00000000" w:rsidP="00000000" w:rsidRDefault="00000000" w:rsidRPr="00000000" w14:paraId="0000006C">
      <w:pPr>
        <w:spacing w:after="0" w:before="160" w:lineRule="auto"/>
        <w:rPr/>
      </w:pPr>
      <w:r w:rsidDel="00000000" w:rsidR="00000000" w:rsidRPr="00000000">
        <w:rPr>
          <w:rtl w:val="0"/>
        </w:rPr>
      </w:r>
    </w:p>
    <w:p w:rsidR="00000000" w:rsidDel="00000000" w:rsidP="00000000" w:rsidRDefault="00000000" w:rsidRPr="00000000" w14:paraId="0000006D">
      <w:pPr>
        <w:pBdr>
          <w:bottom w:color="2e86c1" w:space="1" w:sz="6" w:val="single"/>
        </w:pBdr>
        <w:spacing w:after="80" w:before="320" w:lineRule="auto"/>
        <w:rPr/>
      </w:pPr>
      <w:r w:rsidDel="00000000" w:rsidR="00000000" w:rsidRPr="00000000">
        <w:rPr>
          <w:rFonts w:ascii="Arial" w:cs="Arial" w:eastAsia="Arial" w:hAnsi="Arial"/>
          <w:b w:val="1"/>
          <w:bCs w:val="1"/>
          <w:color w:val="2e86c1"/>
          <w:sz w:val="24"/>
          <w:szCs w:val="24"/>
          <w:rtl w:val="0"/>
        </w:rPr>
        <w:t xml:space="preserve">BIGQUERY DATASET STRUCTURE</w:t>
      </w:r>
      <w:r w:rsidDel="00000000" w:rsidR="00000000" w:rsidRPr="00000000">
        <w:rPr>
          <w:rtl w:val="0"/>
        </w:rPr>
      </w:r>
    </w:p>
    <w:p w:rsidR="00000000" w:rsidDel="00000000" w:rsidP="00000000" w:rsidRDefault="00000000" w:rsidRPr="00000000" w14:paraId="0000006E">
      <w:pPr>
        <w:spacing w:after="0" w:before="60" w:lineRule="auto"/>
        <w:rPr/>
      </w:pP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Fonts w:ascii="Arial" w:cs="Arial" w:eastAsia="Arial" w:hAnsi="Arial"/>
          <w:color w:val="1c2833"/>
          <w:sz w:val="21"/>
          <w:szCs w:val="21"/>
          <w:rtl w:val="0"/>
        </w:rPr>
        <w:t xml:space="preserve">Project: third-oarlock-408819. Dataset: nba_data. Location: US.</w:t>
      </w:r>
      <w:r w:rsidDel="00000000" w:rsidR="00000000" w:rsidRPr="00000000">
        <w:rPr>
          <w:rtl w:val="0"/>
        </w:rPr>
      </w:r>
    </w:p>
    <w:p w:rsidR="00000000" w:rsidDel="00000000" w:rsidP="00000000" w:rsidRDefault="00000000" w:rsidRPr="00000000" w14:paraId="00000070">
      <w:pPr>
        <w:spacing w:after="0" w:before="80" w:lineRule="auto"/>
        <w:rPr/>
      </w:pPr>
      <w:r w:rsidDel="00000000" w:rsidR="00000000" w:rsidRPr="00000000">
        <w:rPr>
          <w:rtl w:val="0"/>
        </w:rPr>
      </w:r>
    </w:p>
    <w:p w:rsidR="00000000" w:rsidDel="00000000" w:rsidP="00000000" w:rsidRDefault="00000000" w:rsidRPr="00000000" w14:paraId="00000071">
      <w:pPr>
        <w:spacing w:after="60" w:before="200" w:lineRule="auto"/>
        <w:rPr/>
      </w:pPr>
      <w:r w:rsidDel="00000000" w:rsidR="00000000" w:rsidRPr="00000000">
        <w:rPr>
          <w:rFonts w:ascii="Arial" w:cs="Arial" w:eastAsia="Arial" w:hAnsi="Arial"/>
          <w:b w:val="1"/>
          <w:bCs w:val="1"/>
          <w:color w:val="1c2833"/>
          <w:sz w:val="22"/>
          <w:szCs w:val="22"/>
          <w:rtl w:val="0"/>
        </w:rPr>
        <w:t xml:space="preserve">View Dependency Chain</w:t>
      </w:r>
      <w:r w:rsidDel="00000000" w:rsidR="00000000" w:rsidRPr="00000000">
        <w:rPr>
          <w:rtl w:val="0"/>
        </w:rPr>
      </w:r>
    </w:p>
    <w:p w:rsidR="00000000" w:rsidDel="00000000" w:rsidP="00000000" w:rsidRDefault="00000000" w:rsidRPr="00000000" w14:paraId="00000072">
      <w:pPr>
        <w:spacing w:after="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View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Built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1"/>
                <w:bCs w:val="1"/>
                <w:color w:val="1c2833"/>
                <w:sz w:val="20"/>
                <w:szCs w:val="20"/>
                <w:rtl w:val="0"/>
              </w:rPr>
              <w:t xml:space="preserve">curry_all_seasons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0"/>
                <w:bCs w:val="0"/>
                <w:color w:val="1c2833"/>
                <w:sz w:val="20"/>
                <w:szCs w:val="20"/>
                <w:rtl w:val="0"/>
              </w:rPr>
              <w:t xml:space="preserve">4 raw game log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0"/>
                <w:bCs w:val="0"/>
                <w:color w:val="1c2833"/>
                <w:sz w:val="20"/>
                <w:szCs w:val="20"/>
                <w:rtl w:val="0"/>
              </w:rPr>
              <w:t xml:space="preserve">UNION ALL combining all four seasons. All 82 rows per season including inactive games.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color w:val="1c2833"/>
                <w:sz w:val="20"/>
                <w:szCs w:val="20"/>
                <w:rtl w:val="0"/>
              </w:rPr>
              <w:t xml:space="preserve">curry_with_game_numbers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0"/>
                <w:bCs w:val="0"/>
                <w:color w:val="1c2833"/>
                <w:sz w:val="20"/>
                <w:szCs w:val="20"/>
                <w:rtl w:val="0"/>
              </w:rPr>
              <w:t xml:space="preserve">curry_all_seasons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0"/>
                <w:bCs w:val="0"/>
                <w:color w:val="1c2833"/>
                <w:sz w:val="20"/>
                <w:szCs w:val="20"/>
                <w:rtl w:val="0"/>
              </w:rPr>
              <w:t xml:space="preserve">Adds game_number using ROW_NUMBER() OVER (PARTITION BY season ORDER BY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1"/>
                <w:bCs w:val="1"/>
                <w:color w:val="1c2833"/>
                <w:sz w:val="20"/>
                <w:szCs w:val="20"/>
                <w:rtl w:val="0"/>
              </w:rPr>
              <w:t xml:space="preserve">curry_with_minutes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color w:val="1c2833"/>
                <w:sz w:val="20"/>
                <w:szCs w:val="20"/>
                <w:rtl w:val="0"/>
              </w:rPr>
              <w:t xml:space="preserve">curry_with_game_numbers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color w:val="1c2833"/>
                <w:sz w:val="20"/>
                <w:szCs w:val="20"/>
                <w:rtl w:val="0"/>
              </w:rPr>
              <w:t xml:space="preserve">Converts MP from MM:SS:00 to decimal minutes. Inactive rows assigned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1f2eb"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color w:val="1c2833"/>
                <w:sz w:val="20"/>
                <w:szCs w:val="20"/>
                <w:rtl w:val="0"/>
              </w:rPr>
              <w:t xml:space="preserve">curry_active_only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0"/>
                <w:bCs w:val="0"/>
                <w:color w:val="1c2833"/>
                <w:sz w:val="20"/>
                <w:szCs w:val="20"/>
                <w:rtl w:val="0"/>
              </w:rPr>
              <w:t xml:space="preserve">curry_with_minutes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1f2eb"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color w:val="1c2833"/>
                <w:sz w:val="20"/>
                <w:szCs w:val="20"/>
                <w:rtl w:val="0"/>
              </w:rPr>
              <w:t xml:space="preserve">Filters to active games only using WHERE total_minutes IS NOT NULL.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1"/>
                <w:bCs w:val="1"/>
                <w:color w:val="1c2833"/>
                <w:sz w:val="20"/>
                <w:szCs w:val="20"/>
                <w:rtl w:val="0"/>
              </w:rPr>
              <w:t xml:space="preserve">curry_with_flags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0"/>
                <w:bCs w:val="0"/>
                <w:color w:val="1c2833"/>
                <w:sz w:val="20"/>
                <w:szCs w:val="20"/>
                <w:rtl w:val="0"/>
              </w:rPr>
              <w:t xml:space="preserve">curry_with_minutes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0"/>
                <w:bCs w:val="0"/>
                <w:color w:val="1c2833"/>
                <w:sz w:val="20"/>
                <w:szCs w:val="20"/>
                <w:rtl w:val="0"/>
              </w:rPr>
              <w:t xml:space="preserve">Dynamic 8-CTE injury flagging. Four categories: Healthy, Injury_absence, Load_management, Post_injury_return.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1"/>
                <w:bCs w:val="1"/>
                <w:color w:val="1c2833"/>
                <w:sz w:val="20"/>
                <w:szCs w:val="20"/>
                <w:rtl w:val="0"/>
              </w:rPr>
              <w:t xml:space="preserve">curry_load_analysis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0"/>
                <w:bCs w:val="0"/>
                <w:color w:val="1c2833"/>
                <w:sz w:val="20"/>
                <w:szCs w:val="20"/>
                <w:rtl w:val="0"/>
              </w:rPr>
              <w:t xml:space="preserve">curry_with_flags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color w:val="1c2833"/>
                <w:sz w:val="20"/>
                <w:szCs w:val="20"/>
                <w:rtl w:val="0"/>
              </w:rPr>
              <w:t xml:space="preserve">Final analytical layer. Rolling load metrics, ACWR, efficiency metrics, cumulative load buckets, season thirds, fatigue flag.</w:t>
            </w:r>
            <w:r w:rsidDel="00000000" w:rsidR="00000000" w:rsidRPr="00000000">
              <w:rPr>
                <w:rtl w:val="0"/>
              </w:rPr>
            </w:r>
          </w:p>
        </w:tc>
      </w:tr>
    </w:tbl>
    <w:p w:rsidR="00000000" w:rsidDel="00000000" w:rsidP="00000000" w:rsidRDefault="00000000" w:rsidRPr="00000000" w14:paraId="00000088">
      <w:pPr>
        <w:spacing w:after="0" w:before="160" w:lineRule="auto"/>
        <w:rPr/>
      </w:pPr>
      <w:r w:rsidDel="00000000" w:rsidR="00000000" w:rsidRPr="00000000">
        <w:rPr>
          <w:rtl w:val="0"/>
        </w:rPr>
      </w:r>
    </w:p>
    <w:p w:rsidR="00000000" w:rsidDel="00000000" w:rsidP="00000000" w:rsidRDefault="00000000" w:rsidRPr="00000000" w14:paraId="00000089">
      <w:pPr>
        <w:pBdr>
          <w:bottom w:color="2e86c1" w:space="1" w:sz="6" w:val="single"/>
        </w:pBdr>
        <w:spacing w:after="80" w:before="320" w:lineRule="auto"/>
        <w:rPr/>
      </w:pPr>
      <w:r w:rsidDel="00000000" w:rsidR="00000000" w:rsidRPr="00000000">
        <w:rPr>
          <w:rFonts w:ascii="Arial" w:cs="Arial" w:eastAsia="Arial" w:hAnsi="Arial"/>
          <w:b w:val="1"/>
          <w:bCs w:val="1"/>
          <w:color w:val="2e86c1"/>
          <w:sz w:val="24"/>
          <w:szCs w:val="24"/>
          <w:rtl w:val="0"/>
        </w:rPr>
        <w:t xml:space="preserve">METHODOLOGY — STEP BY STEP</w:t>
      </w:r>
      <w:r w:rsidDel="00000000" w:rsidR="00000000" w:rsidRPr="00000000">
        <w:rPr>
          <w:rtl w:val="0"/>
        </w:rPr>
      </w:r>
    </w:p>
    <w:p w:rsidR="00000000" w:rsidDel="00000000" w:rsidP="00000000" w:rsidRDefault="00000000" w:rsidRPr="00000000" w14:paraId="0000008A">
      <w:pPr>
        <w:spacing w:after="0" w:before="60" w:lineRule="auto"/>
        <w:rPr/>
      </w:pPr>
      <w:r w:rsidDel="00000000" w:rsidR="00000000" w:rsidRPr="00000000">
        <w:rPr>
          <w:rtl w:val="0"/>
        </w:rPr>
      </w:r>
    </w:p>
    <w:p w:rsidR="00000000" w:rsidDel="00000000" w:rsidP="00000000" w:rsidRDefault="00000000" w:rsidRPr="00000000" w14:paraId="0000008B">
      <w:pPr>
        <w:spacing w:after="60" w:before="200" w:lineRule="auto"/>
        <w:rPr/>
      </w:pPr>
      <w:r w:rsidDel="00000000" w:rsidR="00000000" w:rsidRPr="00000000">
        <w:rPr>
          <w:rFonts w:ascii="Arial" w:cs="Arial" w:eastAsia="Arial" w:hAnsi="Arial"/>
          <w:b w:val="1"/>
          <w:bCs w:val="1"/>
          <w:color w:val="1c2833"/>
          <w:sz w:val="22"/>
          <w:szCs w:val="22"/>
          <w:rtl w:val="0"/>
        </w:rPr>
        <w:t xml:space="preserve">Steps 1–5 — Data Pipeline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Step 1: UNION ALL of four seasons with season label and Result column. All 82 rows per season retained.</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Step 2: ROW_NUMBER() OVER (PARTITION BY season ORDER BY Date) for consistent game numbering.</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Step 3: MP converted from MM:SS:00 to decimal using SPLIT/CAST. Inactive rows = NULL.</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Step 4: Active game filter using WHERE total_minutes IS NOT NULL.</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Step 5: Dynamic injury flagging using 8-CTE consecutive game counting. Threshold: 5+ consecutive inactive = significant injury absence.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Validation note (Sept 2026): a double-LAG bug in the Post_injury_return detection logic was identified and fixed — it had inflated the post-return window from 5 to 6 games in each season with an injury absence, caught via an asymmetric 11/10 return-count split where a clean 5/5 split was expected. Corrected total: 224 healthy games (was 222). All downstream metrics re-validated after the fix before finalizing this document.</w:t>
      </w:r>
      <w:r w:rsidDel="00000000" w:rsidR="00000000" w:rsidRPr="00000000">
        <w:rPr>
          <w:rtl w:val="0"/>
        </w:rPr>
      </w:r>
    </w:p>
    <w:p w:rsidR="00000000" w:rsidDel="00000000" w:rsidP="00000000" w:rsidRDefault="00000000" w:rsidRPr="00000000" w14:paraId="00000092">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1600"/>
        <w:gridCol w:w="1960"/>
        <w:gridCol w:w="2800"/>
        <w:tblGridChange w:id="0">
          <w:tblGrid>
            <w:gridCol w:w="1400"/>
            <w:gridCol w:w="1600"/>
            <w:gridCol w:w="1600"/>
            <w:gridCol w:w="19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0"/>
                <w:szCs w:val="20"/>
                <w:rtl w:val="0"/>
              </w:rPr>
              <w:t xml:space="preserve">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0"/>
                <w:szCs w:val="20"/>
                <w:rtl w:val="0"/>
              </w:rPr>
              <w:t xml:space="preserve">Healthy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Injury_absence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Load_management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Post_injury_return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0"/>
                <w:bCs w:val="0"/>
                <w:color w:val="1c2833"/>
                <w:sz w:val="20"/>
                <w:szCs w:val="20"/>
                <w:rtl w:val="0"/>
              </w:rPr>
              <w:t xml:space="preserve">2022-23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0"/>
                <w:bCs w:val="0"/>
                <w:color w:val="1c2833"/>
                <w:sz w:val="20"/>
                <w:szCs w:val="20"/>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0"/>
                <w:bCs w:val="0"/>
                <w:color w:val="1c2833"/>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0"/>
                <w:bCs w:val="0"/>
                <w:color w:val="1c2833"/>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0"/>
                <w:bCs w:val="0"/>
                <w:color w:val="1c2833"/>
                <w:sz w:val="20"/>
                <w:szCs w:val="20"/>
                <w:rtl w:val="0"/>
              </w:rPr>
              <w:t xml:space="preserve">10 (5 shoulder + 5 leg)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0"/>
                <w:bCs w:val="0"/>
                <w:color w:val="1c2833"/>
                <w:sz w:val="20"/>
                <w:szCs w:val="20"/>
                <w:rtl w:val="0"/>
              </w:rPr>
              <w:t xml:space="preserve">2023-24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0"/>
                <w:bCs w:val="0"/>
                <w:color w:val="1c2833"/>
                <w:sz w:val="20"/>
                <w:szCs w:val="20"/>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0"/>
                <w:bCs w:val="0"/>
                <w:color w:val="1c2833"/>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0"/>
                <w:bCs w:val="0"/>
                <w:color w:val="1c2833"/>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0"/>
                <w:bCs w:val="0"/>
                <w:color w:val="1c2833"/>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0"/>
                <w:bCs w:val="0"/>
                <w:color w:val="1c2833"/>
                <w:sz w:val="20"/>
                <w:szCs w:val="20"/>
                <w:rtl w:val="0"/>
              </w:rPr>
              <w:t xml:space="preserve">2024-25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0"/>
                <w:bCs w:val="0"/>
                <w:color w:val="1c2833"/>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0"/>
                <w:bCs w:val="0"/>
                <w:color w:val="1c2833"/>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0"/>
                <w:bCs w:val="0"/>
                <w:color w:val="1c2833"/>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0"/>
                <w:bCs w:val="0"/>
                <w:color w:val="1c2833"/>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0"/>
                <w:bCs w:val="0"/>
                <w:color w:val="1c2833"/>
                <w:sz w:val="20"/>
                <w:szCs w:val="20"/>
                <w:rtl w:val="0"/>
              </w:rPr>
              <w:t xml:space="preserve">2025-26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0"/>
                <w:bCs w:val="0"/>
                <w:color w:val="1c2833"/>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0"/>
                <w:bCs w:val="0"/>
                <w:color w:val="1c2833"/>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0"/>
                <w:bCs w:val="0"/>
                <w:color w:val="1c2833"/>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0"/>
                <w:bCs w:val="0"/>
                <w:color w:val="1c2833"/>
                <w:sz w:val="20"/>
                <w:szCs w:val="20"/>
                <w:rtl w:val="0"/>
              </w:rPr>
              <w:t xml:space="preserve">9 (5 quad + 4 knee)</w:t>
            </w:r>
            <w:r w:rsidDel="00000000" w:rsidR="00000000" w:rsidRPr="00000000">
              <w:rPr>
                <w:rtl w:val="0"/>
              </w:rPr>
            </w:r>
          </w:p>
        </w:tc>
      </w:tr>
    </w:tbl>
    <w:p w:rsidR="00000000" w:rsidDel="00000000" w:rsidP="00000000" w:rsidRDefault="00000000" w:rsidRPr="00000000" w14:paraId="000000AC">
      <w:pPr>
        <w:spacing w:after="0" w:before="100" w:lineRule="auto"/>
        <w:rPr/>
      </w:pPr>
      <w:r w:rsidDel="00000000" w:rsidR="00000000" w:rsidRPr="00000000">
        <w:rPr>
          <w:rtl w:val="0"/>
        </w:rPr>
      </w:r>
    </w:p>
    <w:p w:rsidR="00000000" w:rsidDel="00000000" w:rsidP="00000000" w:rsidRDefault="00000000" w:rsidRPr="00000000" w14:paraId="000000AD">
      <w:pPr>
        <w:spacing w:after="60" w:before="200" w:lineRule="auto"/>
        <w:rPr/>
      </w:pPr>
      <w:r w:rsidDel="00000000" w:rsidR="00000000" w:rsidRPr="00000000">
        <w:rPr>
          <w:rFonts w:ascii="Arial" w:cs="Arial" w:eastAsia="Arial" w:hAnsi="Arial"/>
          <w:b w:val="1"/>
          <w:bCs w:val="1"/>
          <w:color w:val="1c2833"/>
          <w:sz w:val="22"/>
          <w:szCs w:val="22"/>
          <w:rtl w:val="0"/>
        </w:rPr>
        <w:t xml:space="preserve">Step 6 — Rolling Load Metrics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5-game rolling avg minutes (acute proxy): ROWS BETWEEN 4 PRECEDING AND CURRENT ROW</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10-game rolling avg minutes (chronic proxy): ROWS BETWEEN 9 PRECEDING AND CURRENT ROW</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Cumulative minutes: SUM OVER (ROWS BETWEEN UNBOUNDED PRECEDING AND CURRENT ROW)</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ACWR: 5-game avg / 10-game avg. NULLIF used to prevent division by zero.</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sdt>
        <w:sdtPr>
          <w:id w:val="-1491779991"/>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Downward trend in avg minutes across seasons (34.8 → 31.3) confirms age-related load reduction.</w:t>
          </w:r>
        </w:sdtContent>
      </w:sdt>
      <w:r w:rsidDel="00000000" w:rsidR="00000000" w:rsidRPr="00000000">
        <w:rPr>
          <w:rtl w:val="0"/>
        </w:rPr>
      </w:r>
    </w:p>
    <w:p w:rsidR="00000000" w:rsidDel="00000000" w:rsidP="00000000" w:rsidRDefault="00000000" w:rsidRPr="00000000" w14:paraId="000000B3">
      <w:pPr>
        <w:spacing w:after="0" w:before="100" w:lineRule="auto"/>
        <w:rPr/>
      </w:pPr>
      <w:r w:rsidDel="00000000" w:rsidR="00000000" w:rsidRPr="00000000">
        <w:rPr>
          <w:rtl w:val="0"/>
        </w:rPr>
      </w:r>
    </w:p>
    <w:p w:rsidR="00000000" w:rsidDel="00000000" w:rsidP="00000000" w:rsidRDefault="00000000" w:rsidRPr="00000000" w14:paraId="000000B4">
      <w:pPr>
        <w:spacing w:after="60" w:before="200" w:lineRule="auto"/>
        <w:rPr/>
      </w:pPr>
      <w:r w:rsidDel="00000000" w:rsidR="00000000" w:rsidRPr="00000000">
        <w:rPr>
          <w:rFonts w:ascii="Arial" w:cs="Arial" w:eastAsia="Arial" w:hAnsi="Arial"/>
          <w:b w:val="1"/>
          <w:bCs w:val="1"/>
          <w:color w:val="1c2833"/>
          <w:sz w:val="22"/>
          <w:szCs w:val="22"/>
          <w:rtl w:val="0"/>
        </w:rPr>
        <w:t xml:space="preserve">Step 7 — Efficiency Metrics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True Shooting %: PTS / (2 * (FGA + 0.44 * FTA)) — primary efficiency measure.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Three Point %: 3P / 3PA — tracked independently because Curry’s offensive identity is uniquely built around three point volume. Fatigue may manifest in 3P% before overall efficiency.</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Plus/Minus — team impact context per game.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5-game rolling averages of each metric, partitioned by season.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SAFE_DIVIDE used for 3P% to handle zero attempts. NULLIF in TS% denominator prevents division by zero.</w:t>
      </w:r>
      <w:r w:rsidDel="00000000" w:rsidR="00000000" w:rsidRPr="00000000">
        <w:rPr>
          <w:rtl w:val="0"/>
        </w:rPr>
      </w:r>
    </w:p>
    <w:p w:rsidR="00000000" w:rsidDel="00000000" w:rsidP="00000000" w:rsidRDefault="00000000" w:rsidRPr="00000000" w14:paraId="000000BA">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1600"/>
        <w:gridCol w:w="1760"/>
        <w:gridCol w:w="1800"/>
        <w:gridCol w:w="1200"/>
        <w:tblGridChange w:id="0">
          <w:tblGrid>
            <w:gridCol w:w="1400"/>
            <w:gridCol w:w="1600"/>
            <w:gridCol w:w="1600"/>
            <w:gridCol w:w="1760"/>
            <w:gridCol w:w="1800"/>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0"/>
                <w:szCs w:val="20"/>
                <w:rtl w:val="0"/>
              </w:rPr>
              <w:t xml:space="preserve">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0"/>
                <w:szCs w:val="20"/>
                <w:rtl w:val="0"/>
              </w:rPr>
              <w:t xml:space="preserve">Avg 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Avg 3P%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Avg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0"/>
                <w:szCs w:val="20"/>
                <w:rtl w:val="0"/>
              </w:rPr>
              <w:t xml:space="preserve">Min Cum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Max Cum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0"/>
                <w:bCs w:val="0"/>
                <w:color w:val="1c2833"/>
                <w:sz w:val="20"/>
                <w:szCs w:val="20"/>
                <w:rtl w:val="0"/>
              </w:rPr>
              <w:t xml:space="preserve">2022-23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0"/>
                <w:bCs w:val="0"/>
                <w:color w:val="1c2833"/>
                <w:sz w:val="20"/>
                <w:szCs w:val="20"/>
                <w:rtl w:val="0"/>
              </w:rPr>
              <w:t xml:space="preserve">0.659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0"/>
                <w:bCs w:val="0"/>
                <w:color w:val="1c2833"/>
                <w:sz w:val="20"/>
                <w:szCs w:val="20"/>
                <w:rtl w:val="0"/>
              </w:rPr>
              <w:t xml:space="preserve">0.428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0"/>
                <w:bCs w:val="0"/>
                <w:color w:val="1c2833"/>
                <w:sz w:val="20"/>
                <w:szCs w:val="20"/>
                <w:rtl w:val="0"/>
              </w:rPr>
              <w:t xml:space="preserve">+5.4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0"/>
                <w:bCs w:val="0"/>
                <w:color w:val="1c2833"/>
                <w:sz w:val="20"/>
                <w:szCs w:val="20"/>
                <w:rtl w:val="0"/>
              </w:rPr>
              <w:t xml:space="preserve">32.8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0"/>
                <w:bCs w:val="0"/>
                <w:color w:val="1c2833"/>
                <w:sz w:val="20"/>
                <w:szCs w:val="20"/>
                <w:rtl w:val="0"/>
              </w:rPr>
              <w:t xml:space="preserve">1,592.9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0"/>
                <w:bCs w:val="0"/>
                <w:color w:val="1c2833"/>
                <w:sz w:val="20"/>
                <w:szCs w:val="20"/>
                <w:rtl w:val="0"/>
              </w:rPr>
              <w:t xml:space="preserve">2023-24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0"/>
                <w:bCs w:val="0"/>
                <w:color w:val="1c2833"/>
                <w:sz w:val="20"/>
                <w:szCs w:val="20"/>
                <w:rtl w:val="0"/>
              </w:rPr>
              <w:t xml:space="preserve">0.611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0"/>
                <w:bCs w:val="0"/>
                <w:color w:val="1c2833"/>
                <w:sz w:val="20"/>
                <w:szCs w:val="20"/>
                <w:rtl w:val="0"/>
              </w:rPr>
              <w:t xml:space="preserve">0.405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0"/>
                <w:bCs w:val="0"/>
                <w:color w:val="1c2833"/>
                <w:sz w:val="20"/>
                <w:szCs w:val="20"/>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0"/>
                <w:bCs w:val="0"/>
                <w:color w:val="1c2833"/>
                <w:sz w:val="20"/>
                <w:szCs w:val="20"/>
                <w:rtl w:val="0"/>
              </w:rPr>
              <w:t xml:space="preserve">30.8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0"/>
                <w:bCs w:val="0"/>
                <w:color w:val="1c2833"/>
                <w:sz w:val="20"/>
                <w:szCs w:val="20"/>
                <w:rtl w:val="0"/>
              </w:rPr>
              <w:t xml:space="preserve">2,421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0"/>
                <w:bCs w:val="0"/>
                <w:color w:val="1c2833"/>
                <w:sz w:val="20"/>
                <w:szCs w:val="20"/>
                <w:rtl w:val="0"/>
              </w:rPr>
              <w:t xml:space="preserve">2024-25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0"/>
                <w:bCs w:val="0"/>
                <w:color w:val="1c2833"/>
                <w:sz w:val="20"/>
                <w:szCs w:val="20"/>
                <w:rtl w:val="0"/>
              </w:rPr>
              <w:t xml:space="preserve">0.612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color w:val="1c2833"/>
                <w:sz w:val="20"/>
                <w:szCs w:val="20"/>
                <w:rtl w:val="0"/>
              </w:rPr>
              <w:t xml:space="preserve">0.392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0"/>
                <w:bCs w:val="0"/>
                <w:color w:val="1c2833"/>
                <w:sz w:val="20"/>
                <w:szCs w:val="20"/>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0"/>
                <w:bCs w:val="0"/>
                <w:color w:val="1c2833"/>
                <w:sz w:val="20"/>
                <w:szCs w:val="20"/>
                <w:rtl w:val="0"/>
              </w:rPr>
              <w:t xml:space="preserve">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0"/>
                <w:bCs w:val="0"/>
                <w:color w:val="1c2833"/>
                <w:sz w:val="20"/>
                <w:szCs w:val="20"/>
                <w:rtl w:val="0"/>
              </w:rPr>
              <w:t xml:space="preserve">2,252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0"/>
                <w:bCs w:val="0"/>
                <w:color w:val="1c2833"/>
                <w:sz w:val="20"/>
                <w:szCs w:val="20"/>
                <w:rtl w:val="0"/>
              </w:rPr>
              <w:t xml:space="preserve">2025-26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0"/>
                <w:bCs w:val="0"/>
                <w:color w:val="1c2833"/>
                <w:sz w:val="20"/>
                <w:szCs w:val="20"/>
                <w:rtl w:val="0"/>
              </w:rPr>
              <w:t xml:space="preserve">0.622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0"/>
                <w:bCs w:val="0"/>
                <w:color w:val="1c2833"/>
                <w:sz w:val="20"/>
                <w:szCs w:val="20"/>
                <w:rtl w:val="0"/>
              </w:rPr>
              <w:t xml:space="preserve">0.370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0"/>
                <w:bCs w:val="0"/>
                <w:color w:val="1c2833"/>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0"/>
                <w:bCs w:val="0"/>
                <w:color w:val="1c2833"/>
                <w:sz w:val="20"/>
                <w:szCs w:val="20"/>
                <w:rtl w:val="0"/>
              </w:rPr>
              <w:t xml:space="preserve">32.1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0"/>
                <w:bCs w:val="0"/>
                <w:color w:val="1c2833"/>
                <w:sz w:val="20"/>
                <w:szCs w:val="20"/>
                <w:rtl w:val="0"/>
              </w:rPr>
              <w:t xml:space="preserve">1,054.6</w:t>
            </w:r>
            <w:r w:rsidDel="00000000" w:rsidR="00000000" w:rsidRPr="00000000">
              <w:rPr>
                <w:rtl w:val="0"/>
              </w:rPr>
            </w:r>
          </w:p>
        </w:tc>
      </w:tr>
    </w:tbl>
    <w:p w:rsidR="00000000" w:rsidDel="00000000" w:rsidP="00000000" w:rsidRDefault="00000000" w:rsidRPr="00000000" w14:paraId="000000D9">
      <w:pPr>
        <w:spacing w:after="0" w:before="100" w:lineRule="auto"/>
        <w:rPr/>
      </w:pPr>
      <w:r w:rsidDel="00000000" w:rsidR="00000000" w:rsidRPr="00000000">
        <w:rPr>
          <w:rtl w:val="0"/>
        </w:rPr>
      </w:r>
    </w:p>
    <w:p w:rsidR="00000000" w:rsidDel="00000000" w:rsidP="00000000" w:rsidRDefault="00000000" w:rsidRPr="00000000" w14:paraId="000000DA">
      <w:pPr>
        <w:spacing w:after="60" w:before="200" w:lineRule="auto"/>
        <w:rPr/>
      </w:pPr>
      <w:r w:rsidDel="00000000" w:rsidR="00000000" w:rsidRPr="00000000">
        <w:rPr>
          <w:rFonts w:ascii="Arial" w:cs="Arial" w:eastAsia="Arial" w:hAnsi="Arial"/>
          <w:b w:val="1"/>
          <w:bCs w:val="1"/>
          <w:color w:val="1c2833"/>
          <w:sz w:val="22"/>
          <w:szCs w:val="22"/>
          <w:rtl w:val="0"/>
        </w:rPr>
        <w:t xml:space="preserve">Step 8 — Fatigue Flag and Cumulative Load Analysis</w:t>
      </w:r>
      <w:r w:rsidDel="00000000" w:rsidR="00000000" w:rsidRPr="00000000">
        <w:rPr>
          <w:rtl w:val="0"/>
        </w:rPr>
      </w:r>
    </w:p>
    <w:p w:rsidR="00000000" w:rsidDel="00000000" w:rsidP="00000000" w:rsidRDefault="00000000" w:rsidRPr="00000000" w14:paraId="000000DB">
      <w:pPr>
        <w:spacing w:after="60" w:before="200" w:lineRule="auto"/>
        <w:rPr/>
      </w:pPr>
      <w:r w:rsidDel="00000000" w:rsidR="00000000" w:rsidRPr="00000000">
        <w:rPr>
          <w:rFonts w:ascii="Arial" w:cs="Arial" w:eastAsia="Arial" w:hAnsi="Arial"/>
          <w:b w:val="1"/>
          <w:bCs w:val="1"/>
          <w:color w:val="555555"/>
          <w:sz w:val="22"/>
          <w:szCs w:val="22"/>
          <w:rtl w:val="0"/>
        </w:rPr>
        <w:t xml:space="preserve">Load Bucket Analysis</w:t>
      </w:r>
      <w:r w:rsidDel="00000000" w:rsidR="00000000" w:rsidRPr="00000000">
        <w:rPr>
          <w:rtl w:val="0"/>
        </w:rPr>
      </w:r>
    </w:p>
    <w:p w:rsidR="00000000" w:rsidDel="00000000" w:rsidP="00000000" w:rsidRDefault="00000000" w:rsidRPr="00000000" w14:paraId="000000DC">
      <w:pPr>
        <w:spacing w:after="60" w:before="60" w:lineRule="auto"/>
        <w:rPr/>
      </w:pPr>
      <w:r w:rsidDel="00000000" w:rsidR="00000000" w:rsidRPr="00000000">
        <w:rPr>
          <w:rFonts w:ascii="Arial" w:cs="Arial" w:eastAsia="Arial" w:hAnsi="Arial"/>
          <w:color w:val="1c2833"/>
          <w:sz w:val="21"/>
          <w:szCs w:val="21"/>
          <w:rtl w:val="0"/>
        </w:rPr>
        <w:t xml:space="preserve">Cumulative minutes thresholds (0-999, 1000-1499, 1500-1999, 2000+) are exploratory segmentation points, not clinically validated fatigue boundaries. Chosen to divide the observed cumulative minutes range (1,054.6 to 2,421 minutes) into meaningful load stages.</w:t>
      </w:r>
      <w:r w:rsidDel="00000000" w:rsidR="00000000" w:rsidRPr="00000000">
        <w:rPr>
          <w:rtl w:val="0"/>
        </w:rPr>
      </w:r>
    </w:p>
    <w:p w:rsidR="00000000" w:rsidDel="00000000" w:rsidP="00000000" w:rsidRDefault="00000000" w:rsidRPr="00000000" w14:paraId="000000DD">
      <w:pPr>
        <w:spacing w:after="0" w:before="40" w:lineRule="auto"/>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sdt>
        <w:sdtPr>
          <w:id w:val="-2063075480"/>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2023-24 shows the clearest pattern: TS% declines consistently from 0.635 → 0.608 → 0.555 across the first three buckets before recovering to 0.629 in bucket 4.</w:t>
          </w:r>
        </w:sdtContent>
      </w:sdt>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1000-1499 minute bucket consistently shows weak 3P% across three of four seasons.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2022-23 bucket 3 = 4 games (TS% 0.626, 3P% 0.384). Small sample; interpreted cautiously rather than fully excluded.</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2025-26 bucket 2 (1000-1499 min) = only 3 games (TS% 0.653). Small sample; season ended before further load accumulated.</w:t>
      </w:r>
      <w:r w:rsidDel="00000000" w:rsidR="00000000" w:rsidRPr="00000000">
        <w:rPr>
          <w:rtl w:val="0"/>
        </w:rPr>
      </w:r>
    </w:p>
    <w:p w:rsidR="00000000" w:rsidDel="00000000" w:rsidP="00000000" w:rsidRDefault="00000000" w:rsidRPr="00000000" w14:paraId="000000E2">
      <w:pPr>
        <w:spacing w:after="0" w:before="80" w:lineRule="auto"/>
        <w:rPr/>
      </w:pPr>
      <w:r w:rsidDel="00000000" w:rsidR="00000000" w:rsidRPr="00000000">
        <w:rPr>
          <w:rtl w:val="0"/>
        </w:rPr>
      </w:r>
    </w:p>
    <w:p w:rsidR="00000000" w:rsidDel="00000000" w:rsidP="00000000" w:rsidRDefault="00000000" w:rsidRPr="00000000" w14:paraId="000000E3">
      <w:pPr>
        <w:spacing w:after="60" w:before="200" w:lineRule="auto"/>
        <w:rPr/>
      </w:pPr>
      <w:r w:rsidDel="00000000" w:rsidR="00000000" w:rsidRPr="00000000">
        <w:rPr>
          <w:rFonts w:ascii="Arial" w:cs="Arial" w:eastAsia="Arial" w:hAnsi="Arial"/>
          <w:b w:val="1"/>
          <w:bCs w:val="1"/>
          <w:color w:val="555555"/>
          <w:sz w:val="22"/>
          <w:szCs w:val="22"/>
          <w:rtl w:val="0"/>
        </w:rPr>
        <w:t xml:space="preserve">Season Thirds Analysis</w:t>
      </w:r>
      <w:r w:rsidDel="00000000" w:rsidR="00000000" w:rsidRPr="00000000">
        <w:rPr>
          <w:rtl w:val="0"/>
        </w:rPr>
      </w:r>
    </w:p>
    <w:p w:rsidR="00000000" w:rsidDel="00000000" w:rsidP="00000000" w:rsidRDefault="00000000" w:rsidRPr="00000000" w14:paraId="000000E4">
      <w:pPr>
        <w:spacing w:after="60" w:before="60" w:lineRule="auto"/>
        <w:rPr/>
      </w:pPr>
      <w:r w:rsidDel="00000000" w:rsidR="00000000" w:rsidRPr="00000000">
        <w:rPr>
          <w:rFonts w:ascii="Arial" w:cs="Arial" w:eastAsia="Arial" w:hAnsi="Arial"/>
          <w:color w:val="1c2833"/>
          <w:sz w:val="21"/>
          <w:szCs w:val="21"/>
          <w:rtl w:val="0"/>
        </w:rPr>
        <w:t xml:space="preserve">Healthy game appearances divided into thirds: First (games 1–20), Second (games 21–40), Final (games 41+) using healthy_game_number.</w:t>
      </w:r>
      <w:r w:rsidDel="00000000" w:rsidR="00000000" w:rsidRPr="00000000">
        <w:rPr>
          <w:rtl w:val="0"/>
        </w:rPr>
      </w:r>
    </w:p>
    <w:p w:rsidR="00000000" w:rsidDel="00000000" w:rsidP="00000000" w:rsidRDefault="00000000" w:rsidRPr="00000000" w14:paraId="000000E5">
      <w:pPr>
        <w:spacing w:after="0" w:before="60" w:lineRule="auto"/>
        <w:rPr/>
      </w:pPr>
      <w:r w:rsidDel="00000000" w:rsidR="00000000" w:rsidRPr="00000000">
        <w:rPr>
          <w:rtl w:val="0"/>
        </w:rPr>
      </w:r>
    </w:p>
    <w:tbl>
      <w:tblPr>
        <w:tblStyle w:val="Table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800"/>
        <w:gridCol w:w="1200"/>
        <w:gridCol w:w="1200"/>
        <w:gridCol w:w="1200"/>
        <w:gridCol w:w="1160"/>
        <w:tblGridChange w:id="0">
          <w:tblGrid>
            <w:gridCol w:w="1200"/>
            <w:gridCol w:w="1600"/>
            <w:gridCol w:w="800"/>
            <w:gridCol w:w="1200"/>
            <w:gridCol w:w="1200"/>
            <w:gridCol w:w="1200"/>
            <w:gridCol w:w="1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20"/>
                <w:szCs w:val="20"/>
                <w:rtl w:val="0"/>
              </w:rPr>
              <w:t xml:space="preserve">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Season Third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Avg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Avg 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0"/>
                <w:szCs w:val="20"/>
                <w:rtl w:val="0"/>
              </w:rPr>
              <w:t xml:space="preserve">Avg 3P%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0"/>
                <w:szCs w:val="20"/>
                <w:rtl w:val="0"/>
              </w:rPr>
              <w:t xml:space="preserve">Avg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b w:val="0"/>
                <w:bCs w:val="0"/>
                <w:color w:val="1c2833"/>
                <w:sz w:val="20"/>
                <w:szCs w:val="20"/>
                <w:rtl w:val="0"/>
              </w:rPr>
              <w:t xml:space="preserve">2022-23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b w:val="0"/>
                <w:bCs w:val="0"/>
                <w:color w:val="1c2833"/>
                <w:sz w:val="20"/>
                <w:szCs w:val="20"/>
                <w:rtl w:val="0"/>
              </w:rPr>
              <w:t xml:space="preserve">First third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b w:val="0"/>
                <w:bCs w:val="0"/>
                <w:color w:val="1c28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b w:val="0"/>
                <w:bCs w:val="0"/>
                <w:color w:val="1c2833"/>
                <w:sz w:val="20"/>
                <w:szCs w:val="20"/>
                <w:rtl w:val="0"/>
              </w:rPr>
              <w:t xml:space="preserve">34.7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b w:val="0"/>
                <w:bCs w:val="0"/>
                <w:color w:val="1c2833"/>
                <w:sz w:val="20"/>
                <w:szCs w:val="20"/>
                <w:rtl w:val="0"/>
              </w:rPr>
              <w:t xml:space="preserve">0.678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b w:val="0"/>
                <w:bCs w:val="0"/>
                <w:color w:val="1c2833"/>
                <w:sz w:val="20"/>
                <w:szCs w:val="20"/>
                <w:rtl w:val="0"/>
              </w:rPr>
              <w:t xml:space="preserve">0.437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b w:val="0"/>
                <w:bCs w:val="0"/>
                <w:color w:val="1c2833"/>
                <w:sz w:val="20"/>
                <w:szCs w:val="20"/>
                <w:rtl w:val="0"/>
              </w:rPr>
              <w:t xml:space="preserve">+7.5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b w:val="0"/>
                <w:bCs w:val="0"/>
                <w:color w:val="1c2833"/>
                <w:sz w:val="20"/>
                <w:szCs w:val="20"/>
                <w:rtl w:val="0"/>
              </w:rPr>
              <w:t xml:space="preserve">2022-23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b w:val="0"/>
                <w:bCs w:val="0"/>
                <w:color w:val="1c2833"/>
                <w:sz w:val="20"/>
                <w:szCs w:val="20"/>
                <w:rtl w:val="0"/>
              </w:rPr>
              <w:t xml:space="preserve">Second third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0"/>
                <w:bCs w:val="0"/>
                <w:color w:val="1c28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0"/>
                <w:bCs w:val="0"/>
                <w:color w:val="1c2833"/>
                <w:sz w:val="20"/>
                <w:szCs w:val="20"/>
                <w:rtl w:val="0"/>
              </w:rPr>
              <w:t xml:space="preserve">35.0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0"/>
                <w:bCs w:val="0"/>
                <w:color w:val="1c2833"/>
                <w:sz w:val="20"/>
                <w:szCs w:val="20"/>
                <w:rtl w:val="0"/>
              </w:rPr>
              <w:t xml:space="preserve">0.641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0"/>
                <w:bCs w:val="0"/>
                <w:color w:val="1c2833"/>
                <w:sz w:val="20"/>
                <w:szCs w:val="20"/>
                <w:rtl w:val="0"/>
              </w:rPr>
              <w:t xml:space="preserve">0.413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0"/>
                <w:bCs w:val="0"/>
                <w:color w:val="1c2833"/>
                <w:sz w:val="20"/>
                <w:szCs w:val="20"/>
                <w:rtl w:val="0"/>
              </w:rPr>
              <w:t xml:space="preserve">+1.1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0"/>
                <w:bCs w:val="0"/>
                <w:color w:val="1c2833"/>
                <w:sz w:val="20"/>
                <w:szCs w:val="20"/>
                <w:rtl w:val="0"/>
              </w:rPr>
              <w:t xml:space="preserve">2022-23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b w:val="0"/>
                <w:bCs w:val="0"/>
                <w:color w:val="1c2833"/>
                <w:sz w:val="20"/>
                <w:szCs w:val="20"/>
                <w:rtl w:val="0"/>
              </w:rPr>
              <w:t xml:space="preserve">Final third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rFonts w:ascii="Arial" w:cs="Arial" w:eastAsia="Arial" w:hAnsi="Arial"/>
                <w:b w:val="0"/>
                <w:bCs w:val="0"/>
                <w:color w:val="1c2833"/>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rFonts w:ascii="Arial" w:cs="Arial" w:eastAsia="Arial" w:hAnsi="Arial"/>
                <w:b w:val="0"/>
                <w:bCs w:val="0"/>
                <w:color w:val="1c2833"/>
                <w:sz w:val="20"/>
                <w:szCs w:val="20"/>
                <w:rtl w:val="0"/>
              </w:rPr>
              <w:t xml:space="preserve">33.1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rFonts w:ascii="Arial" w:cs="Arial" w:eastAsia="Arial" w:hAnsi="Arial"/>
                <w:b w:val="0"/>
                <w:bCs w:val="0"/>
                <w:color w:val="1c2833"/>
                <w:sz w:val="20"/>
                <w:szCs w:val="20"/>
                <w:rtl w:val="0"/>
              </w:rPr>
              <w:t xml:space="preserve">0.659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rFonts w:ascii="Arial" w:cs="Arial" w:eastAsia="Arial" w:hAnsi="Arial"/>
                <w:b w:val="0"/>
                <w:bCs w:val="0"/>
                <w:color w:val="1c2833"/>
                <w:sz w:val="20"/>
                <w:szCs w:val="20"/>
                <w:rtl w:val="0"/>
              </w:rPr>
              <w:t xml:space="preserve">0.451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0"/>
                <w:bCs w:val="0"/>
                <w:color w:val="1c2833"/>
                <w:sz w:val="20"/>
                <w:szCs w:val="20"/>
                <w:rtl w:val="0"/>
              </w:rPr>
              <w:t xml:space="preserve">+12.8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0"/>
                <w:bCs w:val="0"/>
                <w:color w:val="1c2833"/>
                <w:sz w:val="20"/>
                <w:szCs w:val="20"/>
                <w:rtl w:val="0"/>
              </w:rPr>
              <w:t xml:space="preserve">2023-24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0"/>
                <w:bCs w:val="0"/>
                <w:color w:val="1c2833"/>
                <w:sz w:val="20"/>
                <w:szCs w:val="20"/>
                <w:rtl w:val="0"/>
              </w:rPr>
              <w:t xml:space="preserve">First third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0"/>
                <w:bCs w:val="0"/>
                <w:color w:val="1c28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0"/>
                <w:bCs w:val="0"/>
                <w:color w:val="1c2833"/>
                <w:sz w:val="20"/>
                <w:szCs w:val="20"/>
                <w:rtl w:val="0"/>
              </w:rPr>
              <w:t xml:space="preserve">33.8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0"/>
                <w:bCs w:val="0"/>
                <w:color w:val="1c2833"/>
                <w:sz w:val="20"/>
                <w:szCs w:val="20"/>
                <w:rtl w:val="0"/>
              </w:rPr>
              <w:t xml:space="preserve">0.676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0"/>
                <w:bCs w:val="0"/>
                <w:color w:val="1c2833"/>
                <w:sz w:val="20"/>
                <w:szCs w:val="20"/>
                <w:rtl w:val="0"/>
              </w:rPr>
              <w:t xml:space="preserve">0.433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0"/>
                <w:bCs w:val="0"/>
                <w:color w:val="1c2833"/>
                <w:sz w:val="20"/>
                <w:szCs w:val="20"/>
                <w:rtl w:val="0"/>
              </w:rPr>
              <w:t xml:space="preserve">-0.6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0"/>
                <w:bCs w:val="0"/>
                <w:color w:val="1c2833"/>
                <w:sz w:val="20"/>
                <w:szCs w:val="20"/>
                <w:rtl w:val="0"/>
              </w:rPr>
              <w:t xml:space="preserve">2023-24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0"/>
                <w:bCs w:val="0"/>
                <w:color w:val="1c2833"/>
                <w:sz w:val="20"/>
                <w:szCs w:val="20"/>
                <w:rtl w:val="0"/>
              </w:rPr>
              <w:t xml:space="preserve">Second third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b w:val="0"/>
                <w:bCs w:val="0"/>
                <w:color w:val="1c28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0"/>
                <w:bCs w:val="0"/>
                <w:color w:val="1c2833"/>
                <w:sz w:val="20"/>
                <w:szCs w:val="20"/>
                <w:rtl w:val="0"/>
              </w:rPr>
              <w:t xml:space="preserve">33.1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0"/>
                <w:bCs w:val="0"/>
                <w:color w:val="1c2833"/>
                <w:sz w:val="20"/>
                <w:szCs w:val="20"/>
                <w:rtl w:val="0"/>
              </w:rPr>
              <w:t xml:space="preserve">0.559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0"/>
                <w:bCs w:val="0"/>
                <w:color w:val="1c2833"/>
                <w:sz w:val="20"/>
                <w:szCs w:val="20"/>
                <w:rtl w:val="0"/>
              </w:rPr>
              <w:t xml:space="preserve">0.368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0"/>
                <w:bCs w:val="0"/>
                <w:color w:val="1c2833"/>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0"/>
                <w:bCs w:val="0"/>
                <w:color w:val="1c2833"/>
                <w:sz w:val="20"/>
                <w:szCs w:val="20"/>
                <w:rtl w:val="0"/>
              </w:rPr>
              <w:t xml:space="preserve">2023-24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0"/>
                <w:bCs w:val="0"/>
                <w:color w:val="1c2833"/>
                <w:sz w:val="20"/>
                <w:szCs w:val="20"/>
                <w:rtl w:val="0"/>
              </w:rPr>
              <w:t xml:space="preserve">Final third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0"/>
                <w:bCs w:val="0"/>
                <w:color w:val="1c2833"/>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b w:val="0"/>
                <w:bCs w:val="0"/>
                <w:color w:val="1c2833"/>
                <w:sz w:val="20"/>
                <w:szCs w:val="20"/>
                <w:rtl w:val="0"/>
              </w:rPr>
              <w:t xml:space="preserve">31.8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b w:val="0"/>
                <w:bCs w:val="0"/>
                <w:color w:val="1c2833"/>
                <w:sz w:val="20"/>
                <w:szCs w:val="20"/>
                <w:rtl w:val="0"/>
              </w:rPr>
              <w:t xml:space="preserve">0.604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b w:val="0"/>
                <w:bCs w:val="0"/>
                <w:color w:val="1c2833"/>
                <w:sz w:val="20"/>
                <w:szCs w:val="20"/>
                <w:rtl w:val="0"/>
              </w:rPr>
              <w:t xml:space="preserve">0.411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0"/>
                <w:bCs w:val="0"/>
                <w:color w:val="1c2833"/>
                <w:sz w:val="20"/>
                <w:szCs w:val="20"/>
                <w:rtl w:val="0"/>
              </w:rPr>
              <w:t xml:space="preserve">+7.1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0"/>
                <w:bCs w:val="0"/>
                <w:color w:val="1c2833"/>
                <w:sz w:val="20"/>
                <w:szCs w:val="20"/>
                <w:rtl w:val="0"/>
              </w:rPr>
              <w:t xml:space="preserve">2024-25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0"/>
                <w:bCs w:val="0"/>
                <w:color w:val="1c2833"/>
                <w:sz w:val="20"/>
                <w:szCs w:val="20"/>
                <w:rtl w:val="0"/>
              </w:rPr>
              <w:t xml:space="preserve">First third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0"/>
                <w:bCs w:val="0"/>
                <w:color w:val="1c28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0"/>
                <w:bCs w:val="0"/>
                <w:color w:val="1c2833"/>
                <w:sz w:val="20"/>
                <w:szCs w:val="20"/>
                <w:rtl w:val="0"/>
              </w:rPr>
              <w:t xml:space="preserve">30.9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b w:val="0"/>
                <w:bCs w:val="0"/>
                <w:color w:val="1c2833"/>
                <w:sz w:val="20"/>
                <w:szCs w:val="20"/>
                <w:rtl w:val="0"/>
              </w:rPr>
              <w:t xml:space="preserve">0.633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b w:val="0"/>
                <w:bCs w:val="0"/>
                <w:color w:val="1c2833"/>
                <w:sz w:val="20"/>
                <w:szCs w:val="20"/>
                <w:rtl w:val="0"/>
              </w:rPr>
              <w:t xml:space="preserve">0.425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b w:val="0"/>
                <w:bCs w:val="0"/>
                <w:color w:val="1c2833"/>
                <w:sz w:val="20"/>
                <w:szCs w:val="20"/>
                <w:rtl w:val="0"/>
              </w:rPr>
              <w:t xml:space="preserve">+6.6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0"/>
                <w:bCs w:val="0"/>
                <w:color w:val="1c2833"/>
                <w:sz w:val="20"/>
                <w:szCs w:val="20"/>
                <w:rtl w:val="0"/>
              </w:rPr>
              <w:t xml:space="preserve">2024-25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0"/>
                <w:bCs w:val="0"/>
                <w:color w:val="1c2833"/>
                <w:sz w:val="20"/>
                <w:szCs w:val="20"/>
                <w:rtl w:val="0"/>
              </w:rPr>
              <w:t xml:space="preserve">Second third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0"/>
                <w:bCs w:val="0"/>
                <w:color w:val="1c28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0"/>
                <w:bCs w:val="0"/>
                <w:color w:val="1c2833"/>
                <w:sz w:val="20"/>
                <w:szCs w:val="20"/>
                <w:rtl w:val="0"/>
              </w:rPr>
              <w:t xml:space="preserve">32.6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0"/>
                <w:bCs w:val="0"/>
                <w:color w:val="1c2833"/>
                <w:sz w:val="20"/>
                <w:szCs w:val="20"/>
                <w:rtl w:val="0"/>
              </w:rPr>
              <w:t xml:space="preserve">0.565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0"/>
                <w:bCs w:val="0"/>
                <w:color w:val="1c2833"/>
                <w:sz w:val="20"/>
                <w:szCs w:val="20"/>
                <w:rtl w:val="0"/>
              </w:rPr>
              <w:t xml:space="preserve">0.361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0"/>
                <w:bCs w:val="0"/>
                <w:color w:val="1c2833"/>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0"/>
                <w:bCs w:val="0"/>
                <w:color w:val="1c2833"/>
                <w:sz w:val="20"/>
                <w:szCs w:val="20"/>
                <w:rtl w:val="0"/>
              </w:rPr>
              <w:t xml:space="preserve">2024-25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0"/>
                <w:bCs w:val="0"/>
                <w:color w:val="1c2833"/>
                <w:sz w:val="20"/>
                <w:szCs w:val="20"/>
                <w:rtl w:val="0"/>
              </w:rPr>
              <w:t xml:space="preserve">Final third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0"/>
                <w:bCs w:val="0"/>
                <w:color w:val="1c2833"/>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0"/>
                <w:bCs w:val="0"/>
                <w:color w:val="1c2833"/>
                <w:sz w:val="20"/>
                <w:szCs w:val="20"/>
                <w:rtl w:val="0"/>
              </w:rPr>
              <w:t xml:space="preserve">32.7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b w:val="0"/>
                <w:bCs w:val="0"/>
                <w:color w:val="1c2833"/>
                <w:sz w:val="20"/>
                <w:szCs w:val="20"/>
                <w:rtl w:val="0"/>
              </w:rPr>
              <w:t xml:space="preserve">0.629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rFonts w:ascii="Arial" w:cs="Arial" w:eastAsia="Arial" w:hAnsi="Arial"/>
                <w:b w:val="0"/>
                <w:bCs w:val="0"/>
                <w:color w:val="1c2833"/>
                <w:sz w:val="20"/>
                <w:szCs w:val="20"/>
                <w:rtl w:val="0"/>
              </w:rPr>
              <w:t xml:space="preserve">0.392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rFonts w:ascii="Arial" w:cs="Arial" w:eastAsia="Arial" w:hAnsi="Arial"/>
                <w:b w:val="0"/>
                <w:bCs w:val="0"/>
                <w:color w:val="1c2833"/>
                <w:sz w:val="20"/>
                <w:szCs w:val="20"/>
                <w:rtl w:val="0"/>
              </w:rPr>
              <w:t xml:space="preserve">+6.9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2C">
            <w:pPr>
              <w:rPr/>
            </w:pPr>
            <w:r w:rsidDel="00000000" w:rsidR="00000000" w:rsidRPr="00000000">
              <w:rPr>
                <w:rFonts w:ascii="Arial" w:cs="Arial" w:eastAsia="Arial" w:hAnsi="Arial"/>
                <w:b w:val="0"/>
                <w:bCs w:val="0"/>
                <w:color w:val="1c2833"/>
                <w:sz w:val="20"/>
                <w:szCs w:val="20"/>
                <w:rtl w:val="0"/>
              </w:rPr>
              <w:t xml:space="preserve">2025-26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2D">
            <w:pPr>
              <w:rPr/>
            </w:pPr>
            <w:r w:rsidDel="00000000" w:rsidR="00000000" w:rsidRPr="00000000">
              <w:rPr>
                <w:rFonts w:ascii="Arial" w:cs="Arial" w:eastAsia="Arial" w:hAnsi="Arial"/>
                <w:b w:val="0"/>
                <w:bCs w:val="0"/>
                <w:color w:val="1c2833"/>
                <w:sz w:val="20"/>
                <w:szCs w:val="20"/>
                <w:rtl w:val="0"/>
              </w:rPr>
              <w:t xml:space="preserve">First third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rFonts w:ascii="Arial" w:cs="Arial" w:eastAsia="Arial" w:hAnsi="Arial"/>
                <w:b w:val="0"/>
                <w:bCs w:val="0"/>
                <w:color w:val="1c28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rFonts w:ascii="Arial" w:cs="Arial" w:eastAsia="Arial" w:hAnsi="Arial"/>
                <w:b w:val="0"/>
                <w:bCs w:val="0"/>
                <w:color w:val="1c2833"/>
                <w:sz w:val="20"/>
                <w:szCs w:val="20"/>
                <w:rtl w:val="0"/>
              </w:rPr>
              <w:t xml:space="preserve">31.6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b w:val="0"/>
                <w:bCs w:val="0"/>
                <w:color w:val="1c2833"/>
                <w:sz w:val="20"/>
                <w:szCs w:val="20"/>
                <w:rtl w:val="0"/>
              </w:rPr>
              <w:t xml:space="preserve">0.623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b w:val="0"/>
                <w:bCs w:val="0"/>
                <w:color w:val="1c2833"/>
                <w:sz w:val="20"/>
                <w:szCs w:val="20"/>
                <w:rtl w:val="0"/>
              </w:rPr>
              <w:t xml:space="preserve">0.368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b w:val="0"/>
                <w:bCs w:val="0"/>
                <w:color w:val="1c2833"/>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rFonts w:ascii="Arial" w:cs="Arial" w:eastAsia="Arial" w:hAnsi="Arial"/>
                <w:b w:val="0"/>
                <w:bCs w:val="0"/>
                <w:color w:val="1c2833"/>
                <w:sz w:val="20"/>
                <w:szCs w:val="20"/>
                <w:rtl w:val="0"/>
              </w:rPr>
              <w:t xml:space="preserve">2025-26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rFonts w:ascii="Arial" w:cs="Arial" w:eastAsia="Arial" w:hAnsi="Arial"/>
                <w:b w:val="0"/>
                <w:bCs w:val="0"/>
                <w:color w:val="1c2833"/>
                <w:sz w:val="20"/>
                <w:szCs w:val="20"/>
                <w:rtl w:val="0"/>
              </w:rPr>
              <w:t xml:space="preserve">Second third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rFonts w:ascii="Arial" w:cs="Arial" w:eastAsia="Arial" w:hAnsi="Arial"/>
                <w:b w:val="0"/>
                <w:bCs w:val="0"/>
                <w:color w:val="1c2833"/>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b w:val="0"/>
                <w:bCs w:val="0"/>
                <w:color w:val="1c2833"/>
                <w:sz w:val="20"/>
                <w:szCs w:val="20"/>
                <w:rtl w:val="0"/>
              </w:rPr>
              <w:t xml:space="preserve">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rFonts w:ascii="Arial" w:cs="Arial" w:eastAsia="Arial" w:hAnsi="Arial"/>
                <w:b w:val="0"/>
                <w:bCs w:val="0"/>
                <w:color w:val="1c2833"/>
                <w:sz w:val="20"/>
                <w:szCs w:val="20"/>
                <w:rtl w:val="0"/>
              </w:rPr>
              <w:t xml:space="preserve">0.619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b w:val="0"/>
                <w:bCs w:val="0"/>
                <w:color w:val="1c2833"/>
                <w:sz w:val="20"/>
                <w:szCs w:val="20"/>
                <w:rtl w:val="0"/>
              </w:rPr>
              <w:t xml:space="preserve">0.374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b w:val="0"/>
                <w:bCs w:val="0"/>
                <w:color w:val="1c2833"/>
                <w:sz w:val="20"/>
                <w:szCs w:val="20"/>
                <w:rtl w:val="0"/>
              </w:rPr>
              <w:t xml:space="preserve">+1.8</w:t>
            </w:r>
            <w:r w:rsidDel="00000000" w:rsidR="00000000" w:rsidRPr="00000000">
              <w:rPr>
                <w:rtl w:val="0"/>
              </w:rPr>
            </w:r>
          </w:p>
        </w:tc>
      </w:tr>
    </w:tbl>
    <w:p w:rsidR="00000000" w:rsidDel="00000000" w:rsidP="00000000" w:rsidRDefault="00000000" w:rsidRPr="00000000" w14:paraId="0000013A">
      <w:pPr>
        <w:spacing w:after="0" w:before="60" w:lineRule="auto"/>
        <w:rPr/>
      </w:pPr>
      <w:r w:rsidDel="00000000" w:rsidR="00000000" w:rsidRPr="00000000">
        <w:rPr>
          <w:rtl w:val="0"/>
        </w:rPr>
      </w:r>
    </w:p>
    <w:p w:rsidR="00000000" w:rsidDel="00000000" w:rsidP="00000000" w:rsidRDefault="00000000" w:rsidRPr="00000000" w14:paraId="0000013B">
      <w:pPr>
        <w:spacing w:after="60" w:before="60" w:lineRule="auto"/>
        <w:rPr/>
      </w:pPr>
      <w:r w:rsidDel="00000000" w:rsidR="00000000" w:rsidRPr="00000000">
        <w:rPr>
          <w:rFonts w:ascii="Arial" w:cs="Arial" w:eastAsia="Arial" w:hAnsi="Arial"/>
          <w:i w:val="1"/>
          <w:iCs w:val="1"/>
          <w:color w:val="555555"/>
          <w:sz w:val="21"/>
          <w:szCs w:val="21"/>
          <w:rtl w:val="0"/>
        </w:rPr>
        <w:t xml:space="preserve">⚠ 2022-23 final third = 6 games only. Results noted but excluded from primary conclusions.</w:t>
      </w:r>
      <w:r w:rsidDel="00000000" w:rsidR="00000000" w:rsidRPr="00000000">
        <w:rPr>
          <w:rtl w:val="0"/>
        </w:rPr>
      </w:r>
    </w:p>
    <w:p w:rsidR="00000000" w:rsidDel="00000000" w:rsidP="00000000" w:rsidRDefault="00000000" w:rsidRPr="00000000" w14:paraId="0000013C">
      <w:pPr>
        <w:spacing w:after="0" w:before="80" w:lineRule="auto"/>
        <w:rPr/>
      </w:pPr>
      <w:r w:rsidDel="00000000" w:rsidR="00000000" w:rsidRPr="00000000">
        <w:rPr>
          <w:rtl w:val="0"/>
        </w:rPr>
      </w:r>
    </w:p>
    <w:p w:rsidR="00000000" w:rsidDel="00000000" w:rsidP="00000000" w:rsidRDefault="00000000" w:rsidRPr="00000000" w14:paraId="0000013D">
      <w:pPr>
        <w:spacing w:after="60" w:before="60" w:lineRule="auto"/>
        <w:rPr/>
      </w:pPr>
      <w:r w:rsidDel="00000000" w:rsidR="00000000" w:rsidRPr="00000000">
        <w:rPr>
          <w:rFonts w:ascii="Arial" w:cs="Arial" w:eastAsia="Arial" w:hAnsi="Arial"/>
          <w:color w:val="1c2833"/>
          <w:sz w:val="21"/>
          <w:szCs w:val="21"/>
          <w:rtl w:val="0"/>
        </w:rPr>
        <w:t xml:space="preserve">Minutes load observations: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sdt>
        <w:sdtPr>
          <w:id w:val="1222695606"/>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First third avg minutes declining across seasons (34.7 → 33.8 → 30.9 → 31.6) — the Warriors are deliberately reducing early season load as Curry ages.</w:t>
          </w:r>
        </w:sdtContent>
      </w:sdt>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2022-23 and 2023-24, minutes are consistent across thirds yet efficiency still declines in the second third — the burden is cumulative, not a spike in any single period.</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sdt>
        <w:sdtPr>
          <w:id w:val="-1177500151"/>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2024-25 shows minutes increasing from first to second third (30.9 → 32.6) alongside efficiency decline — closest pattern to a direct within-season load-efficiency relationship.</w:t>
          </w:r>
        </w:sdtContent>
      </w:sdt>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2025-26 second third minutes (30.2) are the lowest in the dataset, likely reflecting cautious management following the quad contusion return.</w:t>
      </w:r>
      <w:r w:rsidDel="00000000" w:rsidR="00000000" w:rsidRPr="00000000">
        <w:rPr>
          <w:rtl w:val="0"/>
        </w:rPr>
      </w:r>
    </w:p>
    <w:p w:rsidR="00000000" w:rsidDel="00000000" w:rsidP="00000000" w:rsidRDefault="00000000" w:rsidRPr="00000000" w14:paraId="00000142">
      <w:pPr>
        <w:spacing w:after="0" w:before="100" w:lineRule="auto"/>
        <w:rPr/>
      </w:pPr>
      <w:r w:rsidDel="00000000" w:rsidR="00000000" w:rsidRPr="00000000">
        <w:rPr>
          <w:rtl w:val="0"/>
        </w:rPr>
      </w:r>
    </w:p>
    <w:p w:rsidR="00000000" w:rsidDel="00000000" w:rsidP="00000000" w:rsidRDefault="00000000" w:rsidRPr="00000000" w14:paraId="00000143">
      <w:pPr>
        <w:spacing w:after="60" w:before="200" w:lineRule="auto"/>
        <w:rPr/>
      </w:pPr>
      <w:r w:rsidDel="00000000" w:rsidR="00000000" w:rsidRPr="00000000">
        <w:rPr>
          <w:rFonts w:ascii="Arial" w:cs="Arial" w:eastAsia="Arial" w:hAnsi="Arial"/>
          <w:b w:val="1"/>
          <w:bCs w:val="1"/>
          <w:color w:val="1c2833"/>
          <w:sz w:val="22"/>
          <w:szCs w:val="22"/>
          <w:rtl w:val="0"/>
        </w:rPr>
        <w:t xml:space="preserve">Step 9 — Fatigue Flag Distribution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800"/>
        <w:gridCol w:w="1980"/>
        <w:gridCol w:w="1980"/>
        <w:tblGridChange w:id="0">
          <w:tblGrid>
            <w:gridCol w:w="1800"/>
            <w:gridCol w:w="1800"/>
            <w:gridCol w:w="1800"/>
            <w:gridCol w:w="1980"/>
            <w:gridCol w:w="19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20"/>
                <w:szCs w:val="20"/>
                <w:rtl w:val="0"/>
              </w:rPr>
              <w:t xml:space="preserve">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0"/>
                <w:szCs w:val="20"/>
                <w:rtl w:val="0"/>
              </w:rPr>
              <w:t xml:space="preserve">Fatigue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20"/>
                <w:szCs w:val="20"/>
                <w:rtl w:val="0"/>
              </w:rPr>
              <w:t xml:space="preserve">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147">
            <w:pPr>
              <w:rPr/>
            </w:pPr>
            <w:r w:rsidDel="00000000" w:rsidR="00000000" w:rsidRPr="00000000">
              <w:rPr>
                <w:rFonts w:ascii="Arial" w:cs="Arial" w:eastAsia="Arial" w:hAnsi="Arial"/>
                <w:b w:val="1"/>
                <w:bCs w:val="1"/>
                <w:color w:val="ffffff"/>
                <w:sz w:val="20"/>
                <w:szCs w:val="20"/>
                <w:rtl w:val="0"/>
              </w:rPr>
              <w:t xml:space="preserve">Total healthy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0"/>
                <w:szCs w:val="20"/>
                <w:rtl w:val="0"/>
              </w:rPr>
              <w:t xml:space="preserve">Signal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rFonts w:ascii="Arial" w:cs="Arial" w:eastAsia="Arial" w:hAnsi="Arial"/>
                <w:b w:val="0"/>
                <w:bCs w:val="0"/>
                <w:color w:val="1c2833"/>
                <w:sz w:val="20"/>
                <w:szCs w:val="20"/>
                <w:rtl w:val="0"/>
              </w:rPr>
              <w:t xml:space="preserve">2022-23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rFonts w:ascii="Arial" w:cs="Arial" w:eastAsia="Arial" w:hAnsi="Arial"/>
                <w:b w:val="0"/>
                <w:bCs w:val="0"/>
                <w:color w:val="1c28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rFonts w:ascii="Arial" w:cs="Arial" w:eastAsia="Arial" w:hAnsi="Arial"/>
                <w:b w:val="0"/>
                <w:bCs w:val="0"/>
                <w:color w:val="1c2833"/>
                <w:sz w:val="20"/>
                <w:szCs w:val="20"/>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rFonts w:ascii="Arial" w:cs="Arial" w:eastAsia="Arial" w:hAnsi="Arial"/>
                <w:b w:val="0"/>
                <w:bCs w:val="0"/>
                <w:color w:val="1c2833"/>
                <w:sz w:val="20"/>
                <w:szCs w:val="20"/>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rFonts w:ascii="Arial" w:cs="Arial" w:eastAsia="Arial" w:hAnsi="Arial"/>
                <w:b w:val="0"/>
                <w:bCs w:val="0"/>
                <w:color w:val="1c2833"/>
                <w:sz w:val="20"/>
                <w:szCs w:val="20"/>
                <w:rtl w:val="0"/>
              </w:rPr>
              <w:t xml:space="preserve">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b w:val="0"/>
                <w:bCs w:val="0"/>
                <w:color w:val="1c2833"/>
                <w:sz w:val="20"/>
                <w:szCs w:val="20"/>
                <w:rtl w:val="0"/>
              </w:rPr>
              <w:t xml:space="preserve">2023-24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rFonts w:ascii="Arial" w:cs="Arial" w:eastAsia="Arial" w:hAnsi="Arial"/>
                <w:b w:val="0"/>
                <w:bCs w:val="0"/>
                <w:color w:val="1c2833"/>
                <w:sz w:val="20"/>
                <w:szCs w:val="20"/>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b w:val="0"/>
                <w:bCs w:val="0"/>
                <w:color w:val="1c2833"/>
                <w:sz w:val="20"/>
                <w:szCs w:val="20"/>
                <w:rtl w:val="0"/>
              </w:rPr>
              <w:t xml:space="preserve">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b w:val="0"/>
                <w:bCs w:val="0"/>
                <w:color w:val="1c2833"/>
                <w:sz w:val="20"/>
                <w:szCs w:val="20"/>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rFonts w:ascii="Arial" w:cs="Arial" w:eastAsia="Arial" w:hAnsi="Arial"/>
                <w:b w:val="0"/>
                <w:bCs w:val="0"/>
                <w:color w:val="1c2833"/>
                <w:sz w:val="20"/>
                <w:szCs w:val="20"/>
                <w:rtl w:val="0"/>
              </w:rPr>
              <w:t xml:space="preserve">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b w:val="0"/>
                <w:bCs w:val="0"/>
                <w:color w:val="1c2833"/>
                <w:sz w:val="20"/>
                <w:szCs w:val="20"/>
                <w:rtl w:val="0"/>
              </w:rPr>
              <w:t xml:space="preserve">2024-25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rFonts w:ascii="Arial" w:cs="Arial" w:eastAsia="Arial" w:hAnsi="Arial"/>
                <w:b w:val="0"/>
                <w:bCs w:val="0"/>
                <w:color w:val="1c28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rFonts w:ascii="Arial" w:cs="Arial" w:eastAsia="Arial" w:hAnsi="Arial"/>
                <w:b w:val="0"/>
                <w:bCs w:val="0"/>
                <w:color w:val="1c2833"/>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rFonts w:ascii="Arial" w:cs="Arial" w:eastAsia="Arial" w:hAnsi="Arial"/>
                <w:b w:val="0"/>
                <w:bCs w:val="0"/>
                <w:color w:val="1c2833"/>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rFonts w:ascii="Arial" w:cs="Arial" w:eastAsia="Arial" w:hAnsi="Arial"/>
                <w:b w:val="0"/>
                <w:bCs w:val="0"/>
                <w:color w:val="1c2833"/>
                <w:sz w:val="20"/>
                <w:szCs w:val="20"/>
                <w:rtl w:val="0"/>
              </w:rPr>
              <w:t xml:space="preserve">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rFonts w:ascii="Arial" w:cs="Arial" w:eastAsia="Arial" w:hAnsi="Arial"/>
                <w:b w:val="0"/>
                <w:bCs w:val="0"/>
                <w:color w:val="1c2833"/>
                <w:sz w:val="20"/>
                <w:szCs w:val="20"/>
                <w:rtl w:val="0"/>
              </w:rPr>
              <w:t xml:space="preserve">2025-26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rFonts w:ascii="Arial" w:cs="Arial" w:eastAsia="Arial" w:hAnsi="Arial"/>
                <w:b w:val="0"/>
                <w:bCs w:val="0"/>
                <w:color w:val="1c28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rFonts w:ascii="Arial" w:cs="Arial" w:eastAsia="Arial" w:hAnsi="Arial"/>
                <w:b w:val="0"/>
                <w:bCs w:val="0"/>
                <w:color w:val="1c2833"/>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rFonts w:ascii="Arial" w:cs="Arial" w:eastAsia="Arial" w:hAnsi="Arial"/>
                <w:b w:val="0"/>
                <w:bCs w:val="0"/>
                <w:color w:val="1c2833"/>
                <w:sz w:val="20"/>
                <w:szCs w:val="20"/>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rFonts w:ascii="Arial" w:cs="Arial" w:eastAsia="Arial" w:hAnsi="Arial"/>
                <w:b w:val="0"/>
                <w:bCs w:val="0"/>
                <w:color w:val="1c2833"/>
                <w:sz w:val="20"/>
                <w:szCs w:val="20"/>
                <w:rtl w:val="0"/>
              </w:rPr>
              <w:t xml:space="preserve">6%</w:t>
            </w:r>
            <w:r w:rsidDel="00000000" w:rsidR="00000000" w:rsidRPr="00000000">
              <w:rPr>
                <w:rtl w:val="0"/>
              </w:rPr>
            </w:r>
          </w:p>
        </w:tc>
      </w:tr>
    </w:tbl>
    <w:p w:rsidR="00000000" w:rsidDel="00000000" w:rsidP="00000000" w:rsidRDefault="00000000" w:rsidRPr="00000000" w14:paraId="0000015D">
      <w:pPr>
        <w:spacing w:after="0" w:before="60" w:lineRule="auto"/>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Fatigue signal rate is more meaningful than raw count — a season with more games mechanically produces more flagged games.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2023-24 highest rate (36%) — most games played, highest cumulative load. Consistent with strongest efficiency decline pattern.</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2025-26's fatigue signal rate of 6% is still by far the lowest, reflecting a season that ended before significant load accumulated.</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flag methodology and 1,000 minute threshold are exploratory, not clinically validated.</w:t>
      </w:r>
      <w:r w:rsidDel="00000000" w:rsidR="00000000" w:rsidRPr="00000000">
        <w:rPr>
          <w:rtl w:val="0"/>
        </w:rPr>
      </w:r>
    </w:p>
    <w:p w:rsidR="00000000" w:rsidDel="00000000" w:rsidP="00000000" w:rsidRDefault="00000000" w:rsidRPr="00000000" w14:paraId="00000162">
      <w:pPr>
        <w:spacing w:after="0" w:before="160" w:lineRule="auto"/>
        <w:rPr/>
      </w:pPr>
      <w:r w:rsidDel="00000000" w:rsidR="00000000" w:rsidRPr="00000000">
        <w:rPr>
          <w:rtl w:val="0"/>
        </w:rPr>
      </w:r>
    </w:p>
    <w:p w:rsidR="00000000" w:rsidDel="00000000" w:rsidP="00000000" w:rsidRDefault="00000000" w:rsidRPr="00000000" w14:paraId="00000163">
      <w:pPr>
        <w:pBdr>
          <w:bottom w:color="2e86c1" w:space="1" w:sz="6" w:val="single"/>
        </w:pBdr>
        <w:spacing w:after="80" w:before="320" w:lineRule="auto"/>
        <w:rPr/>
      </w:pPr>
      <w:r w:rsidDel="00000000" w:rsidR="00000000" w:rsidRPr="00000000">
        <w:rPr>
          <w:rFonts w:ascii="Arial" w:cs="Arial" w:eastAsia="Arial" w:hAnsi="Arial"/>
          <w:b w:val="1"/>
          <w:bCs w:val="1"/>
          <w:color w:val="2e86c1"/>
          <w:sz w:val="24"/>
          <w:szCs w:val="24"/>
          <w:rtl w:val="0"/>
        </w:rPr>
        <w:t xml:space="preserve">KEY FINDINGS</w:t>
      </w:r>
      <w:r w:rsidDel="00000000" w:rsidR="00000000" w:rsidRPr="00000000">
        <w:rPr>
          <w:rtl w:val="0"/>
        </w:rPr>
      </w:r>
    </w:p>
    <w:p w:rsidR="00000000" w:rsidDel="00000000" w:rsidP="00000000" w:rsidRDefault="00000000" w:rsidRPr="00000000" w14:paraId="00000164">
      <w:pPr>
        <w:spacing w:after="0" w:before="60" w:lineRule="auto"/>
        <w:rPr/>
      </w:pPr>
      <w:r w:rsidDel="00000000" w:rsidR="00000000" w:rsidRPr="00000000">
        <w:rPr>
          <w:rtl w:val="0"/>
        </w:rPr>
      </w:r>
    </w:p>
    <w:p w:rsidR="00000000" w:rsidDel="00000000" w:rsidP="00000000" w:rsidRDefault="00000000" w:rsidRPr="00000000" w14:paraId="00000165">
      <w:pPr>
        <w:spacing w:after="60" w:before="200" w:lineRule="auto"/>
        <w:rPr/>
      </w:pPr>
      <w:r w:rsidDel="00000000" w:rsidR="00000000" w:rsidRPr="00000000">
        <w:rPr>
          <w:rFonts w:ascii="Arial" w:cs="Arial" w:eastAsia="Arial" w:hAnsi="Arial"/>
          <w:b w:val="1"/>
          <w:bCs w:val="1"/>
          <w:color w:val="1c2833"/>
          <w:sz w:val="22"/>
          <w:szCs w:val="22"/>
          <w:rtl w:val="0"/>
        </w:rPr>
        <w:t xml:space="preserve">Finding 1 — Warriors’ Load Management is Exceptional</w:t>
      </w:r>
      <w:r w:rsidDel="00000000" w:rsidR="00000000" w:rsidRPr="00000000">
        <w:rPr>
          <w:rtl w:val="0"/>
        </w:rPr>
      </w:r>
    </w:p>
    <w:p w:rsidR="00000000" w:rsidDel="00000000" w:rsidP="00000000" w:rsidRDefault="00000000" w:rsidRPr="00000000" w14:paraId="00000166">
      <w:pPr>
        <w:spacing w:after="60" w:before="60" w:lineRule="auto"/>
        <w:rPr/>
      </w:pPr>
      <w:r w:rsidDel="00000000" w:rsidR="00000000" w:rsidRPr="00000000">
        <w:rPr>
          <w:rFonts w:ascii="Arial" w:cs="Arial" w:eastAsia="Arial" w:hAnsi="Arial"/>
          <w:color w:val="1c2833"/>
          <w:sz w:val="21"/>
          <w:szCs w:val="21"/>
          <w:rtl w:val="0"/>
        </w:rPr>
        <w:t xml:space="preserve">ACWR never exceeded 1.3 across 224 healthy game appearances. This is evidence of elite sports science practice — a well-resourced NBA organisation operating with sufficient precision to prevent workload spikes at the game level. This finding, while not the primary research question, is analytically significant.</w:t>
      </w:r>
      <w:r w:rsidDel="00000000" w:rsidR="00000000" w:rsidRPr="00000000">
        <w:rPr>
          <w:rtl w:val="0"/>
        </w:rPr>
      </w:r>
    </w:p>
    <w:p w:rsidR="00000000" w:rsidDel="00000000" w:rsidP="00000000" w:rsidRDefault="00000000" w:rsidRPr="00000000" w14:paraId="00000167">
      <w:pPr>
        <w:spacing w:after="0" w:before="80" w:lineRule="auto"/>
        <w:rPr/>
      </w:pPr>
      <w:r w:rsidDel="00000000" w:rsidR="00000000" w:rsidRPr="00000000">
        <w:rPr>
          <w:rtl w:val="0"/>
        </w:rPr>
      </w:r>
    </w:p>
    <w:p w:rsidR="00000000" w:rsidDel="00000000" w:rsidP="00000000" w:rsidRDefault="00000000" w:rsidRPr="00000000" w14:paraId="00000168">
      <w:pPr>
        <w:spacing w:after="60" w:before="200" w:lineRule="auto"/>
        <w:rPr/>
      </w:pPr>
      <w:r w:rsidDel="00000000" w:rsidR="00000000" w:rsidRPr="00000000">
        <w:rPr>
          <w:rFonts w:ascii="Arial" w:cs="Arial" w:eastAsia="Arial" w:hAnsi="Arial"/>
          <w:b w:val="1"/>
          <w:bCs w:val="1"/>
          <w:color w:val="1c2833"/>
          <w:sz w:val="22"/>
          <w:szCs w:val="22"/>
          <w:rtl w:val="0"/>
        </w:rPr>
        <w:t xml:space="preserve">Finding 2 — Consistent Mid-Season Performance Trough</w:t>
      </w:r>
      <w:r w:rsidDel="00000000" w:rsidR="00000000" w:rsidRPr="00000000">
        <w:rPr>
          <w:rtl w:val="0"/>
        </w:rPr>
      </w:r>
    </w:p>
    <w:p w:rsidR="00000000" w:rsidDel="00000000" w:rsidP="00000000" w:rsidRDefault="00000000" w:rsidRPr="00000000" w14:paraId="00000169">
      <w:pPr>
        <w:spacing w:after="60" w:before="60" w:lineRule="auto"/>
        <w:rPr/>
      </w:pPr>
      <w:r w:rsidDel="00000000" w:rsidR="00000000" w:rsidRPr="00000000">
        <w:rPr>
          <w:rFonts w:ascii="Arial" w:cs="Arial" w:eastAsia="Arial" w:hAnsi="Arial"/>
          <w:color w:val="1c2833"/>
          <w:sz w:val="21"/>
          <w:szCs w:val="21"/>
          <w:rtl w:val="0"/>
        </w:rPr>
        <w:t xml:space="preserve">The second third of healthy appearances (games 21–40) consistently shows the weakest efficiency in three of four seasons (2022-23, 2023-24, 2024-25); 2025-26's abbreviated, injury-shortened season shows only a marginal gap between first and second third efficiency. This is the most robust finding in the dataset for the seasons with a complete season-thirds picture. 2023-24 second third TS% of 0.559 is ~12 percentage points below the first third that same season.</w:t>
      </w:r>
      <w:r w:rsidDel="00000000" w:rsidR="00000000" w:rsidRPr="00000000">
        <w:rPr>
          <w:rtl w:val="0"/>
        </w:rPr>
      </w:r>
    </w:p>
    <w:p w:rsidR="00000000" w:rsidDel="00000000" w:rsidP="00000000" w:rsidRDefault="00000000" w:rsidRPr="00000000" w14:paraId="0000016A">
      <w:pPr>
        <w:spacing w:after="0" w:before="80" w:lineRule="auto"/>
        <w:rPr/>
      </w:pPr>
      <w:r w:rsidDel="00000000" w:rsidR="00000000" w:rsidRPr="00000000">
        <w:rPr>
          <w:rtl w:val="0"/>
        </w:rPr>
      </w:r>
    </w:p>
    <w:p w:rsidR="00000000" w:rsidDel="00000000" w:rsidP="00000000" w:rsidRDefault="00000000" w:rsidRPr="00000000" w14:paraId="0000016B">
      <w:pPr>
        <w:spacing w:after="60" w:before="200" w:lineRule="auto"/>
        <w:rPr/>
      </w:pPr>
      <w:r w:rsidDel="00000000" w:rsidR="00000000" w:rsidRPr="00000000">
        <w:rPr>
          <w:rFonts w:ascii="Arial" w:cs="Arial" w:eastAsia="Arial" w:hAnsi="Arial"/>
          <w:b w:val="1"/>
          <w:bCs w:val="1"/>
          <w:color w:val="1c2833"/>
          <w:sz w:val="22"/>
          <w:szCs w:val="22"/>
          <w:rtl w:val="0"/>
        </w:rPr>
        <w:t xml:space="preserve">Finding 3 — Early Season Efficiency Declining Across Seasons (Ageing Signal)</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16C">
            <w:pPr>
              <w:rPr/>
            </w:pPr>
            <w:r w:rsidDel="00000000" w:rsidR="00000000" w:rsidRPr="00000000">
              <w:rPr>
                <w:rFonts w:ascii="Arial" w:cs="Arial" w:eastAsia="Arial" w:hAnsi="Arial"/>
                <w:b w:val="1"/>
                <w:bCs w:val="1"/>
                <w:color w:val="ffffff"/>
                <w:sz w:val="20"/>
                <w:szCs w:val="20"/>
                <w:rtl w:val="0"/>
              </w:rPr>
              <w:t xml:space="preserve">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16D">
            <w:pPr>
              <w:rPr/>
            </w:pPr>
            <w:r w:rsidDel="00000000" w:rsidR="00000000" w:rsidRPr="00000000">
              <w:rPr>
                <w:rFonts w:ascii="Arial" w:cs="Arial" w:eastAsia="Arial" w:hAnsi="Arial"/>
                <w:b w:val="1"/>
                <w:bCs w:val="1"/>
                <w:color w:val="ffffff"/>
                <w:sz w:val="20"/>
                <w:szCs w:val="20"/>
                <w:rtl w:val="0"/>
              </w:rPr>
              <w:t xml:space="preserve">First Third 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16E">
            <w:pPr>
              <w:rPr/>
            </w:pPr>
            <w:r w:rsidDel="00000000" w:rsidR="00000000" w:rsidRPr="00000000">
              <w:rPr>
                <w:rFonts w:ascii="Arial" w:cs="Arial" w:eastAsia="Arial" w:hAnsi="Arial"/>
                <w:b w:val="1"/>
                <w:bCs w:val="1"/>
                <w:color w:val="ffffff"/>
                <w:sz w:val="20"/>
                <w:szCs w:val="20"/>
                <w:rtl w:val="0"/>
              </w:rPr>
              <w:t xml:space="preserve">First Third 3P%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833" w:val="clear"/>
            <w:tcMar>
              <w:top w:w="80.0" w:type="dxa"/>
              <w:left w:w="120.0" w:type="dxa"/>
              <w:bottom w:w="80.0" w:type="dxa"/>
              <w:right w:w="120.0" w:type="dxa"/>
            </w:tcMar>
            <w:vAlign w:val="center"/>
          </w:tcPr>
          <w:p w:rsidR="00000000" w:rsidDel="00000000" w:rsidP="00000000" w:rsidRDefault="00000000" w:rsidRPr="00000000" w14:paraId="0000016F">
            <w:pPr>
              <w:rPr/>
            </w:pPr>
            <w:r w:rsidDel="00000000" w:rsidR="00000000" w:rsidRPr="00000000">
              <w:rPr>
                <w:rFonts w:ascii="Arial" w:cs="Arial" w:eastAsia="Arial" w:hAnsi="Arial"/>
                <w:b w:val="1"/>
                <w:bCs w:val="1"/>
                <w:color w:val="ffffff"/>
                <w:sz w:val="20"/>
                <w:szCs w:val="20"/>
                <w:rtl w:val="0"/>
              </w:rPr>
              <w:t xml:space="preserve">Trend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70">
            <w:pPr>
              <w:rPr/>
            </w:pPr>
            <w:r w:rsidDel="00000000" w:rsidR="00000000" w:rsidRPr="00000000">
              <w:rPr>
                <w:rFonts w:ascii="Arial" w:cs="Arial" w:eastAsia="Arial" w:hAnsi="Arial"/>
                <w:b w:val="0"/>
                <w:bCs w:val="0"/>
                <w:color w:val="1c2833"/>
                <w:sz w:val="20"/>
                <w:szCs w:val="20"/>
                <w:rtl w:val="0"/>
              </w:rPr>
              <w:t xml:space="preserve">2022-23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rPr/>
            </w:pPr>
            <w:r w:rsidDel="00000000" w:rsidR="00000000" w:rsidRPr="00000000">
              <w:rPr>
                <w:rFonts w:ascii="Arial" w:cs="Arial" w:eastAsia="Arial" w:hAnsi="Arial"/>
                <w:b w:val="0"/>
                <w:bCs w:val="0"/>
                <w:color w:val="1c2833"/>
                <w:sz w:val="20"/>
                <w:szCs w:val="20"/>
                <w:rtl w:val="0"/>
              </w:rPr>
              <w:t xml:space="preserve">0.678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rFonts w:ascii="Arial" w:cs="Arial" w:eastAsia="Arial" w:hAnsi="Arial"/>
                <w:b w:val="0"/>
                <w:bCs w:val="0"/>
                <w:color w:val="1c2833"/>
                <w:sz w:val="20"/>
                <w:szCs w:val="20"/>
                <w:rtl w:val="0"/>
              </w:rPr>
              <w:t xml:space="preserve">0.437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rFonts w:ascii="Arial" w:cs="Arial" w:eastAsia="Arial" w:hAnsi="Arial"/>
                <w:b w:val="0"/>
                <w:bCs w:val="0"/>
                <w:color w:val="1c2833"/>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rFonts w:ascii="Arial" w:cs="Arial" w:eastAsia="Arial" w:hAnsi="Arial"/>
                <w:b w:val="0"/>
                <w:bCs w:val="0"/>
                <w:color w:val="1c2833"/>
                <w:sz w:val="20"/>
                <w:szCs w:val="20"/>
                <w:rtl w:val="0"/>
              </w:rPr>
              <w:t xml:space="preserve">2023-24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rFonts w:ascii="Arial" w:cs="Arial" w:eastAsia="Arial" w:hAnsi="Arial"/>
                <w:b w:val="0"/>
                <w:bCs w:val="0"/>
                <w:color w:val="1c2833"/>
                <w:sz w:val="20"/>
                <w:szCs w:val="20"/>
                <w:rtl w:val="0"/>
              </w:rPr>
              <w:t xml:space="preserve">0.676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rFonts w:ascii="Arial" w:cs="Arial" w:eastAsia="Arial" w:hAnsi="Arial"/>
                <w:b w:val="0"/>
                <w:bCs w:val="0"/>
                <w:color w:val="1c2833"/>
                <w:sz w:val="20"/>
                <w:szCs w:val="20"/>
                <w:rtl w:val="0"/>
              </w:rPr>
              <w:t xml:space="preserve">0.433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rFonts w:ascii="Arial" w:cs="Arial" w:eastAsia="Arial" w:hAnsi="Arial"/>
                <w:b w:val="0"/>
                <w:bCs w:val="0"/>
                <w:color w:val="1c2833"/>
                <w:sz w:val="20"/>
                <w:szCs w:val="20"/>
                <w:rtl w:val="0"/>
              </w:rPr>
              <w:t xml:space="preserve">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rFonts w:ascii="Arial" w:cs="Arial" w:eastAsia="Arial" w:hAnsi="Arial"/>
                <w:b w:val="0"/>
                <w:bCs w:val="0"/>
                <w:color w:val="1c2833"/>
                <w:sz w:val="20"/>
                <w:szCs w:val="20"/>
                <w:rtl w:val="0"/>
              </w:rPr>
              <w:t xml:space="preserve">2024-25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rFonts w:ascii="Arial" w:cs="Arial" w:eastAsia="Arial" w:hAnsi="Arial"/>
                <w:b w:val="0"/>
                <w:bCs w:val="0"/>
                <w:color w:val="1c2833"/>
                <w:sz w:val="20"/>
                <w:szCs w:val="20"/>
                <w:rtl w:val="0"/>
              </w:rPr>
              <w:t xml:space="preserve">0.633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rFonts w:ascii="Arial" w:cs="Arial" w:eastAsia="Arial" w:hAnsi="Arial"/>
                <w:b w:val="0"/>
                <w:bCs w:val="0"/>
                <w:color w:val="1c2833"/>
                <w:sz w:val="20"/>
                <w:szCs w:val="20"/>
                <w:rtl w:val="0"/>
              </w:rPr>
              <w:t xml:space="preserve">0.425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rPr/>
            </w:pPr>
            <w:sdt>
              <w:sdtPr>
                <w:id w:val="-1372196624"/>
                <w:tag w:val="goog_rdk_7"/>
              </w:sdtPr>
              <w:sdtContent>
                <w:r w:rsidDel="00000000" w:rsidR="00000000" w:rsidRPr="00000000">
                  <w:rPr>
                    <w:rFonts w:ascii="Arial Unicode MS" w:cs="Arial Unicode MS" w:eastAsia="Arial Unicode MS" w:hAnsi="Arial Unicode MS"/>
                    <w:b w:val="0"/>
                    <w:bCs w:val="0"/>
                    <w:color w:val="1c2833"/>
                    <w:sz w:val="20"/>
                    <w:szCs w:val="20"/>
                    <w:rtl w:val="0"/>
                  </w:rPr>
                  <w:t xml:space="preserve">↓ Meaningful decline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7C">
            <w:pPr>
              <w:rPr/>
            </w:pPr>
            <w:r w:rsidDel="00000000" w:rsidR="00000000" w:rsidRPr="00000000">
              <w:rPr>
                <w:rFonts w:ascii="Arial" w:cs="Arial" w:eastAsia="Arial" w:hAnsi="Arial"/>
                <w:b w:val="0"/>
                <w:bCs w:val="0"/>
                <w:color w:val="1c2833"/>
                <w:sz w:val="20"/>
                <w:szCs w:val="20"/>
                <w:rtl w:val="0"/>
              </w:rPr>
              <w:t xml:space="preserve">2025-26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rPr/>
            </w:pPr>
            <w:r w:rsidDel="00000000" w:rsidR="00000000" w:rsidRPr="00000000">
              <w:rPr>
                <w:rFonts w:ascii="Arial" w:cs="Arial" w:eastAsia="Arial" w:hAnsi="Arial"/>
                <w:b w:val="0"/>
                <w:bCs w:val="0"/>
                <w:color w:val="1c2833"/>
                <w:sz w:val="20"/>
                <w:szCs w:val="20"/>
                <w:rtl w:val="0"/>
              </w:rPr>
              <w:t xml:space="preserve">0.623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7E">
            <w:pPr>
              <w:rPr/>
            </w:pPr>
            <w:r w:rsidDel="00000000" w:rsidR="00000000" w:rsidRPr="00000000">
              <w:rPr>
                <w:rFonts w:ascii="Arial" w:cs="Arial" w:eastAsia="Arial" w:hAnsi="Arial"/>
                <w:b w:val="0"/>
                <w:bCs w:val="0"/>
                <w:color w:val="1c2833"/>
                <w:sz w:val="20"/>
                <w:szCs w:val="20"/>
                <w:rtl w:val="0"/>
              </w:rPr>
              <w:t xml:space="preserve">0.368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rPr/>
            </w:pPr>
            <w:sdt>
              <w:sdtPr>
                <w:id w:val="1246203547"/>
                <w:tag w:val="goog_rdk_8"/>
              </w:sdtPr>
              <w:sdtContent>
                <w:r w:rsidDel="00000000" w:rsidR="00000000" w:rsidRPr="00000000">
                  <w:rPr>
                    <w:rFonts w:ascii="Arial Unicode MS" w:cs="Arial Unicode MS" w:eastAsia="Arial Unicode MS" w:hAnsi="Arial Unicode MS"/>
                    <w:b w:val="0"/>
                    <w:bCs w:val="0"/>
                    <w:color w:val="1c2833"/>
                    <w:sz w:val="20"/>
                    <w:szCs w:val="20"/>
                    <w:rtl w:val="0"/>
                  </w:rPr>
                  <w:t xml:space="preserve">↓ Continuing decline</w:t>
                </w:r>
              </w:sdtContent>
            </w:sdt>
            <w:r w:rsidDel="00000000" w:rsidR="00000000" w:rsidRPr="00000000">
              <w:rPr>
                <w:rtl w:val="0"/>
              </w:rPr>
            </w:r>
          </w:p>
        </w:tc>
      </w:tr>
    </w:tbl>
    <w:p w:rsidR="00000000" w:rsidDel="00000000" w:rsidP="00000000" w:rsidRDefault="00000000" w:rsidRPr="00000000" w14:paraId="00000180">
      <w:pPr>
        <w:spacing w:after="0" w:before="60" w:lineRule="auto"/>
        <w:rPr/>
      </w:pPr>
      <w:r w:rsidDel="00000000" w:rsidR="00000000" w:rsidRPr="00000000">
        <w:rPr>
          <w:rtl w:val="0"/>
        </w:rPr>
      </w:r>
    </w:p>
    <w:p w:rsidR="00000000" w:rsidDel="00000000" w:rsidP="00000000" w:rsidRDefault="00000000" w:rsidRPr="00000000" w14:paraId="00000181">
      <w:pPr>
        <w:spacing w:after="60" w:before="60" w:lineRule="auto"/>
        <w:rPr/>
      </w:pPr>
      <w:r w:rsidDel="00000000" w:rsidR="00000000" w:rsidRPr="00000000">
        <w:rPr>
          <w:rFonts w:ascii="Arial" w:cs="Arial" w:eastAsia="Arial" w:hAnsi="Arial"/>
          <w:color w:val="1c2833"/>
          <w:sz w:val="21"/>
          <w:szCs w:val="21"/>
          <w:rtl w:val="0"/>
        </w:rPr>
        <w:t xml:space="preserve">This decline appears before significant load has accumulated within the season — suggesting an ageing effect operating independently of within-season cumulative load. The ageing signal appears to have accelerated around age 36–37 (2024-25 onwards).</w:t>
      </w:r>
      <w:r w:rsidDel="00000000" w:rsidR="00000000" w:rsidRPr="00000000">
        <w:rPr>
          <w:rtl w:val="0"/>
        </w:rPr>
      </w:r>
    </w:p>
    <w:p w:rsidR="00000000" w:rsidDel="00000000" w:rsidP="00000000" w:rsidRDefault="00000000" w:rsidRPr="00000000" w14:paraId="00000182">
      <w:pPr>
        <w:spacing w:after="0" w:before="80" w:lineRule="auto"/>
        <w:rPr/>
      </w:pPr>
      <w:r w:rsidDel="00000000" w:rsidR="00000000" w:rsidRPr="00000000">
        <w:rPr>
          <w:rtl w:val="0"/>
        </w:rPr>
      </w:r>
    </w:p>
    <w:p w:rsidR="00000000" w:rsidDel="00000000" w:rsidP="00000000" w:rsidRDefault="00000000" w:rsidRPr="00000000" w14:paraId="00000183">
      <w:pPr>
        <w:spacing w:after="60" w:before="200" w:lineRule="auto"/>
        <w:rPr/>
      </w:pPr>
      <w:r w:rsidDel="00000000" w:rsidR="00000000" w:rsidRPr="00000000">
        <w:rPr>
          <w:rFonts w:ascii="Arial" w:cs="Arial" w:eastAsia="Arial" w:hAnsi="Arial"/>
          <w:b w:val="1"/>
          <w:bCs w:val="1"/>
          <w:color w:val="1c2833"/>
          <w:sz w:val="22"/>
          <w:szCs w:val="22"/>
          <w:rtl w:val="0"/>
        </w:rPr>
        <w:t xml:space="preserve">Finding 4 — 3P% Consistent Downward Trend</w:t>
      </w:r>
      <w:r w:rsidDel="00000000" w:rsidR="00000000" w:rsidRPr="00000000">
        <w:rPr>
          <w:rtl w:val="0"/>
        </w:rPr>
      </w:r>
    </w:p>
    <w:p w:rsidR="00000000" w:rsidDel="00000000" w:rsidP="00000000" w:rsidRDefault="00000000" w:rsidRPr="00000000" w14:paraId="00000184">
      <w:pPr>
        <w:spacing w:after="60" w:before="60" w:lineRule="auto"/>
        <w:rPr/>
      </w:pPr>
      <w:r w:rsidDel="00000000" w:rsidR="00000000" w:rsidRPr="00000000">
        <w:rPr>
          <w:rFonts w:ascii="Arial" w:cs="Arial" w:eastAsia="Arial" w:hAnsi="Arial"/>
          <w:color w:val="1c2833"/>
          <w:sz w:val="21"/>
          <w:szCs w:val="21"/>
          <w:rtl w:val="0"/>
        </w:rPr>
        <w:t xml:space="preserve">Three point percentage declined from 0.428 in 2022-23 to 0.370 in 2025-26 — a 5.8 percentage point decline significant for a shooter of Curry’s calibre. This trend may reflect cumulative fatigue, age-related decline, evolving defensive schemes (double teams, longer athletic wing defenders), or league-wide adaptation. The data cannot isolate these effects.</w:t>
      </w:r>
      <w:r w:rsidDel="00000000" w:rsidR="00000000" w:rsidRPr="00000000">
        <w:rPr>
          <w:rtl w:val="0"/>
        </w:rPr>
      </w:r>
    </w:p>
    <w:p w:rsidR="00000000" w:rsidDel="00000000" w:rsidP="00000000" w:rsidRDefault="00000000" w:rsidRPr="00000000" w14:paraId="00000185">
      <w:pPr>
        <w:spacing w:after="0" w:before="160" w:lineRule="auto"/>
        <w:rPr/>
      </w:pPr>
      <w:r w:rsidDel="00000000" w:rsidR="00000000" w:rsidRPr="00000000">
        <w:rPr>
          <w:rtl w:val="0"/>
        </w:rPr>
      </w:r>
    </w:p>
    <w:p w:rsidR="00000000" w:rsidDel="00000000" w:rsidP="00000000" w:rsidRDefault="00000000" w:rsidRPr="00000000" w14:paraId="00000186">
      <w:pPr>
        <w:pBdr>
          <w:bottom w:color="2e86c1" w:space="1" w:sz="6" w:val="single"/>
        </w:pBdr>
        <w:spacing w:after="80" w:before="320" w:lineRule="auto"/>
        <w:rPr/>
      </w:pPr>
      <w:r w:rsidDel="00000000" w:rsidR="00000000" w:rsidRPr="00000000">
        <w:rPr>
          <w:rFonts w:ascii="Arial" w:cs="Arial" w:eastAsia="Arial" w:hAnsi="Arial"/>
          <w:b w:val="1"/>
          <w:bCs w:val="1"/>
          <w:color w:val="2e86c1"/>
          <w:sz w:val="24"/>
          <w:szCs w:val="24"/>
          <w:rtl w:val="0"/>
        </w:rPr>
        <w:t xml:space="preserve">PYTHON VISUALISATIONS — STEP 11</w:t>
      </w:r>
      <w:r w:rsidDel="00000000" w:rsidR="00000000" w:rsidRPr="00000000">
        <w:rPr>
          <w:rtl w:val="0"/>
        </w:rPr>
      </w:r>
    </w:p>
    <w:p w:rsidR="00000000" w:rsidDel="00000000" w:rsidP="00000000" w:rsidRDefault="00000000" w:rsidRPr="00000000" w14:paraId="00000187">
      <w:pPr>
        <w:spacing w:after="0" w:before="60" w:lineRule="auto"/>
        <w:rPr/>
      </w:pPr>
      <w:r w:rsidDel="00000000" w:rsidR="00000000" w:rsidRPr="00000000">
        <w:rPr>
          <w:rtl w:val="0"/>
        </w:rPr>
      </w:r>
    </w:p>
    <w:p w:rsidR="00000000" w:rsidDel="00000000" w:rsidP="00000000" w:rsidRDefault="00000000" w:rsidRPr="00000000" w14:paraId="00000188">
      <w:pPr>
        <w:spacing w:after="60" w:before="60" w:lineRule="auto"/>
        <w:rPr/>
      </w:pPr>
      <w:r w:rsidDel="00000000" w:rsidR="00000000" w:rsidRPr="00000000">
        <w:rPr>
          <w:rFonts w:ascii="Arial" w:cs="Arial" w:eastAsia="Arial" w:hAnsi="Arial"/>
          <w:color w:val="1c2833"/>
          <w:sz w:val="21"/>
          <w:szCs w:val="21"/>
          <w:rtl w:val="0"/>
        </w:rPr>
        <w:t xml:space="preserve">Environment: Miniconda on Chromebook. Jupyter Notebook at localhost:8888. BigQuery Python client connected. CSV backup at: /mnt/chromeos/MyFiles/Downloads/Portfolio Project 1/curry_load_analysis.csv</w:t>
      </w:r>
      <w:r w:rsidDel="00000000" w:rsidR="00000000" w:rsidRPr="00000000">
        <w:rPr>
          <w:rtl w:val="0"/>
        </w:rPr>
      </w:r>
    </w:p>
    <w:p w:rsidR="00000000" w:rsidDel="00000000" w:rsidP="00000000" w:rsidRDefault="00000000" w:rsidRPr="00000000" w14:paraId="00000189">
      <w:pPr>
        <w:spacing w:after="0" w:before="60" w:lineRule="auto"/>
        <w:rPr/>
      </w:pPr>
      <w:r w:rsidDel="00000000" w:rsidR="00000000" w:rsidRPr="00000000">
        <w:rPr>
          <w:rtl w:val="0"/>
        </w:rPr>
      </w:r>
    </w:p>
    <w:p w:rsidR="00000000" w:rsidDel="00000000" w:rsidP="00000000" w:rsidRDefault="00000000" w:rsidRPr="00000000" w14:paraId="0000018A">
      <w:pPr>
        <w:spacing w:after="60" w:before="60" w:lineRule="auto"/>
        <w:rPr/>
      </w:pPr>
      <w:r w:rsidDel="00000000" w:rsidR="00000000" w:rsidRPr="00000000">
        <w:rPr>
          <w:rFonts w:ascii="Arial" w:cs="Arial" w:eastAsia="Arial" w:hAnsi="Arial"/>
          <w:color w:val="1c2833"/>
          <w:sz w:val="21"/>
          <w:szCs w:val="21"/>
          <w:rtl w:val="0"/>
        </w:rPr>
        <w:t xml:space="preserve">Libraries: google-cloud-bigquery, pandas, matplotlib, matplotlib.patches, numpy, seaborn, db-dtypes</w:t>
      </w:r>
      <w:r w:rsidDel="00000000" w:rsidR="00000000" w:rsidRPr="00000000">
        <w:rPr>
          <w:rtl w:val="0"/>
        </w:rPr>
      </w:r>
    </w:p>
    <w:p w:rsidR="00000000" w:rsidDel="00000000" w:rsidP="00000000" w:rsidRDefault="00000000" w:rsidRPr="00000000" w14:paraId="0000018B">
      <w:pPr>
        <w:spacing w:after="0" w:before="80" w:lineRule="auto"/>
        <w:rPr/>
      </w:pPr>
      <w:r w:rsidDel="00000000" w:rsidR="00000000" w:rsidRPr="00000000">
        <w:rPr>
          <w:rtl w:val="0"/>
        </w:rPr>
      </w:r>
    </w:p>
    <w:p w:rsidR="00000000" w:rsidDel="00000000" w:rsidP="00000000" w:rsidRDefault="00000000" w:rsidRPr="00000000" w14:paraId="0000018C">
      <w:pPr>
        <w:spacing w:after="60" w:before="200" w:lineRule="auto"/>
        <w:rPr/>
      </w:pPr>
      <w:sdt>
        <w:sdtPr>
          <w:id w:val="1237697059"/>
          <w:tag w:val="goog_rdk_9"/>
        </w:sdtPr>
        <w:sdtContent>
          <w:r w:rsidDel="00000000" w:rsidR="00000000" w:rsidRPr="00000000">
            <w:rPr>
              <w:rFonts w:ascii="Arial Unicode MS" w:cs="Arial Unicode MS" w:eastAsia="Arial Unicode MS" w:hAnsi="Arial Unicode MS"/>
              <w:b w:val="1"/>
              <w:bCs w:val="1"/>
              <w:color w:val="1c2833"/>
              <w:sz w:val="22"/>
              <w:szCs w:val="22"/>
              <w:rtl w:val="0"/>
            </w:rPr>
            <w:t xml:space="preserve">Visualisation 1 — Complete ✓</w:t>
          </w:r>
        </w:sdtContent>
      </w:sdt>
      <w:r w:rsidDel="00000000" w:rsidR="00000000" w:rsidRPr="00000000">
        <w:rPr>
          <w:rtl w:val="0"/>
        </w:rPr>
      </w:r>
    </w:p>
    <w:p w:rsidR="00000000" w:rsidDel="00000000" w:rsidP="00000000" w:rsidRDefault="00000000" w:rsidRPr="00000000" w14:paraId="0000018D">
      <w:pPr>
        <w:spacing w:after="60" w:before="60" w:lineRule="auto"/>
        <w:rPr/>
      </w:pPr>
      <w:r w:rsidDel="00000000" w:rsidR="00000000" w:rsidRPr="00000000">
        <w:rPr>
          <w:rFonts w:ascii="Arial" w:cs="Arial" w:eastAsia="Arial" w:hAnsi="Arial"/>
          <w:color w:val="1c2833"/>
          <w:sz w:val="21"/>
          <w:szCs w:val="21"/>
          <w:rtl w:val="0"/>
        </w:rPr>
        <w:t xml:space="preserve">Rolling 5-game avg minutes vs rolling 5-game TS% across the season. Four subplots (one per season) with dual y-axes and second third shaded region. Saved to: /mnt/chromeos/MyFiles/Downloads/Portfolio Project 1/viz1_rolling_load_vs_efficiency.png</w:t>
      </w:r>
      <w:r w:rsidDel="00000000" w:rsidR="00000000" w:rsidRPr="00000000">
        <w:rPr>
          <w:rtl w:val="0"/>
        </w:rPr>
      </w:r>
    </w:p>
    <w:p w:rsidR="00000000" w:rsidDel="00000000" w:rsidP="00000000" w:rsidRDefault="00000000" w:rsidRPr="00000000" w14:paraId="0000018E">
      <w:pPr>
        <w:spacing w:after="0" w:before="60" w:lineRule="auto"/>
        <w:rPr/>
      </w:pPr>
      <w:r w:rsidDel="00000000" w:rsidR="00000000" w:rsidRPr="00000000">
        <w:rPr>
          <w:rtl w:val="0"/>
        </w:rPr>
      </w:r>
    </w:p>
    <w:p w:rsidR="00000000" w:rsidDel="00000000" w:rsidP="00000000" w:rsidRDefault="00000000" w:rsidRPr="00000000" w14:paraId="0000018F">
      <w:pPr>
        <w:spacing w:after="60" w:before="60" w:lineRule="auto"/>
        <w:rPr/>
      </w:pPr>
      <w:r w:rsidDel="00000000" w:rsidR="00000000" w:rsidRPr="00000000">
        <w:rPr>
          <w:rFonts w:ascii="Arial" w:cs="Arial" w:eastAsia="Arial" w:hAnsi="Arial"/>
          <w:color w:val="1c2833"/>
          <w:sz w:val="21"/>
          <w:szCs w:val="21"/>
          <w:rtl w:val="0"/>
        </w:rPr>
        <w:t xml:space="preserve">Key code components: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fig, axes = plt.subplots(1, 4, figsize=(20, 5)) — creates 4 side-by-side subplots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ax2 = ax1.twinx() — creates dual y-axes on same subplot</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ax1.axvspan(21, min(40, max_game), alpha=0.1, color=’red’) — shades second third region</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season in seasons: loop — plots each season programmatically</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plt.savefig(..., dpi=300, bbox_inches=’tight’) — saves at publication quality</w:t>
      </w:r>
      <w:r w:rsidDel="00000000" w:rsidR="00000000" w:rsidRPr="00000000">
        <w:rPr>
          <w:rtl w:val="0"/>
        </w:rPr>
      </w:r>
    </w:p>
    <w:p w:rsidR="00000000" w:rsidDel="00000000" w:rsidP="00000000" w:rsidRDefault="00000000" w:rsidRPr="00000000" w14:paraId="00000195">
      <w:pPr>
        <w:spacing w:after="0" w:before="60" w:lineRule="auto"/>
        <w:rPr/>
      </w:pPr>
      <w:r w:rsidDel="00000000" w:rsidR="00000000" w:rsidRPr="00000000">
        <w:rPr>
          <w:rtl w:val="0"/>
        </w:rPr>
      </w:r>
    </w:p>
    <w:p w:rsidR="00000000" w:rsidDel="00000000" w:rsidP="00000000" w:rsidRDefault="00000000" w:rsidRPr="00000000" w14:paraId="00000196">
      <w:pPr>
        <w:spacing w:after="60" w:before="60" w:lineRule="auto"/>
        <w:rPr/>
      </w:pPr>
      <w:r w:rsidDel="00000000" w:rsidR="00000000" w:rsidRPr="00000000">
        <w:rPr>
          <w:rFonts w:ascii="Arial" w:cs="Arial" w:eastAsia="Arial" w:hAnsi="Arial"/>
          <w:i w:val="1"/>
          <w:iCs w:val="1"/>
          <w:color w:val="555555"/>
          <w:sz w:val="21"/>
          <w:szCs w:val="21"/>
          <w:rtl w:val="0"/>
        </w:rPr>
        <w:t xml:space="preserve">2025-26 subplot note: the shaded region covers most of the chart because the season ended during the second third (knee injury). An annotation was added to clarify this.</w:t>
      </w:r>
      <w:r w:rsidDel="00000000" w:rsidR="00000000" w:rsidRPr="00000000">
        <w:rPr>
          <w:rtl w:val="0"/>
        </w:rPr>
      </w:r>
    </w:p>
    <w:p w:rsidR="00000000" w:rsidDel="00000000" w:rsidP="00000000" w:rsidRDefault="00000000" w:rsidRPr="00000000" w14:paraId="00000197">
      <w:pPr>
        <w:spacing w:after="0" w:before="80" w:lineRule="auto"/>
        <w:rPr/>
      </w:pPr>
      <w:r w:rsidDel="00000000" w:rsidR="00000000" w:rsidRPr="00000000">
        <w:rPr>
          <w:rtl w:val="0"/>
        </w:rPr>
      </w:r>
    </w:p>
    <w:p w:rsidR="00000000" w:rsidDel="00000000" w:rsidP="00000000" w:rsidRDefault="00000000" w:rsidRPr="00000000" w14:paraId="00000198">
      <w:pPr>
        <w:spacing w:after="60" w:before="200" w:lineRule="auto"/>
        <w:rPr/>
      </w:pPr>
      <w:sdt>
        <w:sdtPr>
          <w:id w:val="-355542511"/>
          <w:tag w:val="goog_rdk_10"/>
        </w:sdtPr>
        <w:sdtContent>
          <w:r w:rsidDel="00000000" w:rsidR="00000000" w:rsidRPr="00000000">
            <w:rPr>
              <w:rFonts w:ascii="Arial Unicode MS" w:cs="Arial Unicode MS" w:eastAsia="Arial Unicode MS" w:hAnsi="Arial Unicode MS"/>
              <w:b w:val="1"/>
              <w:bCs w:val="1"/>
              <w:color w:val="1c2833"/>
              <w:sz w:val="22"/>
              <w:szCs w:val="22"/>
              <w:rtl w:val="0"/>
            </w:rPr>
            <w:t xml:space="preserve">Visualisation 2 — Complete ✓</w:t>
          </w:r>
        </w:sdtContent>
      </w:sdt>
      <w:r w:rsidDel="00000000" w:rsidR="00000000" w:rsidRPr="00000000">
        <w:rPr>
          <w:rtl w:val="0"/>
        </w:rPr>
      </w:r>
    </w:p>
    <w:p w:rsidR="00000000" w:rsidDel="00000000" w:rsidP="00000000" w:rsidRDefault="00000000" w:rsidRPr="00000000" w14:paraId="00000199">
      <w:pPr>
        <w:spacing w:after="60" w:before="60" w:lineRule="auto"/>
        <w:rPr/>
      </w:pPr>
      <w:r w:rsidDel="00000000" w:rsidR="00000000" w:rsidRPr="00000000">
        <w:rPr>
          <w:rFonts w:ascii="Arial" w:cs="Arial" w:eastAsia="Arial" w:hAnsi="Arial"/>
          <w:color w:val="1c2833"/>
          <w:sz w:val="21"/>
          <w:szCs w:val="21"/>
          <w:rtl w:val="0"/>
        </w:rPr>
        <w:t xml:space="preserve">Season thirds comparison grouped bar chart. Three panels: avg minutes, avg TS%, avg 3P% per third across all four seasons. Consistent colour scheme: blue = first, orange = second, green = final. Colour scheme: blue = first third, orange = second, green = final. Includes small-sample flags (⚠ n=X) and a footnote caveat noting the 2025-26 second-third gap (0.4pp) is far smaller than the 5–7pp gaps in the other three seasons — not a confirmed trough given the season's abbreviated length.</w:t>
      </w:r>
      <w:r w:rsidDel="00000000" w:rsidR="00000000" w:rsidRPr="00000000">
        <w:rPr>
          <w:rtl w:val="0"/>
        </w:rPr>
      </w:r>
    </w:p>
    <w:p w:rsidR="00000000" w:rsidDel="00000000" w:rsidP="00000000" w:rsidRDefault="00000000" w:rsidRPr="00000000" w14:paraId="0000019A">
      <w:pPr>
        <w:spacing w:after="0" w:before="80" w:lineRule="auto"/>
        <w:rPr/>
      </w:pPr>
      <w:r w:rsidDel="00000000" w:rsidR="00000000" w:rsidRPr="00000000">
        <w:rPr>
          <w:rtl w:val="0"/>
        </w:rPr>
      </w:r>
    </w:p>
    <w:p w:rsidR="00000000" w:rsidDel="00000000" w:rsidP="00000000" w:rsidRDefault="00000000" w:rsidRPr="00000000" w14:paraId="0000019B">
      <w:pPr>
        <w:spacing w:after="60" w:before="200" w:lineRule="auto"/>
        <w:rPr/>
      </w:pPr>
      <w:sdt>
        <w:sdtPr>
          <w:id w:val="643437275"/>
          <w:tag w:val="goog_rdk_11"/>
        </w:sdtPr>
        <w:sdtContent>
          <w:r w:rsidDel="00000000" w:rsidR="00000000" w:rsidRPr="00000000">
            <w:rPr>
              <w:rFonts w:ascii="Arial Unicode MS" w:cs="Arial Unicode MS" w:eastAsia="Arial Unicode MS" w:hAnsi="Arial Unicode MS"/>
              <w:b w:val="1"/>
              <w:bCs w:val="1"/>
              <w:color w:val="1c2833"/>
              <w:sz w:val="22"/>
              <w:szCs w:val="22"/>
              <w:rtl w:val="0"/>
            </w:rPr>
            <w:t xml:space="preserve">Visualisation 3 — Complete ✓</w:t>
          </w:r>
        </w:sdtContent>
      </w:sdt>
      <w:r w:rsidDel="00000000" w:rsidR="00000000" w:rsidRPr="00000000">
        <w:rPr>
          <w:rtl w:val="0"/>
        </w:rPr>
      </w:r>
    </w:p>
    <w:p w:rsidR="00000000" w:rsidDel="00000000" w:rsidP="00000000" w:rsidRDefault="00000000" w:rsidRPr="00000000" w14:paraId="0000019C">
      <w:pPr>
        <w:spacing w:after="60" w:before="60" w:lineRule="auto"/>
        <w:rPr/>
      </w:pPr>
      <w:r w:rsidDel="00000000" w:rsidR="00000000" w:rsidRPr="00000000">
        <w:rPr>
          <w:rFonts w:ascii="Arial" w:cs="Arial" w:eastAsia="Arial" w:hAnsi="Arial"/>
          <w:color w:val="1c2833"/>
          <w:sz w:val="21"/>
          <w:szCs w:val="21"/>
          <w:rtl w:val="0"/>
        </w:rPr>
        <w:t xml:space="preserve">Cumulative minutes vs TS% scatter plot. All four seasons colour-coded. Trend line per season using numpy polyfit. Vertical line at 1,000 cumulative minutes marking the exploratory fatigue threshold.</w:t>
      </w:r>
      <w:r w:rsidDel="00000000" w:rsidR="00000000" w:rsidRPr="00000000">
        <w:rPr>
          <w:rtl w:val="0"/>
        </w:rPr>
      </w:r>
    </w:p>
    <w:p w:rsidR="00000000" w:rsidDel="00000000" w:rsidP="00000000" w:rsidRDefault="00000000" w:rsidRPr="00000000" w14:paraId="0000019D">
      <w:pPr>
        <w:spacing w:after="60" w:before="60" w:lineRule="auto"/>
        <w:rPr/>
      </w:pPr>
      <w:r w:rsidDel="00000000" w:rsidR="00000000" w:rsidRPr="00000000">
        <w:rPr>
          <w:rFonts w:ascii="Arial" w:cs="Arial" w:eastAsia="Arial" w:hAnsi="Arial"/>
          <w:color w:val="1c2833"/>
          <w:sz w:val="21"/>
          <w:szCs w:val="21"/>
          <w:rtl w:val="0"/>
        </w:rPr>
        <w:t xml:space="preserve">Statistical validation (Sept 2026): A combined linear regression of true_shooting_pct on cumulative_minutes × season across all 224 healthy games returns R²=0.027 and p=0.55 — not statistically significant at conventional thresholds. An ANOVA on the season interaction term (p=0.73) shows no statistically detectable difference in this relationship across the four seasons. This confirms single-game efficiency is dominated by game-to-game variance, reinforcing why rolling averages (Visualisation 1) and season-level aggregation (Visualisation 2) — not raw per-game trends — are this project's primary evidence.</w:t>
      </w:r>
      <w:r w:rsidDel="00000000" w:rsidR="00000000" w:rsidRPr="00000000">
        <w:rPr>
          <w:rtl w:val="0"/>
        </w:rPr>
      </w:r>
    </w:p>
    <w:p w:rsidR="00000000" w:rsidDel="00000000" w:rsidP="00000000" w:rsidRDefault="00000000" w:rsidRPr="00000000" w14:paraId="0000019E">
      <w:pPr>
        <w:spacing w:after="0" w:before="160" w:lineRule="auto"/>
        <w:rPr/>
      </w:pPr>
      <w:r w:rsidDel="00000000" w:rsidR="00000000" w:rsidRPr="00000000">
        <w:rPr>
          <w:rtl w:val="0"/>
        </w:rPr>
      </w:r>
    </w:p>
    <w:p w:rsidR="00000000" w:rsidDel="00000000" w:rsidP="00000000" w:rsidRDefault="00000000" w:rsidRPr="00000000" w14:paraId="0000019F">
      <w:pPr>
        <w:pBdr>
          <w:bottom w:color="2e86c1" w:space="1" w:sz="6" w:val="single"/>
        </w:pBdr>
        <w:spacing w:after="80" w:before="320" w:lineRule="auto"/>
        <w:rPr/>
      </w:pPr>
      <w:r w:rsidDel="00000000" w:rsidR="00000000" w:rsidRPr="00000000">
        <w:rPr>
          <w:rFonts w:ascii="Arial" w:cs="Arial" w:eastAsia="Arial" w:hAnsi="Arial"/>
          <w:b w:val="1"/>
          <w:bCs w:val="1"/>
          <w:color w:val="2e86c1"/>
          <w:sz w:val="24"/>
          <w:szCs w:val="24"/>
          <w:rtl w:val="0"/>
        </w:rPr>
        <w:t xml:space="preserve">EXTENSIBILITY NOTES</w:t>
      </w:r>
      <w:r w:rsidDel="00000000" w:rsidR="00000000" w:rsidRPr="00000000">
        <w:rPr>
          <w:rtl w:val="0"/>
        </w:rPr>
      </w:r>
    </w:p>
    <w:p w:rsidR="00000000" w:rsidDel="00000000" w:rsidP="00000000" w:rsidRDefault="00000000" w:rsidRPr="00000000" w14:paraId="000001A0">
      <w:pPr>
        <w:spacing w:after="0" w:before="60" w:lineRule="auto"/>
        <w:rPr/>
      </w:pPr>
      <w:r w:rsidDel="00000000" w:rsidR="00000000" w:rsidRPr="00000000">
        <w:rPr>
          <w:rtl w:val="0"/>
        </w:rPr>
      </w:r>
    </w:p>
    <w:p w:rsidR="00000000" w:rsidDel="00000000" w:rsidP="00000000" w:rsidRDefault="00000000" w:rsidRPr="00000000" w14:paraId="000001A1">
      <w:pPr>
        <w:spacing w:after="60" w:before="60" w:lineRule="auto"/>
        <w:rPr/>
      </w:pPr>
      <w:r w:rsidDel="00000000" w:rsidR="00000000" w:rsidRPr="00000000">
        <w:rPr>
          <w:rFonts w:ascii="Arial" w:cs="Arial" w:eastAsia="Arial" w:hAnsi="Arial"/>
          <w:color w:val="1c2833"/>
          <w:sz w:val="21"/>
          <w:szCs w:val="21"/>
          <w:rtl w:val="0"/>
        </w:rPr>
        <w:t xml:space="preserve">This analysis was built for Curry specifically. For future multi-player analysis, the secondary efficiency metric should reflect each player’s primary offensive mechanism:</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High-volume rim attackers (Giannis, Zion) — track two point percentage or points in the paint</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Playmakers (LeBron, Doncic) — track assist rate or assist-to-turnover ratio</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Midrange scorers — track effective field goal percentage by shot zone</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Free throw dependent scorers — track free throw rate (FTA/FGA) as aggression decline measure</w:t>
      </w:r>
      <w:r w:rsidDel="00000000" w:rsidR="00000000" w:rsidRPr="00000000">
        <w:rPr>
          <w:rtl w:val="0"/>
        </w:rPr>
      </w:r>
    </w:p>
    <w:p w:rsidR="00000000" w:rsidDel="00000000" w:rsidP="00000000" w:rsidRDefault="00000000" w:rsidRPr="00000000" w14:paraId="000001A6">
      <w:pPr>
        <w:spacing w:after="0" w:before="60" w:lineRule="auto"/>
        <w:rPr/>
      </w:pPr>
      <w:r w:rsidDel="00000000" w:rsidR="00000000" w:rsidRPr="00000000">
        <w:rPr>
          <w:rtl w:val="0"/>
        </w:rPr>
      </w:r>
    </w:p>
    <w:p w:rsidR="00000000" w:rsidDel="00000000" w:rsidP="00000000" w:rsidRDefault="00000000" w:rsidRPr="00000000" w14:paraId="000001A7">
      <w:pPr>
        <w:spacing w:after="60" w:before="60" w:lineRule="auto"/>
        <w:rPr/>
      </w:pPr>
      <w:r w:rsidDel="00000000" w:rsidR="00000000" w:rsidRPr="00000000">
        <w:rPr>
          <w:rFonts w:ascii="Arial" w:cs="Arial" w:eastAsia="Arial" w:hAnsi="Arial"/>
          <w:color w:val="1c2833"/>
          <w:sz w:val="21"/>
          <w:szCs w:val="21"/>
          <w:rtl w:val="0"/>
        </w:rPr>
        <w:t xml:space="preserve">True Shooting percentage is universally applicable as the primary efficiency metric. The view dependency chain and injury flagging logic are fully reusable for any player with a Basketball Reference game log.</w:t>
      </w:r>
      <w:r w:rsidDel="00000000" w:rsidR="00000000" w:rsidRPr="00000000">
        <w:rPr>
          <w:rtl w:val="0"/>
        </w:rPr>
      </w:r>
    </w:p>
    <w:p w:rsidR="00000000" w:rsidDel="00000000" w:rsidP="00000000" w:rsidRDefault="00000000" w:rsidRPr="00000000" w14:paraId="000001A8">
      <w:pPr>
        <w:spacing w:after="0" w:before="60" w:lineRule="auto"/>
        <w:rPr/>
      </w:pPr>
      <w:r w:rsidDel="00000000" w:rsidR="00000000" w:rsidRPr="00000000">
        <w:rPr>
          <w:rtl w:val="0"/>
        </w:rPr>
      </w:r>
    </w:p>
    <w:p w:rsidR="00000000" w:rsidDel="00000000" w:rsidP="00000000" w:rsidRDefault="00000000" w:rsidRPr="00000000" w14:paraId="000001A9">
      <w:pPr>
        <w:spacing w:after="60" w:before="60" w:lineRule="auto"/>
        <w:rPr/>
      </w:pPr>
      <w:r w:rsidDel="00000000" w:rsidR="00000000" w:rsidRPr="00000000">
        <w:rPr>
          <w:rFonts w:ascii="Arial" w:cs="Arial" w:eastAsia="Arial" w:hAnsi="Arial"/>
          <w:i w:val="1"/>
          <w:iCs w:val="1"/>
          <w:color w:val="555555"/>
          <w:sz w:val="21"/>
          <w:szCs w:val="21"/>
          <w:rtl w:val="0"/>
        </w:rPr>
        <w:t xml:space="preserve">Days rest between games is identified as a valuable future addition to curry_load_analysis. A LAG(Date) OVER (PARTITION BY season ORDER BY Date) with DATE_DIFF calculates this directly from existing columns.</w:t>
      </w:r>
      <w:r w:rsidDel="00000000" w:rsidR="00000000" w:rsidRPr="00000000">
        <w:rPr>
          <w:rtl w:val="0"/>
        </w:rPr>
      </w:r>
    </w:p>
    <w:p w:rsidR="00000000" w:rsidDel="00000000" w:rsidP="00000000" w:rsidRDefault="00000000" w:rsidRPr="00000000" w14:paraId="000001AA">
      <w:pPr>
        <w:spacing w:after="60" w:before="60" w:lineRule="auto"/>
        <w:rPr/>
      </w:pPr>
      <w:r w:rsidDel="00000000" w:rsidR="00000000" w:rsidRPr="00000000">
        <w:rPr>
          <w:rFonts w:ascii="Arial" w:cs="Arial" w:eastAsia="Arial" w:hAnsi="Arial"/>
          <w:i w:val="1"/>
          <w:iCs w:val="1"/>
          <w:color w:val="555555"/>
          <w:sz w:val="21"/>
          <w:szCs w:val="21"/>
          <w:rtl w:val="0"/>
        </w:rPr>
        <w:t xml:space="preserve">Future Extension — Piecewise &amp; Mixed-Effects Modeling (Not Implemented): The descriptive approach used throughout this project (rolling averages, load buckets, season thirds) surfaces a consistent pattern but cannot formally test whether a fatigue threshold exists or isolate season-specific effects from career-wide trends. A natural extension would be: (1) Piecewise linear regression (e.g. via pwlf) on cumulative_minutes vs true_shooting_pct, to test whether an inflection point exists and where. (2) Mixed-effects modeling (statsmodels.mixedlm), with random intercepts/slopes by season, to separate a career-wide fatigue effect from season-specific ageing or scheme changes. Both would require an enriched dataset (curry_load_modeling_ready) joining days_rest (via LAG(Date)/DATE_DIFF) and opponent defensive rating — not yet built as of this version. Scoped but deliberately out of v1 to prioritize a complete, shippable descriptive analysis first.</w:t>
      </w:r>
      <w:r w:rsidDel="00000000" w:rsidR="00000000" w:rsidRPr="00000000">
        <w:rPr>
          <w:rtl w:val="0"/>
        </w:rPr>
      </w:r>
    </w:p>
    <w:p w:rsidR="00000000" w:rsidDel="00000000" w:rsidP="00000000" w:rsidRDefault="00000000" w:rsidRPr="00000000" w14:paraId="000001AB">
      <w:pPr>
        <w:spacing w:after="0" w:before="160" w:lineRule="auto"/>
        <w:rPr/>
      </w:pPr>
      <w:r w:rsidDel="00000000" w:rsidR="00000000" w:rsidRPr="00000000">
        <w:rPr>
          <w:rtl w:val="0"/>
        </w:rPr>
      </w:r>
    </w:p>
    <w:p w:rsidR="00000000" w:rsidDel="00000000" w:rsidP="00000000" w:rsidRDefault="00000000" w:rsidRPr="00000000" w14:paraId="000001AC">
      <w:pPr>
        <w:pBdr>
          <w:bottom w:color="2e86c1" w:space="1" w:sz="6" w:val="single"/>
        </w:pBdr>
        <w:spacing w:after="80" w:before="320" w:lineRule="auto"/>
        <w:rPr/>
      </w:pPr>
      <w:r w:rsidDel="00000000" w:rsidR="00000000" w:rsidRPr="00000000">
        <w:rPr>
          <w:rFonts w:ascii="Arial" w:cs="Arial" w:eastAsia="Arial" w:hAnsi="Arial"/>
          <w:b w:val="1"/>
          <w:bCs w:val="1"/>
          <w:color w:val="2e86c1"/>
          <w:sz w:val="24"/>
          <w:szCs w:val="24"/>
          <w:rtl w:val="0"/>
        </w:rPr>
        <w:t xml:space="preserve">KNOWN LIMITATIONS &amp; FUTURE CONSIDERATIONS</w:t>
      </w:r>
      <w:r w:rsidDel="00000000" w:rsidR="00000000" w:rsidRPr="00000000">
        <w:rPr>
          <w:rtl w:val="0"/>
        </w:rPr>
      </w:r>
    </w:p>
    <w:p w:rsidR="00000000" w:rsidDel="00000000" w:rsidP="00000000" w:rsidRDefault="00000000" w:rsidRPr="00000000" w14:paraId="000001AD">
      <w:pPr>
        <w:spacing w:after="0" w:before="60" w:lineRule="auto"/>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ACWR window sizes (5 and 10 games) are proxies for Gabbett’s 7-day and 28-day windows, constrained by game log data availability</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Cumulative minutes thresholds (1,000 / 1,500 / 2,000) are exploratory segmentation points, not clinically validated fatigue boundaries</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3P% decline may reflect cumulative fatigue, age-related decline, evolving defensive schemes (double teams, athletic wing defenders), or league adaptation — cannot be isolated</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2022-23 load bucket 3 = 4 games — small sample, interpreted cautiously rather than fully excluded</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2022-23 final third = only 6 games — noted but excluded from primary conclusions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2025-26 load bucket 2 (1000-1499 min) = only 3 games — exploratory only, not a reliable pattern</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Opponent quality not accounted for — efficiency not adjusted for defensive rating</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Travel schedule not included — back-to-back situations identified by date proximity only</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Blowout games not yet filtered — Result column retained for future use</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Single player analysis — findings specific to Curry, not generalisable without replication</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Playoff data excluded</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Healthy-worker survivor effect — players managed out on highest load days; game log data underestimates true load</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Post_injury_return used as control variable only</w:t>
      </w:r>
      <w:r w:rsidDel="00000000" w:rsidR="00000000" w:rsidRPr="00000000">
        <w:rPr>
          <w:rtl w:val="0"/>
        </w:rPr>
      </w:r>
    </w:p>
    <w:p w:rsidR="00000000" w:rsidDel="00000000" w:rsidP="00000000" w:rsidRDefault="00000000" w:rsidRPr="00000000" w14:paraId="000001BB">
      <w:pPr>
        <w:spacing w:after="0" w:before="160" w:lineRule="auto"/>
        <w:rPr/>
      </w:pPr>
      <w:r w:rsidDel="00000000" w:rsidR="00000000" w:rsidRPr="00000000">
        <w:rPr>
          <w:rtl w:val="0"/>
        </w:rPr>
      </w:r>
    </w:p>
    <w:p w:rsidR="00000000" w:rsidDel="00000000" w:rsidP="00000000" w:rsidRDefault="00000000" w:rsidRPr="00000000" w14:paraId="000001BC">
      <w:pPr>
        <w:spacing w:after="0" w:before="200" w:lineRule="auto"/>
        <w:rPr/>
      </w:pPr>
      <w:r w:rsidDel="00000000" w:rsidR="00000000" w:rsidRPr="00000000">
        <w:rPr>
          <w:rtl w:val="0"/>
        </w:rPr>
      </w:r>
    </w:p>
    <w:p w:rsidR="00000000" w:rsidDel="00000000" w:rsidP="00000000" w:rsidRDefault="00000000" w:rsidRPr="00000000" w14:paraId="000001BD">
      <w:pPr>
        <w:jc w:val="center"/>
        <w:rPr/>
      </w:pPr>
      <w:r w:rsidDel="00000000" w:rsidR="00000000" w:rsidRPr="00000000">
        <w:rPr>
          <w:rFonts w:ascii="Arial" w:cs="Arial" w:eastAsia="Arial" w:hAnsi="Arial"/>
          <w:i w:val="1"/>
          <w:iCs w:val="1"/>
          <w:color w:val="aaaaaa"/>
          <w:sz w:val="18"/>
          <w:szCs w:val="18"/>
          <w:rtl w:val="0"/>
        </w:rPr>
        <w:t xml:space="preserve">Updated September 2026  ·  Document maintained iteratively throughout project</w:t>
      </w:r>
      <w:r w:rsidDel="00000000" w:rsidR="00000000" w:rsidRPr="00000000">
        <w:rPr>
          <w:rtl w:val="0"/>
        </w:rPr>
      </w:r>
    </w:p>
    <w:sectPr>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rxiv.org/pdf/2603.26935" TargetMode="External"/><Relationship Id="rId10" Type="http://schemas.openxmlformats.org/officeDocument/2006/relationships/hyperlink" Target="https://www.stat.cmu.edu/capstoneresearch/460files_s25/team15.pdf" TargetMode="External"/><Relationship Id="rId9" Type="http://schemas.openxmlformats.org/officeDocument/2006/relationships/hyperlink" Target="https://www.sciencedirect.com/science/article/abs/pii/S074980632400159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o.uow.edu.au/smhpapers/3522" TargetMode="External"/><Relationship Id="rId8" Type="http://schemas.openxmlformats.org/officeDocument/2006/relationships/hyperlink" Target="https://pmc.ncbi.nlm.nih.gov/articles/PMC47897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EofOKCNEoTJQwPGgwrJSfC2td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Z1BkUmNrN20xMUFJRFpxWVU1TEZDNk1RN1NjZEpHW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2026-09-16T14:39:43.775Z</dcterms:created>
  <dc:creator>Un-named</dc:creator>
</cp:coreProperties>
</file>

<file path=docProps/custom.xml><?xml version="1.0" encoding="utf-8"?>
<Properties xmlns="http://schemas.openxmlformats.org/officeDocument/2006/custom-properties" xmlns:vt="http://schemas.openxmlformats.org/officeDocument/2006/docPropsVTypes"/>
</file>