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A4A826" w14:textId="77777777" w:rsidR="00BD5B4D" w:rsidRDefault="00BD4189">
      <w:pPr>
        <w:pBdr>
          <w:bottom w:val="single" w:sz="12" w:space="8" w:color="1F4E5A"/>
        </w:pBdr>
        <w:spacing w:after="60"/>
      </w:pPr>
      <w:r>
        <w:rPr>
          <w:b/>
          <w:bCs/>
          <w:color w:val="1F4E5A"/>
          <w:sz w:val="34"/>
          <w:szCs w:val="34"/>
        </w:rPr>
        <w:t>Excel Control Layer — Specification</w:t>
      </w:r>
    </w:p>
    <w:p w14:paraId="1ED38675" w14:textId="77777777" w:rsidR="00BD5B4D" w:rsidRDefault="00BD4189">
      <w:pPr>
        <w:spacing w:after="300"/>
      </w:pPr>
      <w:r>
        <w:rPr>
          <w:color w:val="666666"/>
          <w:sz w:val="20"/>
          <w:szCs w:val="20"/>
        </w:rPr>
        <w:t xml:space="preserve">Issued to the PowerPoint / VBA </w:t>
      </w:r>
      <w:proofErr w:type="gramStart"/>
      <w:r>
        <w:rPr>
          <w:color w:val="666666"/>
          <w:sz w:val="20"/>
          <w:szCs w:val="20"/>
        </w:rPr>
        <w:t>build  •</w:t>
      </w:r>
      <w:proofErr w:type="gramEnd"/>
      <w:r>
        <w:rPr>
          <w:color w:val="666666"/>
          <w:sz w:val="20"/>
          <w:szCs w:val="20"/>
        </w:rPr>
        <w:t xml:space="preserve">  CRC </w:t>
      </w:r>
      <w:proofErr w:type="gramStart"/>
      <w:r>
        <w:rPr>
          <w:color w:val="666666"/>
          <w:sz w:val="20"/>
          <w:szCs w:val="20"/>
        </w:rPr>
        <w:t>SAAFE  •</w:t>
      </w:r>
      <w:proofErr w:type="gramEnd"/>
      <w:r>
        <w:rPr>
          <w:color w:val="666666"/>
          <w:sz w:val="20"/>
          <w:szCs w:val="20"/>
        </w:rPr>
        <w:t xml:space="preserve">  31 July 2026</w:t>
      </w:r>
    </w:p>
    <w:p w14:paraId="33DA0960" w14:textId="77777777" w:rsidR="00BD5B4D" w:rsidRDefault="00BD4189">
      <w:pPr>
        <w:pStyle w:val="Heading1"/>
        <w:spacing w:before="320" w:after="160"/>
      </w:pPr>
      <w:r>
        <w:t>1. Governing principle</w:t>
      </w:r>
    </w:p>
    <w:p w14:paraId="4EA67DAB" w14:textId="77777777" w:rsidR="00BD5B4D" w:rsidRDefault="00BD4189">
      <w:pPr>
        <w:spacing w:after="120"/>
      </w:pPr>
      <w:r>
        <w:t xml:space="preserve">Excel is the control layer for this tool. It holds the source of truth for every value that appears on a slide, the quarter each value belongs to, and the approval state that determines whether a value may be published. PowerPoint is a rendering surface. It receives content; it does not define </w:t>
      </w:r>
      <w:proofErr w:type="gramStart"/>
      <w:r>
        <w:t>it</w:t>
      </w:r>
      <w:proofErr w:type="gramEnd"/>
      <w:r>
        <w:t xml:space="preserve"> and it does not hold state.</w:t>
      </w:r>
    </w:p>
    <w:p w14:paraId="642FE222" w14:textId="77777777" w:rsidR="00BD5B4D" w:rsidRDefault="00BD4189">
      <w:pPr>
        <w:spacing w:after="120"/>
      </w:pPr>
      <w:r>
        <w:t>Everything in Section 2 is therefore fixed by the Excel side. The VBA layer conforms to it. Where a rule in Section 3 is impractical or wrong, say so with the reason — those are decisions to reopen deliberately, not to work around.</w:t>
      </w:r>
    </w:p>
    <w:p w14:paraId="1C032A77" w14:textId="77777777" w:rsidR="00BD5B4D" w:rsidRDefault="00BD4189">
      <w:pPr>
        <w:pStyle w:val="Heading1"/>
        <w:spacing w:before="320" w:after="160"/>
      </w:pPr>
      <w:r>
        <w:t>2. The contract</w:t>
      </w:r>
    </w:p>
    <w:p w14:paraId="4080D13A" w14:textId="77777777" w:rsidR="00BD5B4D" w:rsidRDefault="00BD4189">
      <w:pPr>
        <w:spacing w:after="120"/>
      </w:pPr>
      <w:r>
        <w:t>The two layers meet at one object only: the field register. No other interface exists between them.</w:t>
      </w:r>
    </w:p>
    <w:p w14:paraId="28E7682D" w14:textId="77777777" w:rsidR="00BD5B4D" w:rsidRDefault="00BD4189">
      <w:pPr>
        <w:pStyle w:val="Heading2"/>
        <w:spacing w:before="240" w:after="120"/>
      </w:pPr>
      <w:r>
        <w:t>2.1 Field register — the table the VBA reads</w:t>
      </w:r>
    </w:p>
    <w:p w14:paraId="50945279" w14:textId="77777777" w:rsidR="00BD5B4D" w:rsidRDefault="00BD4189">
      <w:pPr>
        <w:spacing w:after="120"/>
      </w:pPr>
      <w:r>
        <w:t xml:space="preserve">Long, not wide. One row per Quarter × </w:t>
      </w:r>
      <w:proofErr w:type="spellStart"/>
      <w:r>
        <w:t>EntityCode</w:t>
      </w:r>
      <w:proofErr w:type="spellEnd"/>
      <w:r>
        <w:t xml:space="preserve"> × </w:t>
      </w:r>
      <w:proofErr w:type="spellStart"/>
      <w:r>
        <w:t>FieldID</w:t>
      </w:r>
      <w:proofErr w:type="spellEnd"/>
      <w:r>
        <w:t>. Adding a field adds rows, never columns, so the schema stays fixed as the deck grows.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46"/>
        <w:gridCol w:w="1672"/>
        <w:gridCol w:w="6142"/>
      </w:tblGrid>
      <w:tr w:rsidR="00BD5B4D" w14:paraId="7D30315B" w14:textId="77777777">
        <w:tblPrEx>
          <w:tblCellMar>
            <w:top w:w="0" w:type="dxa"/>
            <w:bottom w:w="0" w:type="dxa"/>
          </w:tblCellMar>
        </w:tblPrEx>
        <w:trPr>
          <w:tblHeader/>
        </w:trPr>
        <w:tc>
          <w:tcPr>
            <w:tcW w:w="1550" w:type="dxa"/>
            <w:shd w:val="clear" w:color="auto" w:fill="1F4E5A"/>
            <w:tcMar>
              <w:top w:w="80" w:type="dxa"/>
              <w:left w:w="110" w:type="dxa"/>
              <w:bottom w:w="80" w:type="dxa"/>
              <w:right w:w="110" w:type="dxa"/>
            </w:tcMar>
          </w:tcPr>
          <w:p w14:paraId="652CDAC6" w14:textId="77777777" w:rsidR="00BD5B4D" w:rsidRDefault="00BD4189">
            <w:r>
              <w:rPr>
                <w:b/>
                <w:bCs/>
                <w:color w:val="FFFFFF"/>
                <w:sz w:val="19"/>
                <w:szCs w:val="19"/>
              </w:rPr>
              <w:t>Column</w:t>
            </w:r>
          </w:p>
        </w:tc>
        <w:tc>
          <w:tcPr>
            <w:tcW w:w="1600" w:type="dxa"/>
            <w:shd w:val="clear" w:color="auto" w:fill="1F4E5A"/>
            <w:tcMar>
              <w:top w:w="80" w:type="dxa"/>
              <w:left w:w="110" w:type="dxa"/>
              <w:bottom w:w="80" w:type="dxa"/>
              <w:right w:w="110" w:type="dxa"/>
            </w:tcMar>
          </w:tcPr>
          <w:p w14:paraId="04D1D093" w14:textId="77777777" w:rsidR="00BD5B4D" w:rsidRDefault="00BD4189">
            <w:r>
              <w:rPr>
                <w:b/>
                <w:bCs/>
                <w:color w:val="FFFFFF"/>
                <w:sz w:val="19"/>
                <w:szCs w:val="19"/>
              </w:rPr>
              <w:t>Example</w:t>
            </w:r>
          </w:p>
        </w:tc>
        <w:tc>
          <w:tcPr>
            <w:tcW w:w="6210" w:type="dxa"/>
            <w:shd w:val="clear" w:color="auto" w:fill="1F4E5A"/>
            <w:tcMar>
              <w:top w:w="80" w:type="dxa"/>
              <w:left w:w="110" w:type="dxa"/>
              <w:bottom w:w="80" w:type="dxa"/>
              <w:right w:w="110" w:type="dxa"/>
            </w:tcMar>
          </w:tcPr>
          <w:p w14:paraId="003B4770" w14:textId="77777777" w:rsidR="00BD5B4D" w:rsidRDefault="00BD4189">
            <w:r>
              <w:rPr>
                <w:b/>
                <w:bCs/>
                <w:color w:val="FFFFFF"/>
                <w:sz w:val="19"/>
                <w:szCs w:val="19"/>
              </w:rPr>
              <w:t>Definition</w:t>
            </w:r>
          </w:p>
        </w:tc>
      </w:tr>
      <w:tr w:rsidR="00BD5B4D" w14:paraId="45E15282" w14:textId="77777777">
        <w:tblPrEx>
          <w:tblCellMar>
            <w:top w:w="0" w:type="dxa"/>
            <w:bottom w:w="0" w:type="dxa"/>
          </w:tblCellMar>
        </w:tblPrEx>
        <w:tc>
          <w:tcPr>
            <w:tcW w:w="1550" w:type="dxa"/>
            <w:tcMar>
              <w:top w:w="80" w:type="dxa"/>
              <w:left w:w="110" w:type="dxa"/>
              <w:bottom w:w="80" w:type="dxa"/>
              <w:right w:w="110" w:type="dxa"/>
            </w:tcMar>
          </w:tcPr>
          <w:p w14:paraId="3CE26D91" w14:textId="77777777" w:rsidR="00BD5B4D" w:rsidRDefault="00BD4189">
            <w:r>
              <w:rPr>
                <w:sz w:val="19"/>
                <w:szCs w:val="19"/>
              </w:rPr>
              <w:t>Quarter</w:t>
            </w:r>
          </w:p>
        </w:tc>
        <w:tc>
          <w:tcPr>
            <w:tcW w:w="1600" w:type="dxa"/>
            <w:tcMar>
              <w:top w:w="80" w:type="dxa"/>
              <w:left w:w="110" w:type="dxa"/>
              <w:bottom w:w="80" w:type="dxa"/>
              <w:right w:w="110" w:type="dxa"/>
            </w:tcMar>
          </w:tcPr>
          <w:p w14:paraId="55921F21" w14:textId="77777777" w:rsidR="00BD5B4D" w:rsidRDefault="00BD4189">
            <w:r>
              <w:rPr>
                <w:sz w:val="19"/>
                <w:szCs w:val="19"/>
              </w:rPr>
              <w:t>Q4 FY26</w:t>
            </w:r>
          </w:p>
        </w:tc>
        <w:tc>
          <w:tcPr>
            <w:tcW w:w="6210" w:type="dxa"/>
            <w:tcMar>
              <w:top w:w="80" w:type="dxa"/>
              <w:left w:w="110" w:type="dxa"/>
              <w:bottom w:w="80" w:type="dxa"/>
              <w:right w:w="110" w:type="dxa"/>
            </w:tcMar>
          </w:tcPr>
          <w:p w14:paraId="61C10B74" w14:textId="77777777" w:rsidR="00BD5B4D" w:rsidRDefault="00BD4189">
            <w:r>
              <w:rPr>
                <w:sz w:val="19"/>
                <w:szCs w:val="19"/>
              </w:rPr>
              <w:t>Snapshot key. Published rows are never overwritten; a new quarter adds rows.</w:t>
            </w:r>
          </w:p>
        </w:tc>
      </w:tr>
      <w:tr w:rsidR="00BD5B4D" w14:paraId="521B7C5A" w14:textId="77777777">
        <w:tblPrEx>
          <w:tblCellMar>
            <w:top w:w="0" w:type="dxa"/>
            <w:bottom w:w="0" w:type="dxa"/>
          </w:tblCellMar>
        </w:tblPrEx>
        <w:tc>
          <w:tcPr>
            <w:tcW w:w="1550" w:type="dxa"/>
            <w:tcMar>
              <w:top w:w="80" w:type="dxa"/>
              <w:left w:w="110" w:type="dxa"/>
              <w:bottom w:w="80" w:type="dxa"/>
              <w:right w:w="110" w:type="dxa"/>
            </w:tcMar>
          </w:tcPr>
          <w:p w14:paraId="7027183F" w14:textId="77777777" w:rsidR="00BD5B4D" w:rsidRDefault="00BD4189">
            <w:proofErr w:type="spellStart"/>
            <w:r>
              <w:rPr>
                <w:sz w:val="19"/>
                <w:szCs w:val="19"/>
              </w:rPr>
              <w:t>EntityCode</w:t>
            </w:r>
            <w:proofErr w:type="spellEnd"/>
          </w:p>
        </w:tc>
        <w:tc>
          <w:tcPr>
            <w:tcW w:w="1600" w:type="dxa"/>
            <w:tcMar>
              <w:top w:w="80" w:type="dxa"/>
              <w:left w:w="110" w:type="dxa"/>
              <w:bottom w:w="80" w:type="dxa"/>
              <w:right w:w="110" w:type="dxa"/>
            </w:tcMar>
          </w:tcPr>
          <w:p w14:paraId="26DA0C9E" w14:textId="77777777" w:rsidR="00BD5B4D" w:rsidRDefault="00BD4189">
            <w:r>
              <w:rPr>
                <w:sz w:val="19"/>
                <w:szCs w:val="19"/>
              </w:rPr>
              <w:t>P004</w:t>
            </w:r>
          </w:p>
        </w:tc>
        <w:tc>
          <w:tcPr>
            <w:tcW w:w="6210" w:type="dxa"/>
            <w:tcMar>
              <w:top w:w="80" w:type="dxa"/>
              <w:left w:w="110" w:type="dxa"/>
              <w:bottom w:w="80" w:type="dxa"/>
              <w:right w:w="110" w:type="dxa"/>
            </w:tcMar>
          </w:tcPr>
          <w:p w14:paraId="1622DA40" w14:textId="77777777" w:rsidR="00BD5B4D" w:rsidRDefault="00BD4189">
            <w:r>
              <w:rPr>
                <w:sz w:val="19"/>
                <w:szCs w:val="19"/>
              </w:rPr>
              <w:t>P-code, S-code, K-code or Output ID — the thing the slide is about.</w:t>
            </w:r>
          </w:p>
        </w:tc>
      </w:tr>
      <w:tr w:rsidR="00BD5B4D" w14:paraId="7B0FC3B3" w14:textId="77777777">
        <w:tblPrEx>
          <w:tblCellMar>
            <w:top w:w="0" w:type="dxa"/>
            <w:bottom w:w="0" w:type="dxa"/>
          </w:tblCellMar>
        </w:tblPrEx>
        <w:tc>
          <w:tcPr>
            <w:tcW w:w="1550" w:type="dxa"/>
            <w:tcMar>
              <w:top w:w="80" w:type="dxa"/>
              <w:left w:w="110" w:type="dxa"/>
              <w:bottom w:w="80" w:type="dxa"/>
              <w:right w:w="110" w:type="dxa"/>
            </w:tcMar>
          </w:tcPr>
          <w:p w14:paraId="037E5DE5" w14:textId="77777777" w:rsidR="00BD5B4D" w:rsidRDefault="00BD4189">
            <w:proofErr w:type="spellStart"/>
            <w:r>
              <w:rPr>
                <w:sz w:val="19"/>
                <w:szCs w:val="19"/>
              </w:rPr>
              <w:t>SlideID</w:t>
            </w:r>
            <w:proofErr w:type="spellEnd"/>
          </w:p>
        </w:tc>
        <w:tc>
          <w:tcPr>
            <w:tcW w:w="1600" w:type="dxa"/>
            <w:tcMar>
              <w:top w:w="80" w:type="dxa"/>
              <w:left w:w="110" w:type="dxa"/>
              <w:bottom w:w="80" w:type="dxa"/>
              <w:right w:w="110" w:type="dxa"/>
            </w:tcMar>
          </w:tcPr>
          <w:p w14:paraId="21E4BB76" w14:textId="77777777" w:rsidR="00BD5B4D" w:rsidRDefault="00BD4189">
            <w:r>
              <w:rPr>
                <w:sz w:val="19"/>
                <w:szCs w:val="19"/>
              </w:rPr>
              <w:t>RP1-OUT03</w:t>
            </w:r>
          </w:p>
        </w:tc>
        <w:tc>
          <w:tcPr>
            <w:tcW w:w="6210" w:type="dxa"/>
            <w:tcMar>
              <w:top w:w="80" w:type="dxa"/>
              <w:left w:w="110" w:type="dxa"/>
              <w:bottom w:w="80" w:type="dxa"/>
              <w:right w:w="110" w:type="dxa"/>
            </w:tcMar>
          </w:tcPr>
          <w:p w14:paraId="5EF86A38" w14:textId="77777777" w:rsidR="00BD5B4D" w:rsidRDefault="00BD4189">
            <w:r>
              <w:rPr>
                <w:sz w:val="19"/>
                <w:szCs w:val="19"/>
              </w:rPr>
              <w:t>Which slide the field lands on.</w:t>
            </w:r>
          </w:p>
        </w:tc>
      </w:tr>
      <w:tr w:rsidR="00BD5B4D" w14:paraId="19B1124E" w14:textId="77777777">
        <w:tblPrEx>
          <w:tblCellMar>
            <w:top w:w="0" w:type="dxa"/>
            <w:bottom w:w="0" w:type="dxa"/>
          </w:tblCellMar>
        </w:tblPrEx>
        <w:tc>
          <w:tcPr>
            <w:tcW w:w="1550" w:type="dxa"/>
            <w:tcMar>
              <w:top w:w="80" w:type="dxa"/>
              <w:left w:w="110" w:type="dxa"/>
              <w:bottom w:w="80" w:type="dxa"/>
              <w:right w:w="110" w:type="dxa"/>
            </w:tcMar>
          </w:tcPr>
          <w:p w14:paraId="26D3B6AB" w14:textId="77777777" w:rsidR="00BD5B4D" w:rsidRDefault="00BD4189">
            <w:proofErr w:type="spellStart"/>
            <w:r>
              <w:rPr>
                <w:sz w:val="19"/>
                <w:szCs w:val="19"/>
              </w:rPr>
              <w:t>ShapeName</w:t>
            </w:r>
            <w:proofErr w:type="spellEnd"/>
          </w:p>
        </w:tc>
        <w:tc>
          <w:tcPr>
            <w:tcW w:w="1600" w:type="dxa"/>
            <w:tcMar>
              <w:top w:w="80" w:type="dxa"/>
              <w:left w:w="110" w:type="dxa"/>
              <w:bottom w:w="80" w:type="dxa"/>
              <w:right w:w="110" w:type="dxa"/>
            </w:tcMar>
          </w:tcPr>
          <w:p w14:paraId="231395B7" w14:textId="77777777" w:rsidR="00BD5B4D" w:rsidRDefault="00BD4189">
            <w:proofErr w:type="spellStart"/>
            <w:r>
              <w:rPr>
                <w:sz w:val="19"/>
                <w:szCs w:val="19"/>
              </w:rPr>
              <w:t>txt_Progress_Body</w:t>
            </w:r>
            <w:proofErr w:type="spellEnd"/>
          </w:p>
        </w:tc>
        <w:tc>
          <w:tcPr>
            <w:tcW w:w="6210" w:type="dxa"/>
            <w:tcMar>
              <w:top w:w="80" w:type="dxa"/>
              <w:left w:w="110" w:type="dxa"/>
              <w:bottom w:w="80" w:type="dxa"/>
              <w:right w:w="110" w:type="dxa"/>
            </w:tcMar>
          </w:tcPr>
          <w:p w14:paraId="41634DEB" w14:textId="77777777" w:rsidR="00BD5B4D" w:rsidRDefault="00BD4189">
            <w:r>
              <w:rPr>
                <w:sz w:val="19"/>
                <w:szCs w:val="19"/>
              </w:rPr>
              <w:t>Exact PowerPoint shape name. The sole join key between the two layers.</w:t>
            </w:r>
          </w:p>
        </w:tc>
      </w:tr>
      <w:tr w:rsidR="00BD5B4D" w14:paraId="12943AA3" w14:textId="77777777">
        <w:tblPrEx>
          <w:tblCellMar>
            <w:top w:w="0" w:type="dxa"/>
            <w:bottom w:w="0" w:type="dxa"/>
          </w:tblCellMar>
        </w:tblPrEx>
        <w:tc>
          <w:tcPr>
            <w:tcW w:w="1550" w:type="dxa"/>
            <w:tcMar>
              <w:top w:w="80" w:type="dxa"/>
              <w:left w:w="110" w:type="dxa"/>
              <w:bottom w:w="80" w:type="dxa"/>
              <w:right w:w="110" w:type="dxa"/>
            </w:tcMar>
          </w:tcPr>
          <w:p w14:paraId="3917FD53" w14:textId="77777777" w:rsidR="00BD5B4D" w:rsidRDefault="00BD4189">
            <w:proofErr w:type="spellStart"/>
            <w:r>
              <w:rPr>
                <w:sz w:val="19"/>
                <w:szCs w:val="19"/>
              </w:rPr>
              <w:t>FieldID</w:t>
            </w:r>
            <w:proofErr w:type="spellEnd"/>
          </w:p>
        </w:tc>
        <w:tc>
          <w:tcPr>
            <w:tcW w:w="1600" w:type="dxa"/>
            <w:tcMar>
              <w:top w:w="80" w:type="dxa"/>
              <w:left w:w="110" w:type="dxa"/>
              <w:bottom w:w="80" w:type="dxa"/>
              <w:right w:w="110" w:type="dxa"/>
            </w:tcMar>
          </w:tcPr>
          <w:p w14:paraId="685E1B76" w14:textId="77777777" w:rsidR="00BD5B4D" w:rsidRDefault="00BD4189">
            <w:r>
              <w:rPr>
                <w:sz w:val="19"/>
                <w:szCs w:val="19"/>
              </w:rPr>
              <w:t>PROGRESS_BODY</w:t>
            </w:r>
          </w:p>
        </w:tc>
        <w:tc>
          <w:tcPr>
            <w:tcW w:w="6210" w:type="dxa"/>
            <w:tcMar>
              <w:top w:w="80" w:type="dxa"/>
              <w:left w:w="110" w:type="dxa"/>
              <w:bottom w:w="80" w:type="dxa"/>
              <w:right w:w="110" w:type="dxa"/>
            </w:tcMar>
          </w:tcPr>
          <w:p w14:paraId="7D50748D" w14:textId="77777777" w:rsidR="00BD5B4D" w:rsidRDefault="00BD4189">
            <w:r>
              <w:rPr>
                <w:sz w:val="19"/>
                <w:szCs w:val="19"/>
              </w:rPr>
              <w:t>Stable identifier, independent of where the shape currently sits.</w:t>
            </w:r>
          </w:p>
        </w:tc>
      </w:tr>
      <w:tr w:rsidR="00BD5B4D" w14:paraId="584302C1" w14:textId="77777777">
        <w:tblPrEx>
          <w:tblCellMar>
            <w:top w:w="0" w:type="dxa"/>
            <w:bottom w:w="0" w:type="dxa"/>
          </w:tblCellMar>
        </w:tblPrEx>
        <w:tc>
          <w:tcPr>
            <w:tcW w:w="1550" w:type="dxa"/>
            <w:tcMar>
              <w:top w:w="80" w:type="dxa"/>
              <w:left w:w="110" w:type="dxa"/>
              <w:bottom w:w="80" w:type="dxa"/>
              <w:right w:w="110" w:type="dxa"/>
            </w:tcMar>
          </w:tcPr>
          <w:p w14:paraId="5B9A4AF7" w14:textId="77777777" w:rsidR="00BD5B4D" w:rsidRDefault="00BD4189">
            <w:proofErr w:type="spellStart"/>
            <w:r>
              <w:rPr>
                <w:sz w:val="19"/>
                <w:szCs w:val="19"/>
              </w:rPr>
              <w:t>FieldType</w:t>
            </w:r>
            <w:proofErr w:type="spellEnd"/>
          </w:p>
        </w:tc>
        <w:tc>
          <w:tcPr>
            <w:tcW w:w="1600" w:type="dxa"/>
            <w:tcMar>
              <w:top w:w="80" w:type="dxa"/>
              <w:left w:w="110" w:type="dxa"/>
              <w:bottom w:w="80" w:type="dxa"/>
              <w:right w:w="110" w:type="dxa"/>
            </w:tcMar>
          </w:tcPr>
          <w:p w14:paraId="493AD812" w14:textId="77777777" w:rsidR="00BD5B4D" w:rsidRDefault="00BD4189">
            <w:r>
              <w:rPr>
                <w:sz w:val="19"/>
                <w:szCs w:val="19"/>
              </w:rPr>
              <w:t>Text</w:t>
            </w:r>
          </w:p>
        </w:tc>
        <w:tc>
          <w:tcPr>
            <w:tcW w:w="6210" w:type="dxa"/>
            <w:tcMar>
              <w:top w:w="80" w:type="dxa"/>
              <w:left w:w="110" w:type="dxa"/>
              <w:bottom w:w="80" w:type="dxa"/>
              <w:right w:w="110" w:type="dxa"/>
            </w:tcMar>
          </w:tcPr>
          <w:p w14:paraId="71800B6B" w14:textId="77777777" w:rsidR="00BD5B4D" w:rsidRDefault="00BD4189">
            <w:r>
              <w:rPr>
                <w:sz w:val="19"/>
                <w:szCs w:val="19"/>
              </w:rPr>
              <w:t>Text / Picture / Shape / Table / Chart. Selects the injection routine.</w:t>
            </w:r>
          </w:p>
        </w:tc>
      </w:tr>
      <w:tr w:rsidR="00BD5B4D" w14:paraId="2491D016" w14:textId="77777777">
        <w:tblPrEx>
          <w:tblCellMar>
            <w:top w:w="0" w:type="dxa"/>
            <w:bottom w:w="0" w:type="dxa"/>
          </w:tblCellMar>
        </w:tblPrEx>
        <w:tc>
          <w:tcPr>
            <w:tcW w:w="1550" w:type="dxa"/>
            <w:tcMar>
              <w:top w:w="80" w:type="dxa"/>
              <w:left w:w="110" w:type="dxa"/>
              <w:bottom w:w="80" w:type="dxa"/>
              <w:right w:w="110" w:type="dxa"/>
            </w:tcMar>
          </w:tcPr>
          <w:p w14:paraId="1DCD7BC2" w14:textId="77777777" w:rsidR="00BD5B4D" w:rsidRDefault="00BD4189">
            <w:r>
              <w:rPr>
                <w:sz w:val="19"/>
                <w:szCs w:val="19"/>
              </w:rPr>
              <w:t>Value</w:t>
            </w:r>
          </w:p>
        </w:tc>
        <w:tc>
          <w:tcPr>
            <w:tcW w:w="1600" w:type="dxa"/>
            <w:tcMar>
              <w:top w:w="80" w:type="dxa"/>
              <w:left w:w="110" w:type="dxa"/>
              <w:bottom w:w="80" w:type="dxa"/>
              <w:right w:w="110" w:type="dxa"/>
            </w:tcMar>
          </w:tcPr>
          <w:p w14:paraId="6F118C8D" w14:textId="77777777" w:rsidR="00BD5B4D" w:rsidRDefault="00BD4189">
            <w:r>
              <w:rPr>
                <w:sz w:val="19"/>
                <w:szCs w:val="19"/>
              </w:rPr>
              <w:t>(prose)</w:t>
            </w:r>
          </w:p>
        </w:tc>
        <w:tc>
          <w:tcPr>
            <w:tcW w:w="6210" w:type="dxa"/>
            <w:tcMar>
              <w:top w:w="80" w:type="dxa"/>
              <w:left w:w="110" w:type="dxa"/>
              <w:bottom w:w="80" w:type="dxa"/>
              <w:right w:w="110" w:type="dxa"/>
            </w:tcMar>
          </w:tcPr>
          <w:p w14:paraId="0F49FD94" w14:textId="77777777" w:rsidR="00BD5B4D" w:rsidRDefault="00BD4189">
            <w:r>
              <w:rPr>
                <w:sz w:val="19"/>
                <w:szCs w:val="19"/>
              </w:rPr>
              <w:t>The literal string to inject. Values only — never a formula.</w:t>
            </w:r>
          </w:p>
        </w:tc>
      </w:tr>
      <w:tr w:rsidR="00BD5B4D" w14:paraId="5F7AFC18" w14:textId="77777777">
        <w:tblPrEx>
          <w:tblCellMar>
            <w:top w:w="0" w:type="dxa"/>
            <w:bottom w:w="0" w:type="dxa"/>
          </w:tblCellMar>
        </w:tblPrEx>
        <w:tc>
          <w:tcPr>
            <w:tcW w:w="1550" w:type="dxa"/>
            <w:tcMar>
              <w:top w:w="80" w:type="dxa"/>
              <w:left w:w="110" w:type="dxa"/>
              <w:bottom w:w="80" w:type="dxa"/>
              <w:right w:w="110" w:type="dxa"/>
            </w:tcMar>
          </w:tcPr>
          <w:p w14:paraId="08E8B41D" w14:textId="77777777" w:rsidR="00BD5B4D" w:rsidRDefault="00BD4189">
            <w:proofErr w:type="spellStart"/>
            <w:r>
              <w:rPr>
                <w:sz w:val="19"/>
                <w:szCs w:val="19"/>
              </w:rPr>
              <w:t>CharCount</w:t>
            </w:r>
            <w:proofErr w:type="spellEnd"/>
          </w:p>
        </w:tc>
        <w:tc>
          <w:tcPr>
            <w:tcW w:w="1600" w:type="dxa"/>
            <w:tcMar>
              <w:top w:w="80" w:type="dxa"/>
              <w:left w:w="110" w:type="dxa"/>
              <w:bottom w:w="80" w:type="dxa"/>
              <w:right w:w="110" w:type="dxa"/>
            </w:tcMar>
          </w:tcPr>
          <w:p w14:paraId="62526106" w14:textId="77777777" w:rsidR="00BD5B4D" w:rsidRDefault="00BD4189">
            <w:r>
              <w:rPr>
                <w:sz w:val="19"/>
                <w:szCs w:val="19"/>
              </w:rPr>
              <w:t>412</w:t>
            </w:r>
          </w:p>
        </w:tc>
        <w:tc>
          <w:tcPr>
            <w:tcW w:w="6210" w:type="dxa"/>
            <w:tcMar>
              <w:top w:w="80" w:type="dxa"/>
              <w:left w:w="110" w:type="dxa"/>
              <w:bottom w:w="80" w:type="dxa"/>
              <w:right w:w="110" w:type="dxa"/>
            </w:tcMar>
          </w:tcPr>
          <w:p w14:paraId="0D610EA1" w14:textId="77777777" w:rsidR="00BD5B4D" w:rsidRDefault="00BD4189">
            <w:r>
              <w:rPr>
                <w:sz w:val="19"/>
                <w:szCs w:val="19"/>
              </w:rPr>
              <w:t>Calculated on publish; polices drift against prior quarters.</w:t>
            </w:r>
          </w:p>
        </w:tc>
      </w:tr>
      <w:tr w:rsidR="00BD5B4D" w14:paraId="2E3B49A6" w14:textId="77777777">
        <w:tblPrEx>
          <w:tblCellMar>
            <w:top w:w="0" w:type="dxa"/>
            <w:bottom w:w="0" w:type="dxa"/>
          </w:tblCellMar>
        </w:tblPrEx>
        <w:tc>
          <w:tcPr>
            <w:tcW w:w="1550" w:type="dxa"/>
            <w:tcMar>
              <w:top w:w="80" w:type="dxa"/>
              <w:left w:w="110" w:type="dxa"/>
              <w:bottom w:w="80" w:type="dxa"/>
              <w:right w:w="110" w:type="dxa"/>
            </w:tcMar>
          </w:tcPr>
          <w:p w14:paraId="0C261B1C" w14:textId="77777777" w:rsidR="00BD5B4D" w:rsidRDefault="00BD4189">
            <w:r>
              <w:rPr>
                <w:sz w:val="19"/>
                <w:szCs w:val="19"/>
              </w:rPr>
              <w:t>Status</w:t>
            </w:r>
          </w:p>
        </w:tc>
        <w:tc>
          <w:tcPr>
            <w:tcW w:w="1600" w:type="dxa"/>
            <w:tcMar>
              <w:top w:w="80" w:type="dxa"/>
              <w:left w:w="110" w:type="dxa"/>
              <w:bottom w:w="80" w:type="dxa"/>
              <w:right w:w="110" w:type="dxa"/>
            </w:tcMar>
          </w:tcPr>
          <w:p w14:paraId="2CEAB459" w14:textId="77777777" w:rsidR="00BD5B4D" w:rsidRDefault="00BD4189">
            <w:r>
              <w:rPr>
                <w:sz w:val="19"/>
                <w:szCs w:val="19"/>
              </w:rPr>
              <w:t>Approved</w:t>
            </w:r>
          </w:p>
        </w:tc>
        <w:tc>
          <w:tcPr>
            <w:tcW w:w="6210" w:type="dxa"/>
            <w:tcMar>
              <w:top w:w="80" w:type="dxa"/>
              <w:left w:w="110" w:type="dxa"/>
              <w:bottom w:w="80" w:type="dxa"/>
              <w:right w:w="110" w:type="dxa"/>
            </w:tcMar>
          </w:tcPr>
          <w:p w14:paraId="4315967E" w14:textId="77777777" w:rsidR="00BD5B4D" w:rsidRDefault="00BD4189">
            <w:r>
              <w:rPr>
                <w:sz w:val="19"/>
                <w:szCs w:val="19"/>
              </w:rPr>
              <w:t>Draft / Reviewed / Approved. Only Approved rows are eligible for injection.</w:t>
            </w:r>
          </w:p>
        </w:tc>
      </w:tr>
      <w:tr w:rsidR="00BD5B4D" w14:paraId="77708BD6" w14:textId="77777777">
        <w:tblPrEx>
          <w:tblCellMar>
            <w:top w:w="0" w:type="dxa"/>
            <w:bottom w:w="0" w:type="dxa"/>
          </w:tblCellMar>
        </w:tblPrEx>
        <w:tc>
          <w:tcPr>
            <w:tcW w:w="1550" w:type="dxa"/>
            <w:tcMar>
              <w:top w:w="80" w:type="dxa"/>
              <w:left w:w="110" w:type="dxa"/>
              <w:bottom w:w="80" w:type="dxa"/>
              <w:right w:w="110" w:type="dxa"/>
            </w:tcMar>
          </w:tcPr>
          <w:p w14:paraId="33853208" w14:textId="77777777" w:rsidR="00BD5B4D" w:rsidRDefault="00BD4189">
            <w:proofErr w:type="spellStart"/>
            <w:r>
              <w:rPr>
                <w:sz w:val="19"/>
                <w:szCs w:val="19"/>
              </w:rPr>
              <w:t>UpdatedDate</w:t>
            </w:r>
            <w:proofErr w:type="spellEnd"/>
          </w:p>
        </w:tc>
        <w:tc>
          <w:tcPr>
            <w:tcW w:w="1600" w:type="dxa"/>
            <w:tcMar>
              <w:top w:w="80" w:type="dxa"/>
              <w:left w:w="110" w:type="dxa"/>
              <w:bottom w:w="80" w:type="dxa"/>
              <w:right w:w="110" w:type="dxa"/>
            </w:tcMar>
          </w:tcPr>
          <w:p w14:paraId="17DD36C0" w14:textId="77777777" w:rsidR="00BD5B4D" w:rsidRDefault="00BD4189">
            <w:r>
              <w:rPr>
                <w:sz w:val="19"/>
                <w:szCs w:val="19"/>
              </w:rPr>
              <w:t>2026-07-31</w:t>
            </w:r>
          </w:p>
        </w:tc>
        <w:tc>
          <w:tcPr>
            <w:tcW w:w="6210" w:type="dxa"/>
            <w:tcMar>
              <w:top w:w="80" w:type="dxa"/>
              <w:left w:w="110" w:type="dxa"/>
              <w:bottom w:w="80" w:type="dxa"/>
              <w:right w:w="110" w:type="dxa"/>
            </w:tcMar>
          </w:tcPr>
          <w:p w14:paraId="1C8A0F10" w14:textId="77777777" w:rsidR="00BD5B4D" w:rsidRDefault="00BD4189">
            <w:r>
              <w:rPr>
                <w:sz w:val="19"/>
                <w:szCs w:val="19"/>
              </w:rPr>
              <w:t>Audit stamp.</w:t>
            </w:r>
          </w:p>
        </w:tc>
      </w:tr>
    </w:tbl>
    <w:p w14:paraId="33B18555" w14:textId="77777777" w:rsidR="00BD5B4D" w:rsidRDefault="00BD4189">
      <w:pPr>
        <w:spacing w:after="120"/>
      </w:pPr>
      <w:r>
        <w:t xml:space="preserve"> </w:t>
      </w:r>
    </w:p>
    <w:p w14:paraId="3C54D9A2" w14:textId="77777777" w:rsidR="00BD5B4D" w:rsidRDefault="00BD4189">
      <w:pPr>
        <w:pStyle w:val="Heading2"/>
        <w:spacing w:before="240" w:after="120"/>
      </w:pPr>
      <w:r>
        <w:t>2.2 Field Spec sheet — the static contract</w:t>
      </w:r>
    </w:p>
    <w:p w14:paraId="1E2DE7D5" w14:textId="77777777" w:rsidR="00BD5B4D" w:rsidRDefault="00BD4189">
      <w:pPr>
        <w:spacing w:after="120"/>
      </w:pPr>
      <w:r>
        <w:t xml:space="preserve">One row per </w:t>
      </w:r>
      <w:proofErr w:type="spellStart"/>
      <w:r>
        <w:t>FieldID</w:t>
      </w:r>
      <w:proofErr w:type="spellEnd"/>
      <w:r>
        <w:t>, written once and revised rarely: what the field is, its purpose on the slide, its type, its target length derived from the previous two quarters, tone notes, and whether it is static or changes quarterly. This governs content quality and is the mechanism that holds each new quarter to the style, detail and length of the last. The VBA layer does not read it.</w:t>
      </w:r>
    </w:p>
    <w:p w14:paraId="622390E5" w14:textId="77777777" w:rsidR="00BD5B4D" w:rsidRDefault="00BD4189">
      <w:pPr>
        <w:pStyle w:val="Heading2"/>
        <w:spacing w:before="240" w:after="120"/>
      </w:pPr>
      <w:r>
        <w:t>2.3 Copilot template worksheets — the working surface</w:t>
      </w:r>
    </w:p>
    <w:p w14:paraId="097A9C14" w14:textId="77777777" w:rsidR="00BD5B4D" w:rsidRDefault="00BD4189">
      <w:pPr>
        <w:spacing w:after="120"/>
      </w:pPr>
      <w:r>
        <w:lastRenderedPageBreak/>
        <w:t>One field per row, laid out left to right in the order a person reads. Copilot performs markedly better rewriting against a visible exemplar than generating cold, so the previous quarter's actual value sits immediately beside the drafting cell.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72"/>
        <w:gridCol w:w="1433"/>
        <w:gridCol w:w="1628"/>
        <w:gridCol w:w="1281"/>
        <w:gridCol w:w="1765"/>
        <w:gridCol w:w="1681"/>
      </w:tblGrid>
      <w:tr w:rsidR="00BD5B4D" w14:paraId="06F4A04E" w14:textId="77777777">
        <w:tblPrEx>
          <w:tblCellMar>
            <w:top w:w="0" w:type="dxa"/>
            <w:bottom w:w="0" w:type="dxa"/>
          </w:tblCellMar>
        </w:tblPrEx>
        <w:trPr>
          <w:tblHeader/>
        </w:trPr>
        <w:tc>
          <w:tcPr>
            <w:tcW w:w="1450" w:type="dxa"/>
            <w:shd w:val="clear" w:color="auto" w:fill="1F4E5A"/>
            <w:tcMar>
              <w:top w:w="80" w:type="dxa"/>
              <w:left w:w="110" w:type="dxa"/>
              <w:bottom w:w="80" w:type="dxa"/>
              <w:right w:w="110" w:type="dxa"/>
            </w:tcMar>
          </w:tcPr>
          <w:p w14:paraId="3FC25A8C" w14:textId="77777777" w:rsidR="00BD5B4D" w:rsidRDefault="00BD4189">
            <w:proofErr w:type="spellStart"/>
            <w:r>
              <w:rPr>
                <w:b/>
                <w:bCs/>
                <w:color w:val="FFFFFF"/>
                <w:sz w:val="19"/>
                <w:szCs w:val="19"/>
              </w:rPr>
              <w:t>FieldID</w:t>
            </w:r>
            <w:proofErr w:type="spellEnd"/>
          </w:p>
        </w:tc>
        <w:tc>
          <w:tcPr>
            <w:tcW w:w="1450" w:type="dxa"/>
            <w:shd w:val="clear" w:color="auto" w:fill="1F4E5A"/>
            <w:tcMar>
              <w:top w:w="80" w:type="dxa"/>
              <w:left w:w="110" w:type="dxa"/>
              <w:bottom w:w="80" w:type="dxa"/>
              <w:right w:w="110" w:type="dxa"/>
            </w:tcMar>
          </w:tcPr>
          <w:p w14:paraId="1E1877F1" w14:textId="77777777" w:rsidR="00BD5B4D" w:rsidRDefault="00BD4189">
            <w:r>
              <w:rPr>
                <w:b/>
                <w:bCs/>
                <w:color w:val="FFFFFF"/>
                <w:sz w:val="19"/>
                <w:szCs w:val="19"/>
              </w:rPr>
              <w:t>What this field is</w:t>
            </w:r>
          </w:p>
        </w:tc>
        <w:tc>
          <w:tcPr>
            <w:tcW w:w="1650" w:type="dxa"/>
            <w:shd w:val="clear" w:color="auto" w:fill="1F4E5A"/>
            <w:tcMar>
              <w:top w:w="80" w:type="dxa"/>
              <w:left w:w="110" w:type="dxa"/>
              <w:bottom w:w="80" w:type="dxa"/>
              <w:right w:w="110" w:type="dxa"/>
            </w:tcMar>
          </w:tcPr>
          <w:p w14:paraId="2BBE0C2E" w14:textId="77777777" w:rsidR="00BD5B4D" w:rsidRDefault="00BD4189">
            <w:r>
              <w:rPr>
                <w:b/>
                <w:bCs/>
                <w:color w:val="FFFFFF"/>
                <w:sz w:val="19"/>
                <w:szCs w:val="19"/>
              </w:rPr>
              <w:t>Last quarter's value</w:t>
            </w:r>
          </w:p>
        </w:tc>
        <w:tc>
          <w:tcPr>
            <w:tcW w:w="1300" w:type="dxa"/>
            <w:shd w:val="clear" w:color="auto" w:fill="1F4E5A"/>
            <w:tcMar>
              <w:top w:w="80" w:type="dxa"/>
              <w:left w:w="110" w:type="dxa"/>
              <w:bottom w:w="80" w:type="dxa"/>
              <w:right w:w="110" w:type="dxa"/>
            </w:tcMar>
          </w:tcPr>
          <w:p w14:paraId="34E5F9F5" w14:textId="77777777" w:rsidR="00BD5B4D" w:rsidRDefault="00BD4189">
            <w:r>
              <w:rPr>
                <w:b/>
                <w:bCs/>
                <w:color w:val="FFFFFF"/>
                <w:sz w:val="19"/>
                <w:szCs w:val="19"/>
              </w:rPr>
              <w:t>Target length</w:t>
            </w:r>
          </w:p>
        </w:tc>
        <w:tc>
          <w:tcPr>
            <w:tcW w:w="1800" w:type="dxa"/>
            <w:shd w:val="clear" w:color="auto" w:fill="1F4E5A"/>
            <w:tcMar>
              <w:top w:w="80" w:type="dxa"/>
              <w:left w:w="110" w:type="dxa"/>
              <w:bottom w:w="80" w:type="dxa"/>
              <w:right w:w="110" w:type="dxa"/>
            </w:tcMar>
          </w:tcPr>
          <w:p w14:paraId="75B2FD26" w14:textId="77777777" w:rsidR="00BD5B4D" w:rsidRDefault="00BD4189">
            <w:r>
              <w:rPr>
                <w:b/>
                <w:bCs/>
                <w:color w:val="FFFFFF"/>
                <w:sz w:val="19"/>
                <w:szCs w:val="19"/>
              </w:rPr>
              <w:t>RM source notes</w:t>
            </w:r>
          </w:p>
        </w:tc>
        <w:tc>
          <w:tcPr>
            <w:tcW w:w="1710" w:type="dxa"/>
            <w:shd w:val="clear" w:color="auto" w:fill="1F4E5A"/>
            <w:tcMar>
              <w:top w:w="80" w:type="dxa"/>
              <w:left w:w="110" w:type="dxa"/>
              <w:bottom w:w="80" w:type="dxa"/>
              <w:right w:w="110" w:type="dxa"/>
            </w:tcMar>
          </w:tcPr>
          <w:p w14:paraId="6EA69024" w14:textId="77777777" w:rsidR="00BD5B4D" w:rsidRDefault="00BD4189">
            <w:r>
              <w:rPr>
                <w:b/>
                <w:bCs/>
                <w:color w:val="FFFFFF"/>
                <w:sz w:val="19"/>
                <w:szCs w:val="19"/>
              </w:rPr>
              <w:t>Draft</w:t>
            </w:r>
          </w:p>
        </w:tc>
      </w:tr>
      <w:tr w:rsidR="00BD5B4D" w14:paraId="733ADA01" w14:textId="77777777">
        <w:tblPrEx>
          <w:tblCellMar>
            <w:top w:w="0" w:type="dxa"/>
            <w:bottom w:w="0" w:type="dxa"/>
          </w:tblCellMar>
        </w:tblPrEx>
        <w:tc>
          <w:tcPr>
            <w:tcW w:w="1450" w:type="dxa"/>
            <w:tcMar>
              <w:top w:w="80" w:type="dxa"/>
              <w:left w:w="110" w:type="dxa"/>
              <w:bottom w:w="80" w:type="dxa"/>
              <w:right w:w="110" w:type="dxa"/>
            </w:tcMar>
          </w:tcPr>
          <w:p w14:paraId="71B6811D" w14:textId="77777777" w:rsidR="00BD5B4D" w:rsidRDefault="00BD4189">
            <w:r>
              <w:rPr>
                <w:sz w:val="19"/>
                <w:szCs w:val="19"/>
              </w:rPr>
              <w:t>PROGRESS_BODY</w:t>
            </w:r>
          </w:p>
        </w:tc>
        <w:tc>
          <w:tcPr>
            <w:tcW w:w="1450" w:type="dxa"/>
            <w:tcMar>
              <w:top w:w="80" w:type="dxa"/>
              <w:left w:w="110" w:type="dxa"/>
              <w:bottom w:w="80" w:type="dxa"/>
              <w:right w:w="110" w:type="dxa"/>
            </w:tcMar>
          </w:tcPr>
          <w:p w14:paraId="018418E5" w14:textId="77777777" w:rsidR="00BD5B4D" w:rsidRDefault="00BD4189">
            <w:r>
              <w:rPr>
                <w:sz w:val="19"/>
                <w:szCs w:val="19"/>
              </w:rPr>
              <w:t>Narrative of progress this quarter</w:t>
            </w:r>
          </w:p>
        </w:tc>
        <w:tc>
          <w:tcPr>
            <w:tcW w:w="1650" w:type="dxa"/>
            <w:tcMar>
              <w:top w:w="80" w:type="dxa"/>
              <w:left w:w="110" w:type="dxa"/>
              <w:bottom w:w="80" w:type="dxa"/>
              <w:right w:w="110" w:type="dxa"/>
            </w:tcMar>
          </w:tcPr>
          <w:p w14:paraId="43BBB746" w14:textId="77777777" w:rsidR="00BD5B4D" w:rsidRDefault="00BD4189">
            <w:r>
              <w:rPr>
                <w:sz w:val="19"/>
                <w:szCs w:val="19"/>
              </w:rPr>
              <w:t>(Q3 FY26 text, verbatim)</w:t>
            </w:r>
          </w:p>
        </w:tc>
        <w:tc>
          <w:tcPr>
            <w:tcW w:w="1300" w:type="dxa"/>
            <w:tcMar>
              <w:top w:w="80" w:type="dxa"/>
              <w:left w:w="110" w:type="dxa"/>
              <w:bottom w:w="80" w:type="dxa"/>
              <w:right w:w="110" w:type="dxa"/>
            </w:tcMar>
          </w:tcPr>
          <w:p w14:paraId="1372C71C" w14:textId="77777777" w:rsidR="00BD5B4D" w:rsidRDefault="00BD4189">
            <w:r>
              <w:rPr>
                <w:sz w:val="19"/>
                <w:szCs w:val="19"/>
              </w:rPr>
              <w:t>380–450 chars</w:t>
            </w:r>
          </w:p>
        </w:tc>
        <w:tc>
          <w:tcPr>
            <w:tcW w:w="1800" w:type="dxa"/>
            <w:tcMar>
              <w:top w:w="80" w:type="dxa"/>
              <w:left w:w="110" w:type="dxa"/>
              <w:bottom w:w="80" w:type="dxa"/>
              <w:right w:w="110" w:type="dxa"/>
            </w:tcMar>
          </w:tcPr>
          <w:p w14:paraId="354D3179" w14:textId="77777777" w:rsidR="00BD5B4D" w:rsidRDefault="00BD4189">
            <w:r>
              <w:rPr>
                <w:sz w:val="19"/>
                <w:szCs w:val="19"/>
              </w:rPr>
              <w:t>(RM's raw notes)</w:t>
            </w:r>
          </w:p>
        </w:tc>
        <w:tc>
          <w:tcPr>
            <w:tcW w:w="1710" w:type="dxa"/>
            <w:tcMar>
              <w:top w:w="80" w:type="dxa"/>
              <w:left w:w="110" w:type="dxa"/>
              <w:bottom w:w="80" w:type="dxa"/>
              <w:right w:w="110" w:type="dxa"/>
            </w:tcMar>
          </w:tcPr>
          <w:p w14:paraId="6D6FC08D" w14:textId="77777777" w:rsidR="00BD5B4D" w:rsidRDefault="00BD4189">
            <w:r>
              <w:rPr>
                <w:sz w:val="19"/>
                <w:szCs w:val="19"/>
              </w:rPr>
              <w:t>(Copilot writes here)</w:t>
            </w:r>
          </w:p>
        </w:tc>
      </w:tr>
    </w:tbl>
    <w:p w14:paraId="33CA5113" w14:textId="77777777" w:rsidR="00BD5B4D" w:rsidRDefault="00BD4189">
      <w:pPr>
        <w:spacing w:after="120"/>
      </w:pPr>
      <w:r>
        <w:t xml:space="preserve"> </w:t>
      </w:r>
    </w:p>
    <w:p w14:paraId="7395115A" w14:textId="77777777" w:rsidR="00BD5B4D" w:rsidRDefault="00BD4189">
      <w:pPr>
        <w:pStyle w:val="Heading2"/>
        <w:spacing w:before="240" w:after="120"/>
      </w:pPr>
      <w:r>
        <w:t>2.4 Publishing — copy, not link</w:t>
      </w:r>
    </w:p>
    <w:p w14:paraId="38C7A687" w14:textId="77777777" w:rsidR="00BD5B4D" w:rsidRDefault="00BD4189">
      <w:pPr>
        <w:spacing w:after="120"/>
      </w:pPr>
      <w:r>
        <w:t>Values move from the template worksheets into the register by an explicit publish step that pastes values and stamps the quarter, not by cell references. The register becomes a frozen quarterly record: a published row stays exactly as it was even if the template sheet is later reworked, which matters because prior-quarter values are the style anchor for every quarter that follows. Cell references would also break silently the first time Copilot inserts a row, and long prose in a linked cell is fragile.</w:t>
      </w:r>
    </w:p>
    <w:p w14:paraId="5E4C5432" w14:textId="77777777" w:rsidR="00BD5B4D" w:rsidRDefault="00BD4189">
      <w:pPr>
        <w:pStyle w:val="Heading1"/>
        <w:spacing w:before="320" w:after="160"/>
      </w:pPr>
      <w:r>
        <w:t>3. Requirements on the VBA layer</w:t>
      </w:r>
    </w:p>
    <w:p w14:paraId="3146E31F" w14:textId="77777777" w:rsidR="00BD5B4D" w:rsidRDefault="00BD4189">
      <w:pPr>
        <w:pStyle w:val="ListParagraph"/>
        <w:numPr>
          <w:ilvl w:val="0"/>
          <w:numId w:val="2"/>
        </w:numPr>
        <w:spacing w:after="100"/>
      </w:pPr>
      <w:r>
        <w:t xml:space="preserve">Match on </w:t>
      </w:r>
      <w:proofErr w:type="spellStart"/>
      <w:r>
        <w:t>ShapeName</w:t>
      </w:r>
      <w:proofErr w:type="spellEnd"/>
      <w:r>
        <w:t xml:space="preserve">, and only on </w:t>
      </w:r>
      <w:proofErr w:type="spellStart"/>
      <w:r>
        <w:t>ShapeName</w:t>
      </w:r>
      <w:proofErr w:type="spellEnd"/>
      <w:r>
        <w:t>. Not index, not position, not alt-text. Every shape that will ever be populated is to be given an explicit, stable name in PowerPoint before the deck grows further. Naming convention: txt</w:t>
      </w:r>
      <w:proofErr w:type="gramStart"/>
      <w:r>
        <w:t>_ ,</w:t>
      </w:r>
      <w:proofErr w:type="gramEnd"/>
      <w:r>
        <w:t xml:space="preserve"> pic</w:t>
      </w:r>
      <w:proofErr w:type="gramStart"/>
      <w:r>
        <w:t>_ ,</w:t>
      </w:r>
      <w:proofErr w:type="gramEnd"/>
      <w:r>
        <w:t xml:space="preserve"> </w:t>
      </w:r>
      <w:proofErr w:type="spellStart"/>
      <w:r>
        <w:t>shp</w:t>
      </w:r>
      <w:proofErr w:type="spellEnd"/>
      <w:proofErr w:type="gramStart"/>
      <w:r>
        <w:t>_ ,</w:t>
      </w:r>
      <w:proofErr w:type="gramEnd"/>
      <w:r>
        <w:t xml:space="preserve"> </w:t>
      </w:r>
      <w:proofErr w:type="spellStart"/>
      <w:r>
        <w:t>tbl</w:t>
      </w:r>
      <w:proofErr w:type="spellEnd"/>
      <w:proofErr w:type="gramStart"/>
      <w:r>
        <w:t>_ ,</w:t>
      </w:r>
      <w:proofErr w:type="gramEnd"/>
      <w:r>
        <w:t xml:space="preserve"> </w:t>
      </w:r>
      <w:proofErr w:type="spellStart"/>
      <w:r>
        <w:t>cht</w:t>
      </w:r>
      <w:proofErr w:type="spellEnd"/>
      <w:r>
        <w:t xml:space="preserve">_ prefix followed by the </w:t>
      </w:r>
      <w:proofErr w:type="spellStart"/>
      <w:r>
        <w:t>FieldID</w:t>
      </w:r>
      <w:proofErr w:type="spellEnd"/>
      <w:r>
        <w:t>.</w:t>
      </w:r>
    </w:p>
    <w:p w14:paraId="0783F7C1" w14:textId="77777777" w:rsidR="00BD5B4D" w:rsidRDefault="00BD4189">
      <w:pPr>
        <w:pStyle w:val="ListParagraph"/>
        <w:numPr>
          <w:ilvl w:val="0"/>
          <w:numId w:val="2"/>
        </w:numPr>
        <w:spacing w:after="100"/>
      </w:pPr>
      <w:r>
        <w:t xml:space="preserve">Read only rows where Status = Approved and Quarter = the nominated run quarter. The register will contain draft rows and every prior quarter; filtering is the VBA layer's responsibility, not the </w:t>
      </w:r>
      <w:proofErr w:type="gramStart"/>
      <w:r>
        <w:t>operator's</w:t>
      </w:r>
      <w:proofErr w:type="gramEnd"/>
      <w:r>
        <w:t>.</w:t>
      </w:r>
    </w:p>
    <w:p w14:paraId="6CC45245" w14:textId="77777777" w:rsidR="00BD5B4D" w:rsidRDefault="00BD4189">
      <w:pPr>
        <w:pStyle w:val="ListParagraph"/>
        <w:numPr>
          <w:ilvl w:val="0"/>
          <w:numId w:val="2"/>
        </w:numPr>
        <w:spacing w:after="100"/>
      </w:pPr>
      <w:r>
        <w:t>Never write back to Excel. The register is written by the publish step alone. A run may produce a log; it may not alter the source.</w:t>
      </w:r>
    </w:p>
    <w:p w14:paraId="429512E2" w14:textId="77777777" w:rsidR="00BD5B4D" w:rsidRDefault="00BD4189">
      <w:pPr>
        <w:pStyle w:val="ListParagraph"/>
        <w:numPr>
          <w:ilvl w:val="0"/>
          <w:numId w:val="2"/>
        </w:numPr>
        <w:spacing w:after="100"/>
      </w:pPr>
      <w:r>
        <w:t>Do not blank a shape that has no matching register row. Leave it untouched. A missing row means "nothing to say this quarter", not "clear this field".</w:t>
      </w:r>
    </w:p>
    <w:p w14:paraId="6C023EA4" w14:textId="77777777" w:rsidR="00BD5B4D" w:rsidRDefault="00BD4189">
      <w:pPr>
        <w:pStyle w:val="ListParagraph"/>
        <w:numPr>
          <w:ilvl w:val="0"/>
          <w:numId w:val="2"/>
        </w:numPr>
        <w:spacing w:after="100"/>
      </w:pPr>
      <w:r>
        <w:t xml:space="preserve">Fail loudly, not silently. A </w:t>
      </w:r>
      <w:proofErr w:type="spellStart"/>
      <w:r>
        <w:t>ShapeName</w:t>
      </w:r>
      <w:proofErr w:type="spellEnd"/>
      <w:r>
        <w:t xml:space="preserve"> in the register with no matching shape in the deck, or a shape carrying a managed prefix with no register row, is reported at the end of the run as a named list. The run itself continues.</w:t>
      </w:r>
    </w:p>
    <w:p w14:paraId="2D2A11EA" w14:textId="77777777" w:rsidR="00BD5B4D" w:rsidRDefault="00BD4189">
      <w:pPr>
        <w:pStyle w:val="ListParagraph"/>
        <w:numPr>
          <w:ilvl w:val="0"/>
          <w:numId w:val="2"/>
        </w:numPr>
        <w:spacing w:after="100"/>
      </w:pPr>
      <w:r>
        <w:t>Treat the double pipe || as a line break. No multi-line cells will appear anywhere in Excel; the delimiter is converted to a carriage return on injection. This keeps the register clean and Copilot output predictable.</w:t>
      </w:r>
    </w:p>
    <w:p w14:paraId="41FE0D0F" w14:textId="77777777" w:rsidR="00BD5B4D" w:rsidRDefault="00BD4189">
      <w:pPr>
        <w:pStyle w:val="ListParagraph"/>
        <w:numPr>
          <w:ilvl w:val="0"/>
          <w:numId w:val="2"/>
        </w:numPr>
        <w:spacing w:after="100"/>
      </w:pPr>
      <w:r>
        <w:t>Populate existing shapes only, for now. Shape creation is out of scope until the text path is proven end to end.</w:t>
      </w:r>
    </w:p>
    <w:p w14:paraId="4A47C420" w14:textId="77777777" w:rsidR="00BD5B4D" w:rsidRDefault="00BD4189">
      <w:pPr>
        <w:pStyle w:val="ListParagraph"/>
        <w:numPr>
          <w:ilvl w:val="0"/>
          <w:numId w:val="2"/>
        </w:numPr>
        <w:spacing w:after="100"/>
      </w:pPr>
      <w:r>
        <w:t xml:space="preserve">Reconcile the field inventory in code against the register schema and report any field the code knows about that this specification does not, or vice versa. The register's </w:t>
      </w:r>
      <w:proofErr w:type="spellStart"/>
      <w:r>
        <w:t>FieldIDs</w:t>
      </w:r>
      <w:proofErr w:type="spellEnd"/>
      <w:r>
        <w:t xml:space="preserve"> are authoritative; parallel naming in code is to be brought across, not maintained alongside.</w:t>
      </w:r>
    </w:p>
    <w:p w14:paraId="3E3BEAFF" w14:textId="77777777" w:rsidR="00BD5B4D" w:rsidRDefault="00BD4189">
      <w:pPr>
        <w:pStyle w:val="Heading1"/>
        <w:spacing w:before="320" w:after="160"/>
      </w:pPr>
      <w:r>
        <w:t>4. Where the PowerPoint side should push back</w:t>
      </w:r>
    </w:p>
    <w:p w14:paraId="1BB31DA5" w14:textId="77777777" w:rsidR="00BD5B4D" w:rsidRDefault="00BD4189">
      <w:pPr>
        <w:spacing w:after="120"/>
      </w:pPr>
      <w:r>
        <w:lastRenderedPageBreak/>
        <w:t>Answer these with the current position, whether it is settled or still open, and anything above that the Excel side would be wrong to assume. Where a decision has not yet been made, say so rather than describing intent — an open decision is more useful to know about than a plausible-sounding one.</w:t>
      </w:r>
    </w:p>
    <w:p w14:paraId="4184F0B9" w14:textId="77777777" w:rsidR="00BD5B4D" w:rsidRDefault="00BD4189">
      <w:pPr>
        <w:pStyle w:val="ListParagraph"/>
        <w:numPr>
          <w:ilvl w:val="0"/>
          <w:numId w:val="3"/>
        </w:numPr>
        <w:spacing w:after="100"/>
      </w:pPr>
      <w:r>
        <w:t>Character or content limits on injection that the target-length column should respect.</w:t>
      </w:r>
    </w:p>
    <w:p w14:paraId="2413C260" w14:textId="77777777" w:rsidR="00BD5B4D" w:rsidRDefault="00BD4189">
      <w:pPr>
        <w:pStyle w:val="ListParagraph"/>
        <w:numPr>
          <w:ilvl w:val="0"/>
          <w:numId w:val="3"/>
        </w:numPr>
        <w:spacing w:after="100"/>
      </w:pPr>
      <w:r>
        <w:t xml:space="preserve">Anything in R1–R8 that the current build cannot </w:t>
      </w:r>
      <w:proofErr w:type="gramStart"/>
      <w:r>
        <w:t>do, or</w:t>
      </w:r>
      <w:proofErr w:type="gramEnd"/>
      <w:r>
        <w:t xml:space="preserve"> does differently for a good reason.</w:t>
      </w:r>
    </w:p>
    <w:p w14:paraId="25149632" w14:textId="77777777" w:rsidR="00BD5B4D" w:rsidRDefault="00BD4189">
      <w:pPr>
        <w:pStyle w:val="ListParagraph"/>
        <w:numPr>
          <w:ilvl w:val="0"/>
          <w:numId w:val="3"/>
        </w:numPr>
        <w:spacing w:after="100"/>
      </w:pPr>
      <w:r>
        <w:t xml:space="preserve">The field inventory as it exists in code today — field IDs, types, and which slide or layout each </w:t>
      </w:r>
      <w:proofErr w:type="gramStart"/>
      <w:r>
        <w:t>lives</w:t>
      </w:r>
      <w:proofErr w:type="gramEnd"/>
      <w:r>
        <w:t xml:space="preserve"> on.</w:t>
      </w:r>
    </w:p>
    <w:p w14:paraId="21D2D448" w14:textId="77777777" w:rsidR="00BD5B4D" w:rsidRDefault="00BD4189">
      <w:pPr>
        <w:pStyle w:val="ListParagraph"/>
        <w:numPr>
          <w:ilvl w:val="0"/>
          <w:numId w:val="3"/>
        </w:numPr>
        <w:spacing w:after="100"/>
      </w:pPr>
      <w:r>
        <w:t xml:space="preserve">How the VBA prefers to be handed the table — named range, </w:t>
      </w:r>
      <w:proofErr w:type="spellStart"/>
      <w:r>
        <w:t>ListObject</w:t>
      </w:r>
      <w:proofErr w:type="spellEnd"/>
      <w:r>
        <w:t>, or worksheet plus fixed columns; and whether it loads the set at once or reads row by row. This one is genuinely open; the Excel side will build to whichever is cleaner in code.</w:t>
      </w:r>
    </w:p>
    <w:p w14:paraId="30269903" w14:textId="77777777" w:rsidR="00BD5B4D" w:rsidRDefault="00BD4189">
      <w:pPr>
        <w:pStyle w:val="Heading1"/>
        <w:spacing w:before="320" w:after="160"/>
      </w:pPr>
      <w:r>
        <w:t>5. Sequence</w:t>
      </w:r>
    </w:p>
    <w:p w14:paraId="53C8CD2C" w14:textId="77777777" w:rsidR="00BD5B4D" w:rsidRDefault="00BD4189">
      <w:pPr>
        <w:spacing w:after="120"/>
      </w:pPr>
      <w:r>
        <w:t>Text fields first. One field taken completely through — spec row, template layout, register row, injection, verified on a slide — before anything is generalised. Picture, shape, table and chart fields follow once the text path is proven.</w:t>
      </w:r>
    </w:p>
    <w:sectPr w:rsidR="00BD5B4D">
      <w:pgSz w:w="11906" w:h="16838"/>
      <w:pgMar w:top="1134" w:right="1134" w:bottom="1134" w:left="1134"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153DA0"/>
    <w:multiLevelType w:val="hybridMultilevel"/>
    <w:tmpl w:val="A4F2861C"/>
    <w:lvl w:ilvl="0" w:tplc="8A76539E">
      <w:start w:val="1"/>
      <w:numFmt w:val="decimal"/>
      <w:lvlText w:val="Q%1."/>
      <w:lvlJc w:val="left"/>
      <w:pPr>
        <w:ind w:left="620" w:hanging="420"/>
      </w:pPr>
    </w:lvl>
    <w:lvl w:ilvl="1" w:tplc="31B8CEC0">
      <w:numFmt w:val="decimal"/>
      <w:lvlText w:val=""/>
      <w:lvlJc w:val="left"/>
    </w:lvl>
    <w:lvl w:ilvl="2" w:tplc="2EF2478A">
      <w:numFmt w:val="decimal"/>
      <w:lvlText w:val=""/>
      <w:lvlJc w:val="left"/>
    </w:lvl>
    <w:lvl w:ilvl="3" w:tplc="0F022E54">
      <w:numFmt w:val="decimal"/>
      <w:lvlText w:val=""/>
      <w:lvlJc w:val="left"/>
    </w:lvl>
    <w:lvl w:ilvl="4" w:tplc="950C60D6">
      <w:numFmt w:val="decimal"/>
      <w:lvlText w:val=""/>
      <w:lvlJc w:val="left"/>
    </w:lvl>
    <w:lvl w:ilvl="5" w:tplc="86863736">
      <w:numFmt w:val="decimal"/>
      <w:lvlText w:val=""/>
      <w:lvlJc w:val="left"/>
    </w:lvl>
    <w:lvl w:ilvl="6" w:tplc="5B9AB9AA">
      <w:numFmt w:val="decimal"/>
      <w:lvlText w:val=""/>
      <w:lvlJc w:val="left"/>
    </w:lvl>
    <w:lvl w:ilvl="7" w:tplc="24D0C572">
      <w:numFmt w:val="decimal"/>
      <w:lvlText w:val=""/>
      <w:lvlJc w:val="left"/>
    </w:lvl>
    <w:lvl w:ilvl="8" w:tplc="5E94C8FC">
      <w:numFmt w:val="decimal"/>
      <w:lvlText w:val=""/>
      <w:lvlJc w:val="left"/>
    </w:lvl>
  </w:abstractNum>
  <w:abstractNum w:abstractNumId="1" w15:restartNumberingAfterBreak="0">
    <w:nsid w:val="262E79D2"/>
    <w:multiLevelType w:val="hybridMultilevel"/>
    <w:tmpl w:val="602853D4"/>
    <w:lvl w:ilvl="0" w:tplc="5CEAE9E2">
      <w:start w:val="1"/>
      <w:numFmt w:val="bullet"/>
      <w:lvlText w:val="•"/>
      <w:lvlJc w:val="left"/>
      <w:pPr>
        <w:ind w:left="460" w:hanging="260"/>
      </w:pPr>
    </w:lvl>
    <w:lvl w:ilvl="1" w:tplc="1292BFC4">
      <w:numFmt w:val="decimal"/>
      <w:lvlText w:val=""/>
      <w:lvlJc w:val="left"/>
    </w:lvl>
    <w:lvl w:ilvl="2" w:tplc="75FE3188">
      <w:numFmt w:val="decimal"/>
      <w:lvlText w:val=""/>
      <w:lvlJc w:val="left"/>
    </w:lvl>
    <w:lvl w:ilvl="3" w:tplc="8DB60A7E">
      <w:numFmt w:val="decimal"/>
      <w:lvlText w:val=""/>
      <w:lvlJc w:val="left"/>
    </w:lvl>
    <w:lvl w:ilvl="4" w:tplc="ED4AC35E">
      <w:numFmt w:val="decimal"/>
      <w:lvlText w:val=""/>
      <w:lvlJc w:val="left"/>
    </w:lvl>
    <w:lvl w:ilvl="5" w:tplc="8BBAF006">
      <w:numFmt w:val="decimal"/>
      <w:lvlText w:val=""/>
      <w:lvlJc w:val="left"/>
    </w:lvl>
    <w:lvl w:ilvl="6" w:tplc="9E8C0FB6">
      <w:numFmt w:val="decimal"/>
      <w:lvlText w:val=""/>
      <w:lvlJc w:val="left"/>
    </w:lvl>
    <w:lvl w:ilvl="7" w:tplc="FBF4831A">
      <w:numFmt w:val="decimal"/>
      <w:lvlText w:val=""/>
      <w:lvlJc w:val="left"/>
    </w:lvl>
    <w:lvl w:ilvl="8" w:tplc="0D7E035A">
      <w:numFmt w:val="decimal"/>
      <w:lvlText w:val=""/>
      <w:lvlJc w:val="left"/>
    </w:lvl>
  </w:abstractNum>
  <w:abstractNum w:abstractNumId="2" w15:restartNumberingAfterBreak="0">
    <w:nsid w:val="4C7E493A"/>
    <w:multiLevelType w:val="hybridMultilevel"/>
    <w:tmpl w:val="B7DADAC2"/>
    <w:lvl w:ilvl="0" w:tplc="ECD8DEF6">
      <w:start w:val="1"/>
      <w:numFmt w:val="bullet"/>
      <w:lvlText w:val="●"/>
      <w:lvlJc w:val="left"/>
      <w:pPr>
        <w:ind w:left="720" w:hanging="360"/>
      </w:pPr>
    </w:lvl>
    <w:lvl w:ilvl="1" w:tplc="0FFCA086">
      <w:start w:val="1"/>
      <w:numFmt w:val="bullet"/>
      <w:lvlText w:val="○"/>
      <w:lvlJc w:val="left"/>
      <w:pPr>
        <w:ind w:left="1440" w:hanging="360"/>
      </w:pPr>
    </w:lvl>
    <w:lvl w:ilvl="2" w:tplc="CC8457D6">
      <w:start w:val="1"/>
      <w:numFmt w:val="bullet"/>
      <w:lvlText w:val="■"/>
      <w:lvlJc w:val="left"/>
      <w:pPr>
        <w:ind w:left="2160" w:hanging="360"/>
      </w:pPr>
    </w:lvl>
    <w:lvl w:ilvl="3" w:tplc="1472E20E">
      <w:start w:val="1"/>
      <w:numFmt w:val="bullet"/>
      <w:lvlText w:val="●"/>
      <w:lvlJc w:val="left"/>
      <w:pPr>
        <w:ind w:left="2880" w:hanging="360"/>
      </w:pPr>
    </w:lvl>
    <w:lvl w:ilvl="4" w:tplc="F2404844">
      <w:start w:val="1"/>
      <w:numFmt w:val="bullet"/>
      <w:lvlText w:val="○"/>
      <w:lvlJc w:val="left"/>
      <w:pPr>
        <w:ind w:left="3600" w:hanging="360"/>
      </w:pPr>
    </w:lvl>
    <w:lvl w:ilvl="5" w:tplc="BE1CBFBA">
      <w:start w:val="1"/>
      <w:numFmt w:val="bullet"/>
      <w:lvlText w:val="■"/>
      <w:lvlJc w:val="left"/>
      <w:pPr>
        <w:ind w:left="4320" w:hanging="360"/>
      </w:pPr>
    </w:lvl>
    <w:lvl w:ilvl="6" w:tplc="E272BC4A">
      <w:start w:val="1"/>
      <w:numFmt w:val="bullet"/>
      <w:lvlText w:val="●"/>
      <w:lvlJc w:val="left"/>
      <w:pPr>
        <w:ind w:left="5040" w:hanging="360"/>
      </w:pPr>
    </w:lvl>
    <w:lvl w:ilvl="7" w:tplc="18586A3C">
      <w:start w:val="1"/>
      <w:numFmt w:val="bullet"/>
      <w:lvlText w:val="●"/>
      <w:lvlJc w:val="left"/>
      <w:pPr>
        <w:ind w:left="5760" w:hanging="360"/>
      </w:pPr>
    </w:lvl>
    <w:lvl w:ilvl="8" w:tplc="ED6CDF06">
      <w:start w:val="1"/>
      <w:numFmt w:val="bullet"/>
      <w:lvlText w:val="●"/>
      <w:lvlJc w:val="left"/>
      <w:pPr>
        <w:ind w:left="6480" w:hanging="360"/>
      </w:pPr>
    </w:lvl>
  </w:abstractNum>
  <w:abstractNum w:abstractNumId="3" w15:restartNumberingAfterBreak="0">
    <w:nsid w:val="6A563478"/>
    <w:multiLevelType w:val="hybridMultilevel"/>
    <w:tmpl w:val="210AD4FC"/>
    <w:lvl w:ilvl="0" w:tplc="7BBC38C0">
      <w:start w:val="1"/>
      <w:numFmt w:val="decimal"/>
      <w:lvlText w:val="R%1."/>
      <w:lvlJc w:val="left"/>
      <w:pPr>
        <w:ind w:left="620" w:hanging="420"/>
      </w:pPr>
    </w:lvl>
    <w:lvl w:ilvl="1" w:tplc="A1A6F528">
      <w:numFmt w:val="decimal"/>
      <w:lvlText w:val=""/>
      <w:lvlJc w:val="left"/>
    </w:lvl>
    <w:lvl w:ilvl="2" w:tplc="C1D455EC">
      <w:numFmt w:val="decimal"/>
      <w:lvlText w:val=""/>
      <w:lvlJc w:val="left"/>
    </w:lvl>
    <w:lvl w:ilvl="3" w:tplc="B6F8E018">
      <w:numFmt w:val="decimal"/>
      <w:lvlText w:val=""/>
      <w:lvlJc w:val="left"/>
    </w:lvl>
    <w:lvl w:ilvl="4" w:tplc="7A660808">
      <w:numFmt w:val="decimal"/>
      <w:lvlText w:val=""/>
      <w:lvlJc w:val="left"/>
    </w:lvl>
    <w:lvl w:ilvl="5" w:tplc="9BC6A728">
      <w:numFmt w:val="decimal"/>
      <w:lvlText w:val=""/>
      <w:lvlJc w:val="left"/>
    </w:lvl>
    <w:lvl w:ilvl="6" w:tplc="1D6AE87A">
      <w:numFmt w:val="decimal"/>
      <w:lvlText w:val=""/>
      <w:lvlJc w:val="left"/>
    </w:lvl>
    <w:lvl w:ilvl="7" w:tplc="2438D4BE">
      <w:numFmt w:val="decimal"/>
      <w:lvlText w:val=""/>
      <w:lvlJc w:val="left"/>
    </w:lvl>
    <w:lvl w:ilvl="8" w:tplc="2C1CB5C0">
      <w:numFmt w:val="decimal"/>
      <w:lvlText w:val=""/>
      <w:lvlJc w:val="left"/>
    </w:lvl>
  </w:abstractNum>
  <w:num w:numId="1" w16cid:durableId="1904178559">
    <w:abstractNumId w:val="2"/>
    <w:lvlOverride w:ilvl="0">
      <w:startOverride w:val="1"/>
    </w:lvlOverride>
  </w:num>
  <w:num w:numId="2" w16cid:durableId="513225412">
    <w:abstractNumId w:val="3"/>
    <w:lvlOverride w:ilvl="0">
      <w:startOverride w:val="1"/>
    </w:lvlOverride>
  </w:num>
  <w:num w:numId="3" w16cid:durableId="188633267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D5B4D"/>
    <w:rsid w:val="003B17F0"/>
    <w:rsid w:val="006A133C"/>
    <w:rsid w:val="00BD4189"/>
    <w:rsid w:val="00BD5B4D"/>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F27ACB"/>
  <w15:docId w15:val="{C650A3DE-2556-4462-93F2-29080AF5B3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AU" w:eastAsia="en-AU"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b/>
      <w:bCs/>
      <w:color w:val="1F4E5A"/>
      <w:sz w:val="30"/>
      <w:szCs w:val="30"/>
    </w:rPr>
  </w:style>
  <w:style w:type="paragraph" w:styleId="Heading2">
    <w:name w:val="heading 2"/>
    <w:uiPriority w:val="9"/>
    <w:unhideWhenUsed/>
    <w:qFormat/>
    <w:pPr>
      <w:outlineLvl w:val="1"/>
    </w:pPr>
    <w:rPr>
      <w:b/>
      <w:bCs/>
      <w:color w:val="333333"/>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pPr>
      <w:spacing w:line="240" w:lineRule="auto"/>
    </w:pPr>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pPr>
      <w:spacing w:line="240" w:lineRule="auto"/>
    </w:pPr>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TotalTime>
  <Pages>3</Pages>
  <Words>1029</Words>
  <Characters>5046</Characters>
  <Application>Microsoft Office Word</Application>
  <DocSecurity>0</DocSecurity>
  <Lines>121</Lines>
  <Paragraphs>77</Paragraphs>
  <ScaleCrop>false</ScaleCrop>
  <Company/>
  <LinksUpToDate>false</LinksUpToDate>
  <CharactersWithSpaces>6017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Excel Control Layer — Specification for the PowerPoint / VBA Side</dc:title>
  <dc:creator>CRC SAAFE</dc:creator>
  <cp:lastModifiedBy>Rohan Wighton</cp:lastModifiedBy>
  <cp:revision>2</cp:revision>
  <dcterms:created xsi:type="dcterms:W3CDTF">2026-07-30T23:39:00Z</dcterms:created>
  <dcterms:modified xsi:type="dcterms:W3CDTF">2026-07-30T23:39:00Z</dcterms:modified>
</cp:coreProperties>
</file>