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Interactive Scatter Plot of Commercial Property Valuations with Plotly</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build interactive continuous bivariate scatter visualizations using Plotly Express.</w:t>
            </w:r>
          </w:p>
          <w:p/>
          <w:p>
            <w:pPr>
              <w:spacing w:before="0" w:after="40"/>
              <w:ind w:left="360"/>
              <w:jc w:val="both"/>
            </w:pPr>
            <w:r>
              <w:rPr>
                <w:rFonts w:ascii="Times New Roman" w:hAnsi="Times New Roman"/>
                <w:b w:val="0"/>
                <w:i w:val="0"/>
                <w:sz w:val="24"/>
              </w:rPr>
              <w:t>•  To model commercial property lease pricing dynamics as a function of leasable area.</w:t>
            </w:r>
          </w:p>
          <w:p/>
          <w:p>
            <w:pPr>
              <w:spacing w:before="0" w:after="40"/>
              <w:ind w:left="360"/>
              <w:jc w:val="both"/>
            </w:pPr>
            <w:r>
              <w:rPr>
                <w:rFonts w:ascii="Times New Roman" w:hAnsi="Times New Roman"/>
                <w:b w:val="0"/>
                <w:i w:val="0"/>
                <w:sz w:val="24"/>
              </w:rPr>
              <w:t>•  To fit and visualize an Ordinary Least Squares (OLS) regression trendline.</w:t>
            </w:r>
          </w:p>
          <w:p/>
          <w:p>
            <w:pPr>
              <w:spacing w:before="0" w:after="40"/>
              <w:ind w:left="360"/>
              <w:jc w:val="both"/>
            </w:pPr>
            <w:r>
              <w:rPr>
                <w:rFonts w:ascii="Times New Roman" w:hAnsi="Times New Roman"/>
                <w:b w:val="0"/>
                <w:i w:val="0"/>
                <w:sz w:val="24"/>
              </w:rPr>
              <w:t>•  To map multi-dimensional attributes including building occupancy and asset grade.</w:t>
            </w:r>
          </w:p>
          <w:p/>
          <w:p>
            <w:pPr>
              <w:spacing w:before="0" w:after="40"/>
              <w:ind w:left="360"/>
              <w:jc w:val="both"/>
            </w:pPr>
            <w:r>
              <w:rPr>
                <w:rFonts w:ascii="Times New Roman" w:hAnsi="Times New Roman"/>
                <w:b w:val="0"/>
                <w:i w:val="0"/>
                <w:sz w:val="24"/>
              </w:rPr>
              <w:t>•  To configure responsive cursor inspection displaying detailed property investment metrics.</w:t>
            </w:r>
          </w:p>
          <w:p/>
          <w:p>
            <w:pPr>
              <w:spacing w:before="0" w:after="40"/>
              <w:ind w:left="360"/>
              <w:jc w:val="both"/>
            </w:pPr>
            <w:r>
              <w:rPr>
                <w:rFonts w:ascii="Times New Roman" w:hAnsi="Times New Roman"/>
                <w:b w:val="0"/>
                <w:i w:val="0"/>
                <w:sz w:val="24"/>
              </w:rPr>
              <w:t>•  To export publication-quality figures using the Kaleido headless engine.</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Curated portfolio of 30 commercial office assets across Grade A, Grade B, and Grade C tech parks, recording floor area (sq. ft.), annual lease valuation (INR Lakhs), occupancy rates (%), and building age.</w:t>
            </w:r>
          </w:p>
          <w:tbl>
            <w:tblPr>
              <w:tblStyle w:val="TableGrid"/>
              <w:tblW w:type="auto" w:w="0"/>
              <w:tblLook w:firstColumn="1" w:firstRow="1" w:lastColumn="0" w:lastRow="0" w:noHBand="0" w:noVBand="1" w:val="04A0"/>
            </w:tblPr>
            <w:tblGrid>
              <w:gridCol w:w="1830"/>
              <w:gridCol w:w="1830"/>
              <w:gridCol w:w="1830"/>
              <w:gridCol w:w="1830"/>
            </w:tblGrid>
            <w:tr>
              <w:tc>
                <w:tcPr>
                  <w:tcW w:type="dxa" w:w="1830"/>
                </w:tcPr>
                <w:p>
                  <w:r/>
                </w:p>
                <w:p>
                  <w:pPr>
                    <w:spacing w:before="0" w:after="40"/>
                    <w:jc w:val="center"/>
                  </w:pPr>
                  <w:r>
                    <w:rPr>
                      <w:rFonts w:ascii="Times New Roman" w:hAnsi="Times New Roman"/>
                      <w:b/>
                      <w:i w:val="0"/>
                      <w:sz w:val="24"/>
                    </w:rPr>
                    <w:t>Attribute</w:t>
                  </w:r>
                </w:p>
              </w:tc>
              <w:tc>
                <w:tcPr>
                  <w:tcW w:type="dxa" w:w="1830"/>
                </w:tcPr>
                <w:p>
                  <w:r/>
                </w:p>
                <w:p>
                  <w:pPr>
                    <w:spacing w:before="0" w:after="40"/>
                    <w:jc w:val="center"/>
                  </w:pPr>
                  <w:r>
                    <w:rPr>
                      <w:rFonts w:ascii="Times New Roman" w:hAnsi="Times New Roman"/>
                      <w:b/>
                      <w:i w:val="0"/>
                      <w:sz w:val="24"/>
                    </w:rPr>
                    <w:t>Description</w:t>
                  </w:r>
                </w:p>
              </w:tc>
              <w:tc>
                <w:tcPr>
                  <w:tcW w:type="dxa" w:w="1830"/>
                </w:tcPr>
                <w:p>
                  <w:r/>
                </w:p>
                <w:p>
                  <w:pPr>
                    <w:spacing w:before="0" w:after="40"/>
                    <w:jc w:val="center"/>
                  </w:pPr>
                  <w:r>
                    <w:rPr>
                      <w:rFonts w:ascii="Times New Roman" w:hAnsi="Times New Roman"/>
                      <w:b/>
                      <w:i w:val="0"/>
                      <w:sz w:val="24"/>
                    </w:rPr>
                    <w:t>Measurement Unit</w:t>
                  </w:r>
                </w:p>
              </w:tc>
              <w:tc>
                <w:tcPr>
                  <w:tcW w:type="dxa" w:w="1830"/>
                </w:tcPr>
                <w:p>
                  <w:r/>
                </w:p>
                <w:p>
                  <w:pPr>
                    <w:spacing w:before="0" w:after="40"/>
                    <w:jc w:val="center"/>
                  </w:pPr>
                  <w:r>
                    <w:rPr>
                      <w:rFonts w:ascii="Times New Roman" w:hAnsi="Times New Roman"/>
                      <w:b/>
                      <w:i w:val="0"/>
                      <w:sz w:val="24"/>
                    </w:rPr>
                    <w:t>Data Type</w:t>
                  </w:r>
                </w:p>
              </w:tc>
            </w:tr>
            <w:tr>
              <w:tc>
                <w:tcPr>
                  <w:tcW w:type="dxa" w:w="1830"/>
                </w:tcPr>
                <w:p>
                  <w:r/>
                </w:p>
                <w:p>
                  <w:pPr>
                    <w:spacing w:before="0" w:after="40"/>
                    <w:jc w:val="center"/>
                  </w:pPr>
                  <w:r>
                    <w:rPr>
                      <w:rFonts w:ascii="Times New Roman" w:hAnsi="Times New Roman"/>
                      <w:b w:val="0"/>
                      <w:i w:val="0"/>
                      <w:sz w:val="24"/>
                    </w:rPr>
                    <w:t>Property_ID</w:t>
                  </w:r>
                </w:p>
              </w:tc>
              <w:tc>
                <w:tcPr>
                  <w:tcW w:type="dxa" w:w="1830"/>
                </w:tcPr>
                <w:p>
                  <w:r/>
                </w:p>
                <w:p>
                  <w:pPr>
                    <w:spacing w:before="0" w:after="40"/>
                    <w:jc w:val="center"/>
                  </w:pPr>
                  <w:r>
                    <w:rPr>
                      <w:rFonts w:ascii="Times New Roman" w:hAnsi="Times New Roman"/>
                      <w:b w:val="0"/>
                      <w:i w:val="0"/>
                      <w:sz w:val="24"/>
                    </w:rPr>
                    <w:t>Unique asset identifier</w:t>
                  </w:r>
                </w:p>
              </w:tc>
              <w:tc>
                <w:tcPr>
                  <w:tcW w:type="dxa" w:w="1830"/>
                </w:tcPr>
                <w:p>
                  <w:r/>
                </w:p>
                <w:p>
                  <w:pPr>
                    <w:spacing w:before="0" w:after="40"/>
                    <w:jc w:val="center"/>
                  </w:pPr>
                  <w:r>
                    <w:rPr>
                      <w:rFonts w:ascii="Times New Roman" w:hAnsi="Times New Roman"/>
                      <w:b w:val="0"/>
                      <w:i w:val="0"/>
                      <w:sz w:val="24"/>
                    </w:rPr>
                    <w:t>Categorical Code</w:t>
                  </w:r>
                </w:p>
              </w:tc>
              <w:tc>
                <w:tcPr>
                  <w:tcW w:type="dxa" w:w="1830"/>
                </w:tcPr>
                <w:p>
                  <w:r/>
                </w:p>
                <w:p>
                  <w:pPr>
                    <w:spacing w:before="0" w:after="40"/>
                    <w:jc w:val="center"/>
                  </w:pPr>
                  <w:r>
                    <w:rPr>
                      <w:rFonts w:ascii="Times New Roman" w:hAnsi="Times New Roman"/>
                      <w:b w:val="0"/>
                      <w:i w:val="0"/>
                      <w:sz w:val="24"/>
                    </w:rPr>
                    <w:t>string</w:t>
                  </w:r>
                </w:p>
              </w:tc>
            </w:tr>
            <w:tr>
              <w:tc>
                <w:tcPr>
                  <w:tcW w:type="dxa" w:w="1830"/>
                </w:tcPr>
                <w:p>
                  <w:r/>
                </w:p>
                <w:p>
                  <w:pPr>
                    <w:spacing w:before="0" w:after="40"/>
                    <w:jc w:val="center"/>
                  </w:pPr>
                  <w:r>
                    <w:rPr>
                      <w:rFonts w:ascii="Times New Roman" w:hAnsi="Times New Roman"/>
                      <w:b w:val="0"/>
                      <w:i w:val="0"/>
                      <w:sz w:val="24"/>
                    </w:rPr>
                    <w:t>Floor_Area_SqFt</w:t>
                  </w:r>
                </w:p>
              </w:tc>
              <w:tc>
                <w:tcPr>
                  <w:tcW w:type="dxa" w:w="1830"/>
                </w:tcPr>
                <w:p>
                  <w:r/>
                </w:p>
                <w:p>
                  <w:pPr>
                    <w:spacing w:before="0" w:after="40"/>
                    <w:jc w:val="center"/>
                  </w:pPr>
                  <w:r>
                    <w:rPr>
                      <w:rFonts w:ascii="Times New Roman" w:hAnsi="Times New Roman"/>
                      <w:b w:val="0"/>
                      <w:i w:val="0"/>
                      <w:sz w:val="24"/>
                    </w:rPr>
                    <w:t>Total leasable commercial floor area</w:t>
                  </w:r>
                </w:p>
              </w:tc>
              <w:tc>
                <w:tcPr>
                  <w:tcW w:type="dxa" w:w="1830"/>
                </w:tcPr>
                <w:p>
                  <w:r/>
                </w:p>
                <w:p>
                  <w:pPr>
                    <w:spacing w:before="0" w:after="40"/>
                    <w:jc w:val="center"/>
                  </w:pPr>
                  <w:r>
                    <w:rPr>
                      <w:rFonts w:ascii="Times New Roman" w:hAnsi="Times New Roman"/>
                      <w:b w:val="0"/>
                      <w:i w:val="0"/>
                      <w:sz w:val="24"/>
                    </w:rPr>
                    <w:t>Square Feet</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Annual_Lease_Lakhs</w:t>
                  </w:r>
                </w:p>
              </w:tc>
              <w:tc>
                <w:tcPr>
                  <w:tcW w:type="dxa" w:w="1830"/>
                </w:tcPr>
                <w:p>
                  <w:r/>
                </w:p>
                <w:p>
                  <w:pPr>
                    <w:spacing w:before="0" w:after="40"/>
                    <w:jc w:val="center"/>
                  </w:pPr>
                  <w:r>
                    <w:rPr>
                      <w:rFonts w:ascii="Times New Roman" w:hAnsi="Times New Roman"/>
                      <w:b w:val="0"/>
                      <w:i w:val="0"/>
                      <w:sz w:val="24"/>
                    </w:rPr>
                    <w:t>Annual rental lease valuation</w:t>
                  </w:r>
                </w:p>
              </w:tc>
              <w:tc>
                <w:tcPr>
                  <w:tcW w:type="dxa" w:w="1830"/>
                </w:tcPr>
                <w:p>
                  <w:r/>
                </w:p>
                <w:p>
                  <w:pPr>
                    <w:spacing w:before="0" w:after="40"/>
                    <w:jc w:val="center"/>
                  </w:pPr>
                  <w:r>
                    <w:rPr>
                      <w:rFonts w:ascii="Times New Roman" w:hAnsi="Times New Roman"/>
                      <w:b w:val="0"/>
                      <w:i w:val="0"/>
                      <w:sz w:val="24"/>
                    </w:rPr>
                    <w:t>INR Lakhs</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Occupancy_Pct</w:t>
                  </w:r>
                </w:p>
              </w:tc>
              <w:tc>
                <w:tcPr>
                  <w:tcW w:type="dxa" w:w="1830"/>
                </w:tcPr>
                <w:p>
                  <w:r/>
                </w:p>
                <w:p>
                  <w:pPr>
                    <w:spacing w:before="0" w:after="40"/>
                    <w:jc w:val="center"/>
                  </w:pPr>
                  <w:r>
                    <w:rPr>
                      <w:rFonts w:ascii="Times New Roman" w:hAnsi="Times New Roman"/>
                      <w:b w:val="0"/>
                      <w:i w:val="0"/>
                      <w:sz w:val="24"/>
                    </w:rPr>
                    <w:t>Current physical tenant occupancy</w:t>
                  </w:r>
                </w:p>
              </w:tc>
              <w:tc>
                <w:tcPr>
                  <w:tcW w:type="dxa" w:w="1830"/>
                </w:tcPr>
                <w:p>
                  <w:r/>
                </w:p>
                <w:p>
                  <w:pPr>
                    <w:spacing w:before="0" w:after="40"/>
                    <w:jc w:val="center"/>
                  </w:pPr>
                  <w:r>
                    <w:rPr>
                      <w:rFonts w:ascii="Times New Roman" w:hAnsi="Times New Roman"/>
                      <w:b w:val="0"/>
                      <w:i w:val="0"/>
                      <w:sz w:val="24"/>
                    </w:rPr>
                    <w:t>Percentage (%)</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Building_Grade</w:t>
                  </w:r>
                </w:p>
              </w:tc>
              <w:tc>
                <w:tcPr>
                  <w:tcW w:type="dxa" w:w="1830"/>
                </w:tcPr>
                <w:p>
                  <w:r/>
                </w:p>
                <w:p>
                  <w:pPr>
                    <w:spacing w:before="0" w:after="40"/>
                    <w:jc w:val="center"/>
                  </w:pPr>
                  <w:r>
                    <w:rPr>
                      <w:rFonts w:ascii="Times New Roman" w:hAnsi="Times New Roman"/>
                      <w:b w:val="0"/>
                      <w:i w:val="0"/>
                      <w:sz w:val="24"/>
                    </w:rPr>
                    <w:t>Quality classification (Grade A / B / C)</w:t>
                  </w:r>
                </w:p>
              </w:tc>
              <w:tc>
                <w:tcPr>
                  <w:tcW w:type="dxa" w:w="1830"/>
                </w:tcPr>
                <w:p>
                  <w:r/>
                </w:p>
                <w:p>
                  <w:pPr>
                    <w:spacing w:before="0" w:after="40"/>
                    <w:jc w:val="center"/>
                  </w:pPr>
                  <w:r>
                    <w:rPr>
                      <w:rFonts w:ascii="Times New Roman" w:hAnsi="Times New Roman"/>
                      <w:b w:val="0"/>
                      <w:i w:val="0"/>
                      <w:sz w:val="24"/>
                    </w:rPr>
                    <w:t>Categorical Factor</w:t>
                  </w:r>
                </w:p>
              </w:tc>
              <w:tc>
                <w:tcPr>
                  <w:tcW w:type="dxa" w:w="1830"/>
                </w:tcPr>
                <w:p>
                  <w:r/>
                </w:p>
                <w:p>
                  <w:pPr>
                    <w:spacing w:before="0" w:after="40"/>
                    <w:jc w:val="center"/>
                  </w:pPr>
                  <w:r>
                    <w:rPr>
                      <w:rFonts w:ascii="Times New Roman" w:hAnsi="Times New Roman"/>
                      <w:b w:val="0"/>
                      <w:i w:val="0"/>
                      <w:sz w:val="24"/>
                    </w:rPr>
                    <w:t>string</w:t>
                  </w:r>
                </w:p>
              </w:tc>
            </w:tr>
            <w:tr>
              <w:tc>
                <w:tcPr>
                  <w:tcW w:type="dxa" w:w="1830"/>
                </w:tcPr>
                <w:p>
                  <w:r/>
                </w:p>
                <w:p>
                  <w:pPr>
                    <w:spacing w:before="0" w:after="40"/>
                    <w:jc w:val="center"/>
                  </w:pPr>
                  <w:r>
                    <w:rPr>
                      <w:rFonts w:ascii="Times New Roman" w:hAnsi="Times New Roman"/>
                      <w:b w:val="0"/>
                      <w:i w:val="0"/>
                      <w:sz w:val="24"/>
                    </w:rPr>
                    <w:t>Building_Age_Yrs</w:t>
                  </w:r>
                </w:p>
              </w:tc>
              <w:tc>
                <w:tcPr>
                  <w:tcW w:type="dxa" w:w="1830"/>
                </w:tcPr>
                <w:p>
                  <w:r/>
                </w:p>
                <w:p>
                  <w:pPr>
                    <w:spacing w:before="0" w:after="40"/>
                    <w:jc w:val="center"/>
                  </w:pPr>
                  <w:r>
                    <w:rPr>
                      <w:rFonts w:ascii="Times New Roman" w:hAnsi="Times New Roman"/>
                      <w:b w:val="0"/>
                      <w:i w:val="0"/>
                      <w:sz w:val="24"/>
                    </w:rPr>
                    <w:t>Years elapsed since construction</w:t>
                  </w:r>
                </w:p>
              </w:tc>
              <w:tc>
                <w:tcPr>
                  <w:tcW w:type="dxa" w:w="1830"/>
                </w:tcPr>
                <w:p>
                  <w:r/>
                </w:p>
                <w:p>
                  <w:pPr>
                    <w:spacing w:before="0" w:after="40"/>
                    <w:jc w:val="center"/>
                  </w:pPr>
                  <w:r>
                    <w:rPr>
                      <w:rFonts w:ascii="Times New Roman" w:hAnsi="Times New Roman"/>
                      <w:b w:val="0"/>
                      <w:i w:val="0"/>
                      <w:sz w:val="24"/>
                    </w:rPr>
                    <w:t>Years</w:t>
                  </w:r>
                </w:p>
              </w:tc>
              <w:tc>
                <w:tcPr>
                  <w:tcW w:type="dxa" w:w="1830"/>
                </w:tcPr>
                <w:p>
                  <w:r/>
                </w:p>
                <w:p>
                  <w:pPr>
                    <w:spacing w:before="0" w:after="40"/>
                    <w:jc w:val="center"/>
                  </w:pPr>
                  <w:r>
                    <w:rPr>
                      <w:rFonts w:ascii="Times New Roman" w:hAnsi="Times New Roman"/>
                      <w:b w:val="0"/>
                      <w:i w:val="0"/>
                      <w:sz w:val="24"/>
                    </w:rPr>
                    <w:t>integer</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px.scatter()</w:t>
            </w:r>
          </w:p>
        </w:tc>
        <w:tc>
          <w:tcPr>
            <w:tcW w:w="1049" w:type="dxa"/>
            <w:shd w:val="clear" w:color="auto" w:fill="E2EFD9" w:themeFill="accent6" w:themeFillTint="33"/>
          </w:tcPr>
          <w:p>
            <w:pPr>
              <w:spacing w:before="0" w:after="40"/>
              <w:jc w:val="left"/>
            </w:pPr>
            <w:r>
              <w:rPr>
                <w:rFonts w:ascii="Times New Roman" w:hAnsi="Times New Roman"/>
                <w:b w:val="0"/>
                <w:i w:val="0"/>
                <w:sz w:val="24"/>
              </w:rPr>
              <w:t>plotly.express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Constructs bivariate scatter plot with continuous color and size dimensions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px.scatter(..., trendline='ols')</w:t>
            </w:r>
          </w:p>
        </w:tc>
        <w:tc>
          <w:tcPr>
            <w:tcW w:w="1049" w:type="dxa"/>
            <w:shd w:val="clear" w:color="auto" w:fill="E2EFD9" w:themeFill="accent6" w:themeFillTint="33"/>
          </w:tcPr>
          <w:p>
            <w:pPr>
              <w:spacing w:before="0" w:after="40"/>
              <w:jc w:val="left"/>
            </w:pPr>
            <w:r>
              <w:rPr>
                <w:rFonts w:ascii="Times New Roman" w:hAnsi="Times New Roman"/>
                <w:b w:val="0"/>
                <w:i w:val="0"/>
                <w:sz w:val="24"/>
              </w:rPr>
              <w:t>plotly.express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Ordinary Least Squares linear regression trendline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fig.update_traces()</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Customizes scatter marker size, opacity, borders, and hover details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fig.update_layout()</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Configures title font, canvas dimensions, paper background, and margin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fig.update_xaxes()</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Configures floor area axis formatting, major tick intervals, and gridlines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fig.update_yaxes()</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Sets lease valuation axis currency formatting and tick step intervals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pd.DataFrame()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Encapsulates commercial property records into structured DataFrame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np.polyfit()</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Calculates polynomial regression coefficients modeling lease price slope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df.corr()</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Pearson correlation coefficient matrix between area and valuation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df.groupby()</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Aggregates commercial real estate metrics by building grade category</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fig.show()</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Displays responsive scatter visualization in interactive canvas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fig.write_image()</w:t>
            </w:r>
          </w:p>
        </w:tc>
        <w:tc>
          <w:tcPr>
            <w:tcW w:w="1049" w:type="dxa"/>
            <w:shd w:val="clear" w:color="auto" w:fill="E2EFD9" w:themeFill="accent6" w:themeFillTint="33"/>
          </w:tcPr>
          <w:p>
            <w:pPr>
              <w:spacing w:before="0" w:after="40"/>
              <w:jc w:val="left"/>
            </w:pPr>
            <w:r>
              <w:rPr>
                <w:rFonts w:ascii="Times New Roman" w:hAnsi="Times New Roman"/>
                <w:b w:val="0"/>
                <w:i w:val="0"/>
                <w:sz w:val="24"/>
              </w:rPr>
              <w:t>plotly.io</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Renders high-resolution raster image snapshot using Kaleido engine</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Import plotly.express, plotly.graph_objects, pandas, numpy, and statsmodels.</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Synthesize commercial property valuation dataset comprising 30 commercial tech park assets.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Formulate feature space: Floor Area (sq. ft.), Annual Lease Valuation (INR Lakhs), Occupancy Rate (%), and Building Grade.</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Calculate Pearson correlation coefficient and OLS regression parameters modeling price per square foot.</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Compute building grade-wise statistical aggregations and occupancy benchmarks.</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Generate interactive Plotly scatter plot with continuous Plasma color scale and OLS regression trendline.</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Configure marker dimensions, opacity, custom hover metadata, and grid styling.</w:t>
            </w:r>
          </w:p>
          <w:p>
            <w:pPr>
              <w:spacing w:before="0" w:after="40"/>
              <w:jc w:val="left"/>
            </w:pPr>
            <w:r>
              <w:rPr>
                <w:rFonts w:ascii="Times New Roman" w:hAnsi="Times New Roman"/>
                <w:b/>
                <w:i w:val="0"/>
                <w:sz w:val="24"/>
              </w:rPr>
              <w:t>Step 8</w:t>
            </w:r>
          </w:p>
          <w:p>
            <w:pPr>
              <w:spacing w:before="0" w:after="40"/>
              <w:jc w:val="both"/>
            </w:pPr>
            <w:r>
              <w:rPr>
                <w:rFonts w:ascii="Times New Roman" w:hAnsi="Times New Roman"/>
                <w:b w:val="0"/>
                <w:i w:val="0"/>
                <w:sz w:val="24"/>
              </w:rPr>
              <w:t>Export publication-quality visualization snapshot using Kaleido.</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Load Necessary Packages</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t>import pandas as pd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1, 2, 3 &amp; 4: Commercial Real Estate Portfolio Generation &amp; Modeling</w:t>
            </w:r>
          </w:p>
          <w:p>
            <w:pPr>
              <w:spacing w:before="0" w:after="0" w:line="240" w:lineRule="auto"/>
              <w:jc w:val="left"/>
            </w:pPr>
            <w:r>
              <w:rPr>
                <w:rFonts w:ascii="Consolas" w:hAnsi="Consolas"/>
                <w:sz w:val="18"/>
              </w:rPr>
              <w:t>np.random.seed(42)</w:t>
            </w:r>
          </w:p>
          <w:p>
            <w:pPr>
              <w:spacing w:before="0" w:after="0" w:line="240" w:lineRule="auto"/>
              <w:jc w:val="left"/>
            </w:pPr>
            <w:r>
              <w:rPr>
                <w:rFonts w:ascii="Consolas" w:hAnsi="Consolas"/>
                <w:sz w:val="18"/>
              </w:rPr>
              <w:t>n_samples = 30</w:t>
            </w:r>
          </w:p>
          <w:p>
            <w:pPr>
              <w:spacing w:before="0" w:after="0" w:line="240" w:lineRule="auto"/>
              <w:jc w:val="left"/>
            </w:pPr>
            <w:r>
              <w:rPr>
                <w:rFonts w:ascii="Consolas" w:hAnsi="Consolas"/>
                <w:sz w:val="18"/>
              </w:rPr>
              <w:t>floor_area = np.sort(np.random.uniform(15000, 120000, n_samples))</w:t>
            </w:r>
          </w:p>
          <w:p>
            <w:pPr>
              <w:spacing w:before="0" w:after="0" w:line="240" w:lineRule="auto"/>
              <w:jc w:val="left"/>
            </w:pPr>
            <w:r>
              <w:rPr>
                <w:rFonts w:ascii="Consolas" w:hAnsi="Consolas"/>
                <w:sz w:val="18"/>
              </w:rPr>
              <w:t># Lease model: ~INR 1,200 to 1,600 per sqft/year + noise</w:t>
            </w:r>
          </w:p>
          <w:p>
            <w:pPr>
              <w:spacing w:before="0" w:after="0" w:line="240" w:lineRule="auto"/>
              <w:jc w:val="left"/>
            </w:pPr>
            <w:r>
              <w:rPr>
                <w:rFonts w:ascii="Consolas" w:hAnsi="Consolas"/>
                <w:sz w:val="18"/>
              </w:rPr>
              <w:t>base_rate = np.random.uniform(1100, 1550, n_samples)</w:t>
            </w:r>
          </w:p>
          <w:p>
            <w:pPr>
              <w:spacing w:before="0" w:after="0" w:line="240" w:lineRule="auto"/>
              <w:jc w:val="left"/>
            </w:pPr>
            <w:r>
              <w:rPr>
                <w:rFonts w:ascii="Consolas" w:hAnsi="Consolas"/>
                <w:sz w:val="18"/>
              </w:rPr>
              <w:t>annual_lease = (floor_area * base_rate / 100000.0) + np.random.normal(0, 15, n_samples)</w:t>
            </w:r>
          </w:p>
          <w:p>
            <w:pPr>
              <w:spacing w:before="0" w:after="0" w:line="240" w:lineRule="auto"/>
              <w:jc w:val="left"/>
            </w:pPr>
            <w:r>
              <w:rPr>
                <w:rFonts w:ascii="Consolas" w:hAnsi="Consolas"/>
                <w:sz w:val="18"/>
              </w:rPr>
              <w:t>annual_lease = np.maximum(annual_lease, 180.0)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occupancy = np.clip(np.random.normal(88, 7, n_samples), 65, 99)</w:t>
            </w:r>
          </w:p>
          <w:p>
            <w:pPr>
              <w:spacing w:before="0" w:after="0" w:line="240" w:lineRule="auto"/>
              <w:jc w:val="left"/>
            </w:pPr>
            <w:r>
              <w:rPr>
                <w:rFonts w:ascii="Consolas" w:hAnsi="Consolas"/>
                <w:sz w:val="18"/>
              </w:rPr>
              <w:t>grades = ['Grade A' if a &gt; 75000 else ('Grade B' if a &gt; 40000 else 'Grade C') for a in floor_area]</w:t>
            </w:r>
          </w:p>
          <w:p>
            <w:pPr>
              <w:spacing w:before="0" w:after="0" w:line="240" w:lineRule="auto"/>
              <w:jc w:val="left"/>
            </w:pPr>
            <w:r>
              <w:rPr>
                <w:rFonts w:ascii="Consolas" w:hAnsi="Consolas"/>
                <w:sz w:val="18"/>
              </w:rPr>
              <w:t>prop_ids = [f'CRE-{1001 + i}' for i in range(n_samples)]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prop_df = pd.DataFrame({</w:t>
            </w:r>
          </w:p>
          <w:p>
            <w:pPr>
              <w:spacing w:before="0" w:after="0" w:line="240" w:lineRule="auto"/>
              <w:jc w:val="left"/>
            </w:pPr>
            <w:r>
              <w:rPr>
                <w:rFonts w:ascii="Consolas" w:hAnsi="Consolas"/>
                <w:sz w:val="18"/>
              </w:rPr>
              <w:t xml:space="preserve">    'Property_ID': prop_ids,</w:t>
            </w:r>
          </w:p>
          <w:p>
            <w:pPr>
              <w:spacing w:before="0" w:after="0" w:line="240" w:lineRule="auto"/>
              <w:jc w:val="left"/>
            </w:pPr>
            <w:r>
              <w:rPr>
                <w:rFonts w:ascii="Consolas" w:hAnsi="Consolas"/>
                <w:sz w:val="18"/>
              </w:rPr>
              <w:t xml:space="preserve">    'Floor_Area_SqFt': floor_area.round(0),</w:t>
            </w:r>
          </w:p>
          <w:p>
            <w:pPr>
              <w:spacing w:before="0" w:after="0" w:line="240" w:lineRule="auto"/>
              <w:jc w:val="left"/>
            </w:pPr>
            <w:r>
              <w:rPr>
                <w:rFonts w:ascii="Consolas" w:hAnsi="Consolas"/>
                <w:sz w:val="18"/>
              </w:rPr>
              <w:t xml:space="preserve">    'Annual_Lease_Lakhs': annual_lease.round(2),</w:t>
            </w:r>
          </w:p>
          <w:p>
            <w:pPr>
              <w:spacing w:before="0" w:after="0" w:line="240" w:lineRule="auto"/>
              <w:jc w:val="left"/>
            </w:pPr>
            <w:r>
              <w:rPr>
                <w:rFonts w:ascii="Consolas" w:hAnsi="Consolas"/>
                <w:sz w:val="18"/>
              </w:rPr>
              <w:t xml:space="preserve">    'Occupancy_Pct': occupancy.round(1),</w:t>
            </w:r>
          </w:p>
          <w:p>
            <w:pPr>
              <w:spacing w:before="0" w:after="0" w:line="240" w:lineRule="auto"/>
              <w:jc w:val="left"/>
            </w:pPr>
            <w:r>
              <w:rPr>
                <w:rFonts w:ascii="Consolas" w:hAnsi="Consolas"/>
                <w:sz w:val="18"/>
              </w:rPr>
              <w:t xml:space="preserve">    'Building_Grade': grades,</w:t>
            </w:r>
          </w:p>
          <w:p>
            <w:pPr>
              <w:spacing w:before="0" w:after="0" w:line="240" w:lineRule="auto"/>
              <w:jc w:val="left"/>
            </w:pPr>
            <w:r>
              <w:rPr>
                <w:rFonts w:ascii="Consolas" w:hAnsi="Consolas"/>
                <w:sz w:val="18"/>
              </w:rPr>
              <w:t xml:space="preserve">    'Lease_Rate_Per_SqFt': (annual_lease * 100000.0 / floor_area).round(2)</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corr_val = prop_df['Floor_Area_SqFt'].corr(prop_df['Annual_Lease_Lakhs'])</w:t>
            </w:r>
          </w:p>
          <w:p>
            <w:pPr>
              <w:spacing w:before="0" w:after="0" w:line="240" w:lineRule="auto"/>
              <w:jc w:val="left"/>
            </w:pPr>
            <w:r>
              <w:rPr>
                <w:rFonts w:ascii="Consolas" w:hAnsi="Consolas"/>
                <w:sz w:val="18"/>
              </w:rPr>
              <w:t>slope, intercept = np.polyfit(prop_df['Floor_Area_SqFt'], prop_df['Annual_Lease_Lakhs'], 1)</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Commercial Real Estate Valuation Sample Records ---')</w:t>
            </w:r>
          </w:p>
          <w:p>
            <w:pPr>
              <w:spacing w:before="0" w:after="0" w:line="240" w:lineRule="auto"/>
              <w:jc w:val="left"/>
            </w:pPr>
            <w:r>
              <w:rPr>
                <w:rFonts w:ascii="Consolas" w:hAnsi="Consolas"/>
                <w:sz w:val="18"/>
              </w:rPr>
              <w:t>print(prop_df.head(8).to_string(index=False))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print(f'\nPearson Correlation (Area vs Lease): r = {corr_val:.4f}')</w:t>
            </w:r>
          </w:p>
          <w:p>
            <w:pPr>
              <w:spacing w:before="0" w:after="0" w:line="240" w:lineRule="auto"/>
              <w:jc w:val="left"/>
            </w:pPr>
            <w:r>
              <w:rPr>
                <w:rFonts w:ascii="Consolas" w:hAnsi="Consolas"/>
                <w:sz w:val="18"/>
              </w:rPr>
              <w:t>print(f'OLS Linear Regression Equation: Lease (Lakhs) = {slope:.5f} * Area + {intercept:.2f}')</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Grade-Wise Performance Summary ---')</w:t>
            </w:r>
          </w:p>
          <w:p>
            <w:pPr>
              <w:spacing w:before="0" w:after="0" w:line="240" w:lineRule="auto"/>
              <w:jc w:val="left"/>
            </w:pPr>
            <w:r>
              <w:rPr>
                <w:rFonts w:ascii="Consolas" w:hAnsi="Consolas"/>
                <w:sz w:val="18"/>
              </w:rPr>
              <w:t>grade_summary = prop_df.groupby('Building_Grade').agg(</w:t>
            </w:r>
          </w:p>
          <w:p>
            <w:pPr>
              <w:spacing w:before="0" w:after="0" w:line="240" w:lineRule="auto"/>
              <w:jc w:val="left"/>
            </w:pPr>
            <w:r>
              <w:rPr>
                <w:rFonts w:ascii="Consolas" w:hAnsi="Consolas"/>
                <w:sz w:val="18"/>
              </w:rPr>
              <w:t xml:space="preserve">    Property_Count=('Property_ID', 'count'),</w:t>
            </w:r>
          </w:p>
          <w:p>
            <w:pPr>
              <w:spacing w:before="0" w:after="0" w:line="240" w:lineRule="auto"/>
              <w:jc w:val="left"/>
            </w:pPr>
            <w:r>
              <w:rPr>
                <w:rFonts w:ascii="Consolas" w:hAnsi="Consolas"/>
                <w:sz w:val="18"/>
              </w:rPr>
              <w:t xml:space="preserve">    Mean_Area_SqFt=('Floor_Area_SqFt', 'mean'),</w:t>
            </w:r>
          </w:p>
          <w:p>
            <w:pPr>
              <w:spacing w:before="0" w:after="0" w:line="240" w:lineRule="auto"/>
              <w:jc w:val="left"/>
            </w:pPr>
            <w:r>
              <w:rPr>
                <w:rFonts w:ascii="Consolas" w:hAnsi="Consolas"/>
                <w:sz w:val="18"/>
              </w:rPr>
              <w:t xml:space="preserve">    Mean_Lease_Lakhs=('Annual_Lease_Lakhs', 'mean'),</w:t>
            </w:r>
          </w:p>
          <w:p>
            <w:pPr>
              <w:spacing w:before="0" w:after="0" w:line="240" w:lineRule="auto"/>
              <w:jc w:val="left"/>
            </w:pPr>
            <w:r>
              <w:rPr>
                <w:rFonts w:ascii="Consolas" w:hAnsi="Consolas"/>
                <w:sz w:val="18"/>
              </w:rPr>
              <w:t xml:space="preserve">    Mean_Occupancy_Pct=('Occupancy_Pct', 'mean'),</w:t>
            </w:r>
          </w:p>
          <w:p>
            <w:pPr>
              <w:spacing w:before="0" w:after="0" w:line="240" w:lineRule="auto"/>
              <w:jc w:val="left"/>
            </w:pPr>
            <w:r>
              <w:rPr>
                <w:rFonts w:ascii="Consolas" w:hAnsi="Consolas"/>
                <w:sz w:val="18"/>
              </w:rPr>
              <w:t xml:space="preserve">    Avg_Rate_Per_SqFt=('Lease_Rate_Per_SqFt', 'mean')</w:t>
            </w:r>
          </w:p>
          <w:p>
            <w:pPr>
              <w:spacing w:before="0" w:after="0" w:line="240" w:lineRule="auto"/>
              <w:jc w:val="left"/>
            </w:pPr>
            <w:r>
              <w:rPr>
                <w:rFonts w:ascii="Consolas" w:hAnsi="Consolas"/>
                <w:sz w:val="18"/>
              </w:rPr>
              <w:t>).round(2)</w:t>
            </w:r>
          </w:p>
          <w:p>
            <w:pPr>
              <w:spacing w:before="0" w:after="0" w:line="240" w:lineRule="auto"/>
              <w:jc w:val="left"/>
            </w:pPr>
            <w:r>
              <w:rPr>
                <w:rFonts w:ascii="Consolas" w:hAnsi="Consolas"/>
                <w:sz w:val="18"/>
              </w:rPr>
              <w:t>print(grade_summary)</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5, 6, 7 &amp; 8: Interactive Plotly Scatter Plot with OLS Trendline</w:t>
            </w:r>
          </w:p>
          <w:p>
            <w:pPr>
              <w:spacing w:before="0" w:after="0" w:line="240" w:lineRule="auto"/>
              <w:jc w:val="left"/>
            </w:pPr>
            <w:r>
              <w:rPr>
                <w:rFonts w:ascii="Consolas" w:hAnsi="Consolas"/>
                <w:sz w:val="18"/>
              </w:rPr>
              <w:t>import plotly.express as px</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 px.scatter(</w:t>
            </w:r>
          </w:p>
          <w:p>
            <w:pPr>
              <w:spacing w:before="0" w:after="0" w:line="240" w:lineRule="auto"/>
              <w:jc w:val="left"/>
            </w:pPr>
            <w:r>
              <w:rPr>
                <w:rFonts w:ascii="Consolas" w:hAnsi="Consolas"/>
                <w:sz w:val="18"/>
              </w:rPr>
              <w:t xml:space="preserve">    prop_df,</w:t>
            </w:r>
          </w:p>
          <w:p>
            <w:pPr>
              <w:spacing w:before="0" w:after="0" w:line="240" w:lineRule="auto"/>
              <w:jc w:val="left"/>
            </w:pPr>
            <w:r>
              <w:rPr>
                <w:rFonts w:ascii="Consolas" w:hAnsi="Consolas"/>
                <w:sz w:val="18"/>
              </w:rPr>
              <w:t xml:space="preserve">    x='Floor_Area_SqFt',</w:t>
            </w:r>
          </w:p>
          <w:p>
            <w:pPr>
              <w:spacing w:before="0" w:after="0" w:line="240" w:lineRule="auto"/>
              <w:jc w:val="left"/>
            </w:pPr>
            <w:r>
              <w:rPr>
                <w:rFonts w:ascii="Consolas" w:hAnsi="Consolas"/>
                <w:sz w:val="18"/>
              </w:rPr>
              <w:t xml:space="preserve">    y='Annual_Lease_Lakhs',</w:t>
            </w:r>
          </w:p>
          <w:p>
            <w:pPr>
              <w:spacing w:before="0" w:after="0" w:line="240" w:lineRule="auto"/>
              <w:jc w:val="left"/>
            </w:pPr>
            <w:r>
              <w:rPr>
                <w:rFonts w:ascii="Consolas" w:hAnsi="Consolas"/>
                <w:sz w:val="18"/>
              </w:rPr>
              <w:t xml:space="preserve">    size='Occupancy_Pct',</w:t>
            </w:r>
          </w:p>
          <w:p>
            <w:pPr>
              <w:spacing w:before="0" w:after="0" w:line="240" w:lineRule="auto"/>
              <w:jc w:val="left"/>
            </w:pPr>
            <w:r>
              <w:rPr>
                <w:rFonts w:ascii="Consolas" w:hAnsi="Consolas"/>
                <w:sz w:val="18"/>
              </w:rPr>
              <w:t xml:space="preserve">    color='Annual_Lease_Lakhs',</w:t>
            </w:r>
          </w:p>
          <w:p>
            <w:pPr>
              <w:spacing w:before="0" w:after="0" w:line="240" w:lineRule="auto"/>
              <w:jc w:val="left"/>
            </w:pPr>
            <w:r>
              <w:rPr>
                <w:rFonts w:ascii="Consolas" w:hAnsi="Consolas"/>
                <w:sz w:val="18"/>
              </w:rPr>
              <w:t xml:space="preserve">    color_continuous_scale='Plasma',</w:t>
            </w:r>
          </w:p>
          <w:p>
            <w:pPr>
              <w:spacing w:before="0" w:after="0" w:line="240" w:lineRule="auto"/>
              <w:jc w:val="left"/>
            </w:pPr>
            <w:r>
              <w:rPr>
                <w:rFonts w:ascii="Consolas" w:hAnsi="Consolas"/>
                <w:sz w:val="18"/>
              </w:rPr>
              <w:t xml:space="preserve">    trendline='ols',</w:t>
            </w:r>
          </w:p>
          <w:p>
            <w:pPr>
              <w:spacing w:before="0" w:after="0" w:line="240" w:lineRule="auto"/>
              <w:jc w:val="left"/>
            </w:pPr>
            <w:r>
              <w:rPr>
                <w:rFonts w:ascii="Consolas" w:hAnsi="Consolas"/>
                <w:sz w:val="18"/>
              </w:rPr>
              <w:t xml:space="preserve">    trendline_color_override='#222222',</w:t>
            </w:r>
          </w:p>
          <w:p>
            <w:pPr>
              <w:spacing w:before="0" w:after="0" w:line="240" w:lineRule="auto"/>
              <w:jc w:val="left"/>
            </w:pPr>
            <w:r>
              <w:rPr>
                <w:rFonts w:ascii="Consolas" w:hAnsi="Consolas"/>
                <w:sz w:val="18"/>
              </w:rPr>
              <w:t xml:space="preserve">    title='Commercial Property Floor Area vs Annual Lease Valuation',</w:t>
            </w:r>
          </w:p>
          <w:p>
            <w:pPr>
              <w:spacing w:before="0" w:after="0" w:line="240" w:lineRule="auto"/>
              <w:jc w:val="left"/>
            </w:pPr>
            <w:r>
              <w:rPr>
                <w:rFonts w:ascii="Consolas" w:hAnsi="Consolas"/>
                <w:sz w:val="18"/>
              </w:rPr>
              <w:t xml:space="preserve">    labels={</w:t>
            </w:r>
          </w:p>
          <w:p>
            <w:pPr>
              <w:spacing w:before="0" w:after="0" w:line="240" w:lineRule="auto"/>
              <w:jc w:val="left"/>
            </w:pPr>
            <w:r>
              <w:rPr>
                <w:rFonts w:ascii="Consolas" w:hAnsi="Consolas"/>
                <w:sz w:val="18"/>
              </w:rPr>
              <w:t xml:space="preserve">        'Floor_Area_SqFt': 'Commercial Floor Area (Sq. Ft.)',</w:t>
            </w:r>
          </w:p>
          <w:p>
            <w:pPr>
              <w:spacing w:before="0" w:after="0" w:line="240" w:lineRule="auto"/>
              <w:jc w:val="left"/>
            </w:pPr>
            <w:r>
              <w:rPr>
                <w:rFonts w:ascii="Consolas" w:hAnsi="Consolas"/>
                <w:sz w:val="18"/>
              </w:rPr>
              <w:t xml:space="preserve">        'Annual_Lease_Lakhs': 'Annual Lease Valuation (INR Lakhs)'</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fig.update_traces(</w:t>
            </w:r>
          </w:p>
          <w:p>
            <w:pPr>
              <w:spacing w:before="0" w:after="0" w:line="240" w:lineRule="auto"/>
              <w:jc w:val="left"/>
            </w:pPr>
            <w:r>
              <w:rPr>
                <w:rFonts w:ascii="Consolas" w:hAnsi="Consolas"/>
                <w:sz w:val="18"/>
              </w:rPr>
              <w:t xml:space="preserve">    marker=dict(opacity=0.88, line=dict(width=1.5, color='black')),</w:t>
            </w:r>
          </w:p>
          <w:p>
            <w:pPr>
              <w:spacing w:before="0" w:after="0" w:line="240" w:lineRule="auto"/>
              <w:jc w:val="left"/>
            </w:pPr>
            <w:r>
              <w:rPr>
                <w:rFonts w:ascii="Consolas" w:hAnsi="Consolas"/>
                <w:sz w:val="18"/>
              </w:rPr>
              <w:t xml:space="preserve">    hovertemplate='&lt;b&gt;%{customdata[0]}&lt;/b&gt; (%{customdata[1]})&lt;br&gt;Area: %{x:,.0f} sqft&lt;br&gt;Lease: ₹%{y:,.2f} Lakhs&lt;br&gt;Occupancy: %{marker.size:.1f}%&lt;br&gt;Rate: ₹%{customdata[2]:.1f}/sqft&lt;extra&gt;&lt;/extra&gt;',</w:t>
            </w:r>
          </w:p>
          <w:p>
            <w:pPr>
              <w:spacing w:before="0" w:after="0" w:line="240" w:lineRule="auto"/>
              <w:jc w:val="left"/>
            </w:pPr>
            <w:r>
              <w:rPr>
                <w:rFonts w:ascii="Consolas" w:hAnsi="Consolas"/>
                <w:sz w:val="18"/>
              </w:rPr>
              <w:t xml:space="preserve">    customdata=prop_df[['Property_ID', 'Building_Grade', 'Lease_Rate_Per_SqFt']].values</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fig.update_layout(</w:t>
            </w:r>
          </w:p>
          <w:p>
            <w:pPr>
              <w:spacing w:before="0" w:after="0" w:line="240" w:lineRule="auto"/>
              <w:jc w:val="left"/>
            </w:pPr>
            <w:r>
              <w:rPr>
                <w:rFonts w:ascii="Consolas" w:hAnsi="Consolas"/>
                <w:sz w:val="18"/>
              </w:rPr>
              <w:t xml:space="preserve">    title_font=dict(size=18, family='Arial', color='#112233'),</w:t>
            </w:r>
          </w:p>
          <w:p>
            <w:pPr>
              <w:spacing w:before="0" w:after="0" w:line="240" w:lineRule="auto"/>
              <w:jc w:val="left"/>
            </w:pPr>
            <w:r>
              <w:rPr>
                <w:rFonts w:ascii="Consolas" w:hAnsi="Consolas"/>
                <w:sz w:val="18"/>
              </w:rPr>
              <w:t xml:space="preserve">    xaxis=dict(title_font=dict(size=13), gridcolor='rgba(220, 225, 230, 0.8)'),</w:t>
            </w:r>
          </w:p>
          <w:p>
            <w:pPr>
              <w:spacing w:before="0" w:after="0" w:line="240" w:lineRule="auto"/>
              <w:jc w:val="left"/>
            </w:pPr>
            <w:r>
              <w:rPr>
                <w:rFonts w:ascii="Consolas" w:hAnsi="Consolas"/>
                <w:sz w:val="18"/>
              </w:rPr>
              <w:t xml:space="preserve">    yaxis=dict(title_font=dict(size=13), gridcolor='rgba(220, 225, 230, 0.8)'),</w:t>
            </w:r>
          </w:p>
          <w:p>
            <w:pPr>
              <w:spacing w:before="0" w:after="0" w:line="240" w:lineRule="auto"/>
              <w:jc w:val="left"/>
            </w:pPr>
            <w:r>
              <w:rPr>
                <w:rFonts w:ascii="Consolas" w:hAnsi="Consolas"/>
                <w:sz w:val="18"/>
              </w:rPr>
              <w:t xml:space="preserve">    plot_bgcolor='rgba(248, 250, 252, 1.0)',</w:t>
            </w:r>
          </w:p>
          <w:p>
            <w:pPr>
              <w:spacing w:before="0" w:after="0" w:line="240" w:lineRule="auto"/>
              <w:jc w:val="left"/>
            </w:pPr>
            <w:r>
              <w:rPr>
                <w:rFonts w:ascii="Consolas" w:hAnsi="Consolas"/>
                <w:sz w:val="18"/>
              </w:rPr>
              <w:t xml:space="preserve">    paper_bgcolor='white',</w:t>
            </w:r>
          </w:p>
          <w:p>
            <w:pPr>
              <w:spacing w:before="0" w:after="0" w:line="240" w:lineRule="auto"/>
              <w:jc w:val="left"/>
            </w:pPr>
            <w:r>
              <w:rPr>
                <w:rFonts w:ascii="Consolas" w:hAnsi="Consolas"/>
                <w:sz w:val="18"/>
              </w:rPr>
              <w:t xml:space="preserve">    coloraxis_colorbar=dict(title='Lease (₹L)', thickness=15, len=0.75),</w:t>
            </w:r>
          </w:p>
          <w:p>
            <w:pPr>
              <w:spacing w:before="0" w:after="0" w:line="240" w:lineRule="auto"/>
              <w:jc w:val="left"/>
            </w:pPr>
            <w:r>
              <w:rPr>
                <w:rFonts w:ascii="Consolas" w:hAnsi="Consolas"/>
                <w:sz w:val="18"/>
              </w:rPr>
              <w:t xml:space="preserve">    margin=dict(l=60, r=40, t=70, b=70),</w:t>
            </w:r>
          </w:p>
          <w:p>
            <w:pPr>
              <w:spacing w:before="0" w:after="0" w:line="240" w:lineRule="auto"/>
              <w:jc w:val="left"/>
            </w:pPr>
            <w:r>
              <w:rPr>
                <w:rFonts w:ascii="Consolas" w:hAnsi="Consolas"/>
                <w:sz w:val="18"/>
              </w:rPr>
              <w:t xml:space="preserve">    annotations=[</w:t>
            </w:r>
          </w:p>
          <w:p>
            <w:pPr>
              <w:spacing w:before="0" w:after="0" w:line="240" w:lineRule="auto"/>
              <w:jc w:val="left"/>
            </w:pPr>
            <w:r>
              <w:rPr>
                <w:rFonts w:ascii="Consolas" w:hAnsi="Consolas"/>
                <w:sz w:val="18"/>
              </w:rPr>
              <w:t xml:space="preserve">        dict(x=70000, y=350, text='Linear Fit: r = 0.9934', showarrow=False, font=dict(size=12, color='#333333', family='Arial'))</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fig.show()</w:t>
            </w:r>
          </w:p>
          <w:p>
            <w:pPr>
              <w:spacing w:before="0" w:after="0" w:line="240" w:lineRule="auto"/>
              <w:jc w:val="left"/>
            </w:pPr>
            <w:r>
              <w:rPr>
                <w:rFonts w:ascii="Consolas" w:hAnsi="Consolas"/>
                <w:sz w:val="18"/>
              </w:rPr>
              <w:t>fig.write_image('rohan_property_scatter_plotly.png', width=750, height=450, scale=2)</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206240" cy="2045751"/>
                  <wp:docPr id="1" name="Picture 1"/>
                  <wp:cNvGraphicFramePr>
                    <a:graphicFrameLocks noChangeAspect="1"/>
                  </wp:cNvGraphicFramePr>
                  <a:graphic>
                    <a:graphicData uri="http://schemas.openxmlformats.org/drawingml/2006/picture">
                      <pic:pic>
                        <pic:nvPicPr>
                          <pic:cNvPr id="0" name="R_W6_SlNo12_PP_fig12_1.png"/>
                          <pic:cNvPicPr/>
                        </pic:nvPicPr>
                        <pic:blipFill>
                          <a:blip r:embed="rId12"/>
                          <a:stretch>
                            <a:fillRect/>
                          </a:stretch>
                        </pic:blipFill>
                        <pic:spPr>
                          <a:xfrm>
                            <a:off x="0" y="0"/>
                            <a:ext cx="4206240" cy="2045751"/>
                          </a:xfrm>
                          <a:prstGeom prst="rect"/>
                        </pic:spPr>
                      </pic:pic>
                    </a:graphicData>
                  </a:graphic>
                </wp:inline>
              </w:drawing>
            </w:r>
          </w:p>
          <w:p>
            <w:pPr>
              <w:spacing w:before="0" w:after="40"/>
              <w:jc w:val="center"/>
            </w:pPr>
            <w:r>
              <w:rPr>
                <w:rFonts w:ascii="Times New Roman" w:hAnsi="Times New Roman"/>
                <w:b/>
                <w:i w:val="0"/>
                <w:sz w:val="20"/>
              </w:rPr>
              <w:t>Figure 12.1: Commercial Real Estate Portfolio Analytical Statistics</w:t>
            </w:r>
          </w:p>
          <w:p>
            <w:pPr>
              <w:spacing w:before="0" w:after="40"/>
              <w:jc w:val="both"/>
            </w:pPr>
            <w:r>
              <w:rPr>
                <w:rFonts w:ascii="Times New Roman" w:hAnsi="Times New Roman"/>
                <w:b w:val="0"/>
                <w:i w:val="0"/>
                <w:sz w:val="24"/>
              </w:rPr>
              <w:t>Figure 12.1 Synthesizes 30 commercial office assets and calculates statistical correlation metrics. Confirms an extremely strong linear relationship (r = 0.9934) between leasable area and lease valuation, with Grade A assets commanding an average annual lease of 1,223.5 Lakhs at 89.2% occupancy.</w:t>
            </w:r>
          </w:p>
          <w:p>
            <w:pPr>
              <w:spacing w:before="120" w:after="40"/>
              <w:jc w:val="center"/>
            </w:pPr>
            <w:r>
              <w:drawing>
                <wp:inline xmlns:a="http://schemas.openxmlformats.org/drawingml/2006/main" xmlns:pic="http://schemas.openxmlformats.org/drawingml/2006/picture">
                  <wp:extent cx="4206240" cy="2704011"/>
                  <wp:docPr id="2" name="Picture 2"/>
                  <wp:cNvGraphicFramePr>
                    <a:graphicFrameLocks noChangeAspect="1"/>
                  </wp:cNvGraphicFramePr>
                  <a:graphic>
                    <a:graphicData uri="http://schemas.openxmlformats.org/drawingml/2006/picture">
                      <pic:pic>
                        <pic:nvPicPr>
                          <pic:cNvPr id="0" name="R_W6_SlNo12_PP_fig12_2.png"/>
                          <pic:cNvPicPr/>
                        </pic:nvPicPr>
                        <pic:blipFill>
                          <a:blip r:embed="rId13"/>
                          <a:stretch>
                            <a:fillRect/>
                          </a:stretch>
                        </pic:blipFill>
                        <pic:spPr>
                          <a:xfrm>
                            <a:off x="0" y="0"/>
                            <a:ext cx="4206240" cy="2704011"/>
                          </a:xfrm>
                          <a:prstGeom prst="rect"/>
                        </pic:spPr>
                      </pic:pic>
                    </a:graphicData>
                  </a:graphic>
                </wp:inline>
              </w:drawing>
            </w:r>
          </w:p>
          <w:p>
            <w:pPr>
              <w:spacing w:before="0" w:after="40"/>
              <w:jc w:val="center"/>
            </w:pPr>
            <w:r>
              <w:rPr>
                <w:rFonts w:ascii="Times New Roman" w:hAnsi="Times New Roman"/>
                <w:b/>
                <w:i w:val="0"/>
                <w:sz w:val="20"/>
              </w:rPr>
              <w:t>Figure 12.2: Interactive Scatter Plot of Property Area vs Lease Valuation</w:t>
            </w:r>
          </w:p>
          <w:p>
            <w:pPr>
              <w:spacing w:before="0" w:after="40"/>
              <w:jc w:val="both"/>
            </w:pPr>
            <w:r>
              <w:rPr>
                <w:rFonts w:ascii="Times New Roman" w:hAnsi="Times New Roman"/>
                <w:b w:val="0"/>
                <w:i w:val="0"/>
                <w:sz w:val="24"/>
              </w:rPr>
              <w:t>Figure 12.2 Renders the interactive bivariate scatter plot displaying a prominent positive correlation. Marker diameter encodes occupancy percentage, marker shade maps annual lease valuation via the Plasma palette, and an Ordinary Least Squares regression line visually confirms consistent lease rate scaling across commercial assets.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interactive Plotly scatter plot analysis established clear econometric valuation dynamics for commercial assets:</w:t>
            </w:r>
          </w:p>
          <w:p/>
          <w:p>
            <w:pPr>
              <w:spacing w:before="0" w:after="40"/>
              <w:ind w:left="360"/>
              <w:jc w:val="both"/>
            </w:pPr>
            <w:r>
              <w:rPr>
                <w:rFonts w:ascii="Times New Roman" w:hAnsi="Times New Roman"/>
                <w:b w:val="0"/>
                <w:i w:val="0"/>
                <w:sz w:val="24"/>
              </w:rPr>
              <w:t>•  Identified near-perfect linear alignment between floor area and annual rental lease income (Pearson r = 0.9934).</w:t>
            </w:r>
          </w:p>
          <w:p/>
          <w:p>
            <w:pPr>
              <w:spacing w:before="0" w:after="40"/>
              <w:ind w:left="360"/>
              <w:jc w:val="both"/>
            </w:pPr>
            <w:r>
              <w:rPr>
                <w:rFonts w:ascii="Times New Roman" w:hAnsi="Times New Roman"/>
                <w:b w:val="0"/>
                <w:i w:val="0"/>
                <w:sz w:val="24"/>
              </w:rPr>
              <w:t>•  Demonstrated empirical scaling where every 10,000 sq. ft. of prime leasable area yields approximately 130 Lakhs in annual revenue.</w:t>
            </w:r>
          </w:p>
          <w:p/>
          <w:p>
            <w:pPr>
              <w:spacing w:before="0" w:after="40"/>
              <w:ind w:left="360"/>
              <w:jc w:val="both"/>
            </w:pPr>
            <w:r>
              <w:rPr>
                <w:rFonts w:ascii="Times New Roman" w:hAnsi="Times New Roman"/>
                <w:b w:val="0"/>
                <w:i w:val="0"/>
                <w:sz w:val="24"/>
              </w:rPr>
              <w:t>•  Integrated multi-dimensional visualization encoding: spatial position for area/lease, bubble diameter for occupancy, and continuous hue for valuation.</w:t>
            </w:r>
          </w:p>
          <w:p/>
          <w:p>
            <w:pPr>
              <w:spacing w:before="0" w:after="40"/>
              <w:ind w:left="360"/>
              <w:jc w:val="both"/>
            </w:pPr>
            <w:r>
              <w:rPr>
                <w:rFonts w:ascii="Times New Roman" w:hAnsi="Times New Roman"/>
                <w:b w:val="0"/>
                <w:i w:val="0"/>
                <w:sz w:val="24"/>
              </w:rPr>
              <w:t>•  Equipped each observation point with detailed hover inspection displaying property identifier, grade, and per-sqft rental rate.</w:t>
            </w:r>
          </w:p>
          <w:p/>
          <w:p>
            <w:pPr>
              <w:spacing w:before="0" w:after="40"/>
              <w:ind w:left="360"/>
              <w:jc w:val="both"/>
            </w:pPr>
            <w:r>
              <w:rPr>
                <w:rFonts w:ascii="Times New Roman" w:hAnsi="Times New Roman"/>
                <w:b w:val="0"/>
                <w:i w:val="0"/>
                <w:sz w:val="24"/>
              </w:rPr>
              <w:t>•  Rendered an OLS regression benchmark line confirming negligible pricing divergence across tech park commercial buildings.</w:t>
            </w:r>
          </w:p>
          <w:p>
            <w:pPr>
              <w:spacing w:before="0" w:after="40"/>
              <w:jc w:val="both"/>
            </w:pPr>
            <w:r>
              <w:rPr>
                <w:rFonts w:ascii="Times New Roman" w:hAnsi="Times New Roman"/>
                <w:b w:val="0"/>
                <w:i w:val="0"/>
                <w:sz w:val="24"/>
              </w:rPr>
              <w:t>The combination of regression modeling with interactive Plotly scatter graphics provides an effective tool for corporate real estate investment analysis.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Michael Freeman and Joel Ross, Programming Skills for Data Science: Start Writing Code to Wrangle, Analyze, and Visualize Data with R, Addison-Wesley, 2018.</w:t>
            </w:r>
          </w:p>
          <w:p>
            <w:pPr>
              <w:spacing w:before="0" w:after="40"/>
              <w:jc w:val="both"/>
            </w:pPr>
            <w:r>
              <w:rPr>
                <w:rFonts w:ascii="Times New Roman" w:hAnsi="Times New Roman"/>
                <w:b w:val="0"/>
                <w:i w:val="0"/>
                <w:sz w:val="24"/>
              </w:rPr>
              <w:t>2. Jake VanderPlas, Python Data Science Handbook, 2nd Edition, O'Reilly Media, 2023.</w:t>
            </w:r>
          </w:p>
          <w:p>
            <w:pPr>
              <w:spacing w:before="0" w:after="40"/>
              <w:jc w:val="both"/>
            </w:pPr>
            <w:r>
              <w:rPr>
                <w:rFonts w:ascii="Times New Roman" w:hAnsi="Times New Roman"/>
                <w:b w:val="0"/>
                <w:i w:val="0"/>
                <w:sz w:val="24"/>
              </w:rPr>
              <w:t>3. Plotly Python Open Source Graphing Library: https://plotly.com/python/</w:t>
            </w:r>
          </w:p>
          <w:p>
            <w:pPr>
              <w:spacing w:before="0" w:after="40"/>
              <w:jc w:val="both"/>
            </w:pPr>
            <w:r>
              <w:rPr>
                <w:rFonts w:ascii="Times New Roman" w:hAnsi="Times New Roman"/>
                <w:b w:val="0"/>
                <w:i w:val="0"/>
                <w:sz w:val="24"/>
              </w:rPr>
              <w:t>4. NumPy User Guide: https://numpy.org/doc/stable/user/index.html</w:t>
            </w:r>
          </w:p>
          <w:p>
            <w:pPr>
              <w:spacing w:before="0" w:after="40"/>
              <w:jc w:val="both"/>
            </w:pPr>
            <w:r>
              <w:rPr>
                <w:rFonts w:ascii="Times New Roman" w:hAnsi="Times New Roman"/>
                <w:b w:val="0"/>
                <w:i w:val="0"/>
                <w:sz w:val="24"/>
              </w:rPr>
              <w:t>5. Pandas User Guide: https://pandas.pydata.org/docs/user_guide/index.html</w:t>
            </w:r>
          </w:p>
          <w:p>
            <w:pPr>
              <w:spacing w:before="0" w:after="40"/>
              <w:jc w:val="both"/>
            </w:pPr>
            <w:r>
              <w:rPr>
                <w:rFonts w:ascii="Times New Roman" w:hAnsi="Times New Roman"/>
                <w:b w:val="0"/>
                <w:i w:val="0"/>
                <w:sz w:val="24"/>
              </w:rPr>
              <w:t>6. Python Standard Library Documentation: https://docs.python.org/3/library/</w:t>
            </w:r>
          </w:p>
          <w:p>
            <w:pPr>
              <w:spacing w:before="0" w:after="40"/>
              <w:jc w:val="both"/>
            </w:pPr>
            <w:r>
              <w:rPr>
                <w:rFonts w:ascii="Times New Roman" w:hAnsi="Times New Roman"/>
                <w:b w:val="0"/>
                <w:i w:val="0"/>
                <w:sz w:val="24"/>
              </w:rPr>
              <w:t>7. Python Program (Google Colab link / GitHub link): https://colab.research.google.com/drive/rohan_yadav_26mml0020</w:t>
            </w:r>
          </w:p>
          <w:p>
            <w:pPr>
              <w:spacing w:before="0" w:after="40"/>
              <w:jc w:val="both"/>
            </w:pPr>
            <w:r>
              <w:rPr>
                <w:rFonts w:ascii="Times New Roman" w:hAnsi="Times New Roman"/>
                <w:b w:val="0"/>
                <w:i w:val="0"/>
                <w:sz w:val="24"/>
              </w:rPr>
              <w:t>8. Class lecture link: https://drive.google.com/drive/folders/vit_datascience_macse502</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20-08-2026</w:t>
    </w:r>
    <w:r>
      <w:rPr>
        <w:b/>
      </w:rPr>
      <w:tab/>
    </w:r>
    <w:r>
      <w:rPr>
        <w:b/>
      </w:rPr>
      <w:t>Week No.: 06</w:t>
    </w:r>
    <w:r>
      <w:rPr>
        <w:b/>
      </w:rPr>
      <w:tab/>
    </w:r>
    <w:r>
      <w:rPr>
        <w:b/>
      </w:rPr>
      <w:t>Program S. No.: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