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val="clear" w:color="auto" w:fill="833C0B" w:themeFill="accent2" w:themeFillShade="80"/>
          </w:tcPr>
          <w:p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pPr>
              <w:spacing w:before="0" w:after="40"/>
              <w:jc w:val="center"/>
            </w:pPr>
            <w:r>
              <w:rPr>
                <w:rFonts w:ascii="Times New Roman" w:hAnsi="Times New Roman"/>
                <w:b/>
                <w:i w:val="0"/>
                <w:sz w:val="24"/>
              </w:rPr>
              <w:t>Interactive Multi-Line Plot of Server Latency Monitoring with Bokeh</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Develop an interactive multi-line time series visualization using Bokeh to monitor network round-trip latency (milliseconds) across 3 global cloud enterprise datacenters (US-East N. Virginia, EU-Central Frankfurt, AP-South Mumbai) over a 7-day operational window. Bind datetime sequences to the horizontal axis, plot distinct colored continuous latency trajectories with overlaid glyph markers, configure interactive HoverTools for telemetry inspection, add an SLA threshold reference, and export the dashboard graphic for network operations reviews.</w:t>
            </w:r>
          </w:p>
        </w:tc>
      </w:tr>
      <w:tr w:rsidR="00246324" w:rsidRPr="005A6DDE" w:rsidTr="00D557C0">
        <w:trPr>
          <w:gridAfter w:val="1"/>
          <w:wAfter w:w="55" w:type="dxa"/>
        </w:trPr>
        <w:tc>
          <w:tcPr>
            <w:tcW w:w="1696" w:type="dxa"/>
            <w:shd w:val="clear" w:color="auto" w:fill="F7CAAC" w:themeFill="accent2" w:themeFillTint="66"/>
            <w:vAlign w:val="cente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p>
            <w:pPr>
              <w:spacing w:before="0" w:after="40"/>
              <w:ind w:left="360"/>
              <w:jc w:val="both"/>
            </w:pPr>
            <w:r>
              <w:rPr>
                <w:rFonts w:ascii="Times New Roman" w:hAnsi="Times New Roman"/>
                <w:b w:val="0"/>
                <w:i w:val="0"/>
                <w:sz w:val="24"/>
              </w:rPr>
              <w:t>•  To construct multi-series interactive time series line visualizations using Bokeh.</w:t>
            </w:r>
          </w:p>
          <w:p/>
          <w:p>
            <w:pPr>
              <w:spacing w:before="0" w:after="40"/>
              <w:ind w:left="360"/>
              <w:jc w:val="both"/>
            </w:pPr>
            <w:r>
              <w:rPr>
                <w:rFonts w:ascii="Times New Roman" w:hAnsi="Times New Roman"/>
                <w:b w:val="0"/>
                <w:i w:val="0"/>
                <w:sz w:val="24"/>
              </w:rPr>
              <w:t>•  To monitor and benchmark round-trip server latency across international cloud regions.</w:t>
            </w:r>
          </w:p>
          <w:p/>
          <w:p>
            <w:pPr>
              <w:spacing w:before="0" w:after="40"/>
              <w:ind w:left="360"/>
              <w:jc w:val="both"/>
            </w:pPr>
            <w:r>
              <w:rPr>
                <w:rFonts w:ascii="Times New Roman" w:hAnsi="Times New Roman"/>
                <w:b w:val="0"/>
                <w:i w:val="0"/>
                <w:sz w:val="24"/>
              </w:rPr>
              <w:t>•  To overlay glyph points on continuous line curves for discrete daily observations.</w:t>
            </w:r>
          </w:p>
          <w:p/>
          <w:p>
            <w:pPr>
              <w:spacing w:before="0" w:after="40"/>
              <w:ind w:left="360"/>
              <w:jc w:val="both"/>
            </w:pPr>
            <w:r>
              <w:rPr>
                <w:rFonts w:ascii="Times New Roman" w:hAnsi="Times New Roman"/>
                <w:b w:val="0"/>
                <w:i w:val="0"/>
                <w:sz w:val="24"/>
              </w:rPr>
              <w:t>•  To implement interactive HoverTools displaying precise timestamps and latency metrics.</w:t>
            </w:r>
          </w:p>
          <w:p/>
          <w:p>
            <w:pPr>
              <w:spacing w:before="0" w:after="40"/>
              <w:ind w:left="360"/>
              <w:jc w:val="both"/>
            </w:pPr>
            <w:r>
              <w:rPr>
                <w:rFonts w:ascii="Times New Roman" w:hAnsi="Times New Roman"/>
                <w:b w:val="0"/>
                <w:i w:val="0"/>
                <w:sz w:val="24"/>
              </w:rPr>
              <w:t>•  To evaluate SLA operational compliance thresholds across geographical network routes.</w:t>
            </w:r>
          </w:p>
          <w:p/>
          <w:p>
            <w:pPr>
              <w:spacing w:before="0" w:after="40"/>
              <w:ind w:left="360"/>
              <w:jc w:val="both"/>
            </w:pPr>
            <w:r>
              <w:rPr>
                <w:rFonts w:ascii="Times New Roman" w:hAnsi="Times New Roman"/>
                <w:b w:val="0"/>
                <w:i w:val="0"/>
                <w:sz w:val="24"/>
              </w:rPr>
              <w:t>•  To capture and export high-resolution dashboard snapshots using headless browser automation.</w:t>
            </w:r>
          </w:p>
        </w:tc>
      </w:tr>
      <w:tr w:rsidR="00765ABB" w:rsidRPr="005A6DDE" w:rsidTr="00D557C0">
        <w:trPr>
          <w:gridAfter w:val="1"/>
          <w:wAfter w:w="55" w:type="dxa"/>
        </w:trPr>
        <w:tc>
          <w:tcPr>
            <w:tcW w:w="1696" w:type="dxa"/>
            <w:shd w:val="clear" w:color="auto" w:fill="F7CAAC" w:themeFill="accent2" w:themeFillTint="66"/>
            <w:vAlign w:val="cente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7-day enterprise network telemetry dataset recording daily round-trip latency (ms) across three primary cloud datacenter regions: US-East (N. Virginia), EU-Central (Frankfurt), and AP-South (Mumbai).</w:t>
            </w:r>
          </w:p>
          <w:tbl>
            <w:tblPr>
              <w:tblStyle w:val="TableGrid"/>
              <w:tblW w:type="auto" w:w="0"/>
              <w:tblLook w:firstColumn="1" w:firstRow="1" w:lastColumn="0" w:lastRow="0" w:noHBand="0" w:noVBand="1" w:val="04A0"/>
            </w:tblPr>
            <w:tblGrid>
              <w:gridCol w:w="1464"/>
              <w:gridCol w:w="1464"/>
              <w:gridCol w:w="1464"/>
              <w:gridCol w:w="1464"/>
              <w:gridCol w:w="1464"/>
            </w:tblGrid>
            <w:tr>
              <w:tc>
                <w:tcPr>
                  <w:tcW w:type="dxa" w:w="1464"/>
                </w:tcPr>
                <w:p>
                  <w:r/>
                </w:p>
                <w:p>
                  <w:pPr>
                    <w:spacing w:before="0" w:after="40"/>
                    <w:jc w:val="center"/>
                  </w:pPr>
                  <w:r>
                    <w:rPr>
                      <w:rFonts w:ascii="Times New Roman" w:hAnsi="Times New Roman"/>
                      <w:b/>
                      <w:i w:val="0"/>
                      <w:sz w:val="24"/>
                    </w:rPr>
                    <w:t>Day / Timestamp</w:t>
                  </w:r>
                </w:p>
              </w:tc>
              <w:tc>
                <w:tcPr>
                  <w:tcW w:type="dxa" w:w="1464"/>
                </w:tcPr>
                <w:p>
                  <w:r/>
                </w:p>
                <w:p>
                  <w:pPr>
                    <w:spacing w:before="0" w:after="40"/>
                    <w:jc w:val="center"/>
                  </w:pPr>
                  <w:r>
                    <w:rPr>
                      <w:rFonts w:ascii="Times New Roman" w:hAnsi="Times New Roman"/>
                      <w:b/>
                      <w:i w:val="0"/>
                      <w:sz w:val="24"/>
                    </w:rPr>
                    <w:t>Datacenter Region</w:t>
                  </w:r>
                </w:p>
              </w:tc>
              <w:tc>
                <w:tcPr>
                  <w:tcW w:type="dxa" w:w="1464"/>
                </w:tcPr>
                <w:p>
                  <w:r/>
                </w:p>
                <w:p>
                  <w:pPr>
                    <w:spacing w:before="0" w:after="40"/>
                    <w:jc w:val="center"/>
                  </w:pPr>
                  <w:r>
                    <w:rPr>
                      <w:rFonts w:ascii="Times New Roman" w:hAnsi="Times New Roman"/>
                      <w:b/>
                      <w:i w:val="0"/>
                      <w:sz w:val="24"/>
                    </w:rPr>
                    <w:t>Mean Latency (ms)</w:t>
                  </w:r>
                </w:p>
              </w:tc>
              <w:tc>
                <w:tcPr>
                  <w:tcW w:type="dxa" w:w="1464"/>
                </w:tcPr>
                <w:p>
                  <w:r/>
                </w:p>
                <w:p>
                  <w:pPr>
                    <w:spacing w:before="0" w:after="40"/>
                    <w:jc w:val="center"/>
                  </w:pPr>
                  <w:r>
                    <w:rPr>
                      <w:rFonts w:ascii="Times New Roman" w:hAnsi="Times New Roman"/>
                      <w:b/>
                      <w:i w:val="0"/>
                      <w:sz w:val="24"/>
                    </w:rPr>
                    <w:t>SLA Threshold (ms)</w:t>
                  </w:r>
                </w:p>
              </w:tc>
              <w:tc>
                <w:tcPr>
                  <w:tcW w:type="dxa" w:w="1464"/>
                </w:tcPr>
                <w:p>
                  <w:r/>
                </w:p>
                <w:p>
                  <w:pPr>
                    <w:spacing w:before="0" w:after="40"/>
                    <w:jc w:val="center"/>
                  </w:pPr>
                  <w:r>
                    <w:rPr>
                      <w:rFonts w:ascii="Times New Roman" w:hAnsi="Times New Roman"/>
                      <w:b/>
                      <w:i w:val="0"/>
                      <w:sz w:val="24"/>
                    </w:rPr>
                    <w:t>Status</w:t>
                  </w:r>
                </w:p>
              </w:tc>
            </w:tr>
            <w:tr>
              <w:tc>
                <w:tcPr>
                  <w:tcW w:type="dxa" w:w="1464"/>
                </w:tcPr>
                <w:p>
                  <w:r/>
                </w:p>
                <w:p>
                  <w:pPr>
                    <w:spacing w:before="0" w:after="40"/>
                    <w:jc w:val="center"/>
                  </w:pPr>
                  <w:r>
                    <w:rPr>
                      <w:rFonts w:ascii="Times New Roman" w:hAnsi="Times New Roman"/>
                      <w:b w:val="0"/>
                      <w:i w:val="0"/>
                      <w:sz w:val="24"/>
                    </w:rPr>
                    <w:t>Day 1 to 7</w:t>
                  </w:r>
                </w:p>
              </w:tc>
              <w:tc>
                <w:tcPr>
                  <w:tcW w:type="dxa" w:w="1464"/>
                </w:tcPr>
                <w:p>
                  <w:r/>
                </w:p>
                <w:p>
                  <w:pPr>
                    <w:spacing w:before="0" w:after="40"/>
                    <w:jc w:val="center"/>
                  </w:pPr>
                  <w:r>
                    <w:rPr>
                      <w:rFonts w:ascii="Times New Roman" w:hAnsi="Times New Roman"/>
                      <w:b w:val="0"/>
                      <w:i w:val="0"/>
                      <w:sz w:val="24"/>
                    </w:rPr>
                    <w:t>US-East (N. Virginia)</w:t>
                  </w:r>
                </w:p>
              </w:tc>
              <w:tc>
                <w:tcPr>
                  <w:tcW w:type="dxa" w:w="1464"/>
                </w:tcPr>
                <w:p>
                  <w:r/>
                </w:p>
                <w:p>
                  <w:pPr>
                    <w:spacing w:before="0" w:after="40"/>
                    <w:jc w:val="center"/>
                  </w:pPr>
                  <w:r>
                    <w:rPr>
                      <w:rFonts w:ascii="Times New Roman" w:hAnsi="Times New Roman"/>
                      <w:b w:val="0"/>
                      <w:i w:val="0"/>
                      <w:sz w:val="24"/>
                    </w:rPr>
                    <w:t>42.0 to 52.0 ms</w:t>
                  </w:r>
                </w:p>
              </w:tc>
              <w:tc>
                <w:tcPr>
                  <w:tcW w:type="dxa" w:w="1464"/>
                </w:tcPr>
                <w:p>
                  <w:r/>
                </w:p>
                <w:p>
                  <w:pPr>
                    <w:spacing w:before="0" w:after="40"/>
                    <w:jc w:val="center"/>
                  </w:pPr>
                  <w:r>
                    <w:rPr>
                      <w:rFonts w:ascii="Times New Roman" w:hAnsi="Times New Roman"/>
                      <w:b w:val="0"/>
                      <w:i w:val="0"/>
                      <w:sz w:val="24"/>
                    </w:rPr>
                    <w:t>100.0 ms</w:t>
                  </w:r>
                </w:p>
              </w:tc>
              <w:tc>
                <w:tcPr>
                  <w:tcW w:type="dxa" w:w="1464"/>
                </w:tcPr>
                <w:p>
                  <w:r/>
                </w:p>
                <w:p>
                  <w:pPr>
                    <w:spacing w:before="0" w:after="40"/>
                    <w:jc w:val="center"/>
                  </w:pPr>
                  <w:r>
                    <w:rPr>
                      <w:rFonts w:ascii="Times New Roman" w:hAnsi="Times New Roman"/>
                      <w:b w:val="0"/>
                      <w:i w:val="0"/>
                      <w:sz w:val="24"/>
                    </w:rPr>
                    <w:t>Normal</w:t>
                  </w:r>
                </w:p>
              </w:tc>
            </w:tr>
            <w:tr>
              <w:tc>
                <w:tcPr>
                  <w:tcW w:type="dxa" w:w="1464"/>
                </w:tcPr>
                <w:p>
                  <w:r/>
                </w:p>
                <w:p>
                  <w:pPr>
                    <w:spacing w:before="0" w:after="40"/>
                    <w:jc w:val="center"/>
                  </w:pPr>
                  <w:r>
                    <w:rPr>
                      <w:rFonts w:ascii="Times New Roman" w:hAnsi="Times New Roman"/>
                      <w:b w:val="0"/>
                      <w:i w:val="0"/>
                      <w:sz w:val="24"/>
                    </w:rPr>
                    <w:t>Day 1 to 7</w:t>
                  </w:r>
                </w:p>
              </w:tc>
              <w:tc>
                <w:tcPr>
                  <w:tcW w:type="dxa" w:w="1464"/>
                </w:tcPr>
                <w:p>
                  <w:r/>
                </w:p>
                <w:p>
                  <w:pPr>
                    <w:spacing w:before="0" w:after="40"/>
                    <w:jc w:val="center"/>
                  </w:pPr>
                  <w:r>
                    <w:rPr>
                      <w:rFonts w:ascii="Times New Roman" w:hAnsi="Times New Roman"/>
                      <w:b w:val="0"/>
                      <w:i w:val="0"/>
                      <w:sz w:val="24"/>
                    </w:rPr>
                    <w:t>EU-Central (Frankfurt)</w:t>
                  </w:r>
                </w:p>
              </w:tc>
              <w:tc>
                <w:tcPr>
                  <w:tcW w:type="dxa" w:w="1464"/>
                </w:tcPr>
                <w:p>
                  <w:r/>
                </w:p>
                <w:p>
                  <w:pPr>
                    <w:spacing w:before="0" w:after="40"/>
                    <w:jc w:val="center"/>
                  </w:pPr>
                  <w:r>
                    <w:rPr>
                      <w:rFonts w:ascii="Times New Roman" w:hAnsi="Times New Roman"/>
                      <w:b w:val="0"/>
                      <w:i w:val="0"/>
                      <w:sz w:val="24"/>
                    </w:rPr>
                    <w:t>74.0 to 86.0 ms</w:t>
                  </w:r>
                </w:p>
              </w:tc>
              <w:tc>
                <w:tcPr>
                  <w:tcW w:type="dxa" w:w="1464"/>
                </w:tcPr>
                <w:p>
                  <w:r/>
                </w:p>
                <w:p>
                  <w:pPr>
                    <w:spacing w:before="0" w:after="40"/>
                    <w:jc w:val="center"/>
                  </w:pPr>
                  <w:r>
                    <w:rPr>
                      <w:rFonts w:ascii="Times New Roman" w:hAnsi="Times New Roman"/>
                      <w:b w:val="0"/>
                      <w:i w:val="0"/>
                      <w:sz w:val="24"/>
                    </w:rPr>
                    <w:t>100.0 ms</w:t>
                  </w:r>
                </w:p>
              </w:tc>
              <w:tc>
                <w:tcPr>
                  <w:tcW w:type="dxa" w:w="1464"/>
                </w:tcPr>
                <w:p>
                  <w:r/>
                </w:p>
                <w:p>
                  <w:pPr>
                    <w:spacing w:before="0" w:after="40"/>
                    <w:jc w:val="center"/>
                  </w:pPr>
                  <w:r>
                    <w:rPr>
                      <w:rFonts w:ascii="Times New Roman" w:hAnsi="Times New Roman"/>
                      <w:b w:val="0"/>
                      <w:i w:val="0"/>
                      <w:sz w:val="24"/>
                    </w:rPr>
                    <w:t>Normal</w:t>
                  </w:r>
                </w:p>
              </w:tc>
            </w:tr>
            <w:tr>
              <w:tc>
                <w:tcPr>
                  <w:tcW w:type="dxa" w:w="1464"/>
                </w:tcPr>
                <w:p>
                  <w:r/>
                </w:p>
                <w:p>
                  <w:pPr>
                    <w:spacing w:before="0" w:after="40"/>
                    <w:jc w:val="center"/>
                  </w:pPr>
                  <w:r>
                    <w:rPr>
                      <w:rFonts w:ascii="Times New Roman" w:hAnsi="Times New Roman"/>
                      <w:b w:val="0"/>
                      <w:i w:val="0"/>
                      <w:sz w:val="24"/>
                    </w:rPr>
                    <w:t>Day 1 to 7</w:t>
                  </w:r>
                </w:p>
              </w:tc>
              <w:tc>
                <w:tcPr>
                  <w:tcW w:type="dxa" w:w="1464"/>
                </w:tcPr>
                <w:p>
                  <w:r/>
                </w:p>
                <w:p>
                  <w:pPr>
                    <w:spacing w:before="0" w:after="40"/>
                    <w:jc w:val="center"/>
                  </w:pPr>
                  <w:r>
                    <w:rPr>
                      <w:rFonts w:ascii="Times New Roman" w:hAnsi="Times New Roman"/>
                      <w:b w:val="0"/>
                      <w:i w:val="0"/>
                      <w:sz w:val="24"/>
                    </w:rPr>
                    <w:t>AP-South (Mumbai)</w:t>
                  </w:r>
                </w:p>
              </w:tc>
              <w:tc>
                <w:tcPr>
                  <w:tcW w:type="dxa" w:w="1464"/>
                </w:tcPr>
                <w:p>
                  <w:r/>
                </w:p>
                <w:p>
                  <w:pPr>
                    <w:spacing w:before="0" w:after="40"/>
                    <w:jc w:val="center"/>
                  </w:pPr>
                  <w:r>
                    <w:rPr>
                      <w:rFonts w:ascii="Times New Roman" w:hAnsi="Times New Roman"/>
                      <w:b w:val="0"/>
                      <w:i w:val="0"/>
                      <w:sz w:val="24"/>
                    </w:rPr>
                    <w:t>28.0 to 38.0 ms</w:t>
                  </w:r>
                </w:p>
              </w:tc>
              <w:tc>
                <w:tcPr>
                  <w:tcW w:type="dxa" w:w="1464"/>
                </w:tcPr>
                <w:p>
                  <w:r/>
                </w:p>
                <w:p>
                  <w:pPr>
                    <w:spacing w:before="0" w:after="40"/>
                    <w:jc w:val="center"/>
                  </w:pPr>
                  <w:r>
                    <w:rPr>
                      <w:rFonts w:ascii="Times New Roman" w:hAnsi="Times New Roman"/>
                      <w:b w:val="0"/>
                      <w:i w:val="0"/>
                      <w:sz w:val="24"/>
                    </w:rPr>
                    <w:t>100.0 ms</w:t>
                  </w:r>
                </w:p>
              </w:tc>
              <w:tc>
                <w:tcPr>
                  <w:tcW w:type="dxa" w:w="1464"/>
                </w:tcPr>
                <w:p>
                  <w:r/>
                </w:p>
                <w:p>
                  <w:pPr>
                    <w:spacing w:before="0" w:after="40"/>
                    <w:jc w:val="center"/>
                  </w:pPr>
                  <w:r>
                    <w:rPr>
                      <w:rFonts w:ascii="Times New Roman" w:hAnsi="Times New Roman"/>
                      <w:b w:val="0"/>
                      <w:i w:val="0"/>
                      <w:sz w:val="24"/>
                    </w:rPr>
                    <w:t>Optimal</w:t>
                  </w:r>
                </w:p>
              </w:tc>
            </w:tr>
          </w:tbl>
          <w:p/>
          <w:p>
            <w:pPr>
              <w:spacing w:before="0" w:after="40"/>
              <w:jc w:val="both"/>
            </w:pPr>
          </w:p>
        </w:tc>
      </w:tr>
      <w:tr w:rsidR="00F773F3" w:rsidRPr="005A6DDE" w:rsidTr="00D557C0">
        <w:tc>
          <w:tcPr>
            <w:tcW w:w="1696" w:type="dxa"/>
            <w:vMerge w:val="restart"/>
            <w:shd w:val="clear" w:color="auto" w:fill="F7CAAC" w:themeFill="accent2" w:themeFillTint="66"/>
            <w:vAlign w:val="cente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w:t>
            </w:r>
          </w:p>
        </w:tc>
        <w:tc>
          <w:tcPr>
            <w:tcW w:w="1559" w:type="dxa"/>
            <w:shd w:val="clear" w:color="auto" w:fill="E2EFD9" w:themeFill="accent6" w:themeFillTint="33"/>
          </w:tcPr>
          <w:p>
            <w:pPr>
              <w:spacing w:before="0" w:after="40"/>
              <w:jc w:val="left"/>
            </w:pPr>
            <w:r>
              <w:rPr>
                <w:rFonts w:ascii="Times New Roman" w:hAnsi="Times New Roman"/>
                <w:b w:val="0"/>
                <w:i w:val="0"/>
                <w:sz w:val="24"/>
              </w:rPr>
              <w:t>figure()</w:t>
            </w:r>
          </w:p>
        </w:tc>
        <w:tc>
          <w:tcPr>
            <w:tcW w:w="1049" w:type="dxa"/>
            <w:shd w:val="clear" w:color="auto" w:fill="E2EFD9" w:themeFill="accent6" w:themeFillTint="33"/>
          </w:tcPr>
          <w:p>
            <w:pPr>
              <w:spacing w:before="0" w:after="40"/>
              <w:jc w:val="left"/>
            </w:pPr>
            <w:r>
              <w:rPr>
                <w:rFonts w:ascii="Times New Roman" w:hAnsi="Times New Roman"/>
                <w:b w:val="0"/>
                <w:i w:val="0"/>
                <w:sz w:val="24"/>
              </w:rPr>
              <w:t>bokeh.plotting</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Instantiates multi-series line chart canvas with interactive tools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2</w:t>
            </w:r>
          </w:p>
        </w:tc>
        <w:tc>
          <w:tcPr>
            <w:tcW w:w="1559" w:type="dxa"/>
            <w:shd w:val="clear" w:color="auto" w:fill="E2EFD9" w:themeFill="accent6" w:themeFillTint="33"/>
          </w:tcPr>
          <w:p>
            <w:pPr>
              <w:spacing w:before="0" w:after="40"/>
              <w:jc w:val="left"/>
            </w:pPr>
            <w:r>
              <w:rPr>
                <w:rFonts w:ascii="Times New Roman" w:hAnsi="Times New Roman"/>
                <w:b w:val="0"/>
                <w:i w:val="0"/>
                <w:sz w:val="24"/>
              </w:rPr>
              <w:t>ColumnDataSource()</w:t>
            </w:r>
          </w:p>
        </w:tc>
        <w:tc>
          <w:tcPr>
            <w:tcW w:w="1049" w:type="dxa"/>
            <w:shd w:val="clear" w:color="auto" w:fill="E2EFD9" w:themeFill="accent6" w:themeFillTint="33"/>
          </w:tcPr>
          <w:p>
            <w:pPr>
              <w:spacing w:before="0" w:after="40"/>
              <w:jc w:val="left"/>
            </w:pPr>
            <w:r>
              <w:rPr>
                <w:rFonts w:ascii="Times New Roman" w:hAnsi="Times New Roman"/>
                <w:b w:val="0"/>
                <w:i w:val="0"/>
                <w:sz w:val="24"/>
              </w:rPr>
              <w:t>bokeh.models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Structures 7-day multi-region latency measurements for Bokeh rendering</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3</w:t>
            </w:r>
          </w:p>
        </w:tc>
        <w:tc>
          <w:tcPr>
            <w:tcW w:w="1559" w:type="dxa"/>
            <w:shd w:val="clear" w:color="auto" w:fill="E2EFD9" w:themeFill="accent6" w:themeFillTint="33"/>
          </w:tcPr>
          <w:p>
            <w:pPr>
              <w:spacing w:before="0" w:after="40"/>
              <w:jc w:val="left"/>
            </w:pPr>
            <w:r>
              <w:rPr>
                <w:rFonts w:ascii="Times New Roman" w:hAnsi="Times New Roman"/>
                <w:b w:val="0"/>
                <w:i w:val="0"/>
                <w:sz w:val="24"/>
              </w:rPr>
              <w:t>p.line()</w:t>
            </w:r>
          </w:p>
        </w:tc>
        <w:tc>
          <w:tcPr>
            <w:tcW w:w="1049" w:type="dxa"/>
            <w:shd w:val="clear" w:color="auto" w:fill="E2EFD9" w:themeFill="accent6" w:themeFillTint="33"/>
          </w:tcPr>
          <w:p>
            <w:pPr>
              <w:spacing w:before="0" w:after="40"/>
              <w:jc w:val="left"/>
            </w:pPr>
            <w:r>
              <w:rPr>
                <w:rFonts w:ascii="Times New Roman" w:hAnsi="Times New Roman"/>
                <w:b w:val="0"/>
                <w:i w:val="0"/>
                <w:sz w:val="24"/>
              </w:rPr>
              <w:t>bokeh.plotting</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Draws smooth continuous time series curves connecting daily latency points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4</w:t>
            </w:r>
          </w:p>
        </w:tc>
        <w:tc>
          <w:tcPr>
            <w:tcW w:w="1559" w:type="dxa"/>
            <w:shd w:val="clear" w:color="auto" w:fill="E2EFD9" w:themeFill="accent6" w:themeFillTint="33"/>
          </w:tcPr>
          <w:p>
            <w:pPr>
              <w:spacing w:before="0" w:after="40"/>
              <w:jc w:val="left"/>
            </w:pPr>
            <w:r>
              <w:rPr>
                <w:rFonts w:ascii="Times New Roman" w:hAnsi="Times New Roman"/>
                <w:b w:val="0"/>
                <w:i w:val="0"/>
                <w:sz w:val="24"/>
              </w:rPr>
              <w:t>p.circle()</w:t>
            </w:r>
          </w:p>
        </w:tc>
        <w:tc>
          <w:tcPr>
            <w:tcW w:w="1049" w:type="dxa"/>
            <w:shd w:val="clear" w:color="auto" w:fill="E2EFD9" w:themeFill="accent6" w:themeFillTint="33"/>
          </w:tcPr>
          <w:p>
            <w:pPr>
              <w:spacing w:before="0" w:after="40"/>
              <w:jc w:val="left"/>
            </w:pPr>
            <w:r>
              <w:rPr>
                <w:rFonts w:ascii="Times New Roman" w:hAnsi="Times New Roman"/>
                <w:b w:val="0"/>
                <w:i w:val="0"/>
                <w:sz w:val="24"/>
              </w:rPr>
              <w:t>bokeh.plotting</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Overlays circular data markers at daily observation intervals along lines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5</w:t>
            </w:r>
          </w:p>
        </w:tc>
        <w:tc>
          <w:tcPr>
            <w:tcW w:w="1559" w:type="dxa"/>
            <w:shd w:val="clear" w:color="auto" w:fill="E2EFD9" w:themeFill="accent6" w:themeFillTint="33"/>
          </w:tcPr>
          <w:p>
            <w:pPr>
              <w:spacing w:before="0" w:after="40"/>
              <w:jc w:val="left"/>
            </w:pPr>
            <w:r>
              <w:rPr>
                <w:rFonts w:ascii="Times New Roman" w:hAnsi="Times New Roman"/>
                <w:b w:val="0"/>
                <w:i w:val="0"/>
                <w:sz w:val="24"/>
              </w:rPr>
              <w:t>HoverTool()</w:t>
            </w:r>
          </w:p>
        </w:tc>
        <w:tc>
          <w:tcPr>
            <w:tcW w:w="1049" w:type="dxa"/>
            <w:shd w:val="clear" w:color="auto" w:fill="E2EFD9" w:themeFill="accent6" w:themeFillTint="33"/>
          </w:tcPr>
          <w:p>
            <w:pPr>
              <w:spacing w:before="0" w:after="40"/>
              <w:jc w:val="left"/>
            </w:pPr>
            <w:r>
              <w:rPr>
                <w:rFonts w:ascii="Times New Roman" w:hAnsi="Times New Roman"/>
                <w:b w:val="0"/>
                <w:i w:val="0"/>
                <w:sz w:val="24"/>
              </w:rPr>
              <w:t>bokeh.models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Provides precise cursor inspection of day, region, and latency in milliseconds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6</w:t>
            </w:r>
          </w:p>
        </w:tc>
        <w:tc>
          <w:tcPr>
            <w:tcW w:w="1559" w:type="dxa"/>
            <w:shd w:val="clear" w:color="auto" w:fill="E2EFD9" w:themeFill="accent6" w:themeFillTint="33"/>
          </w:tcPr>
          <w:p>
            <w:pPr>
              <w:spacing w:before="0" w:after="40"/>
              <w:jc w:val="left"/>
            </w:pPr>
            <w:r>
              <w:rPr>
                <w:rFonts w:ascii="Times New Roman" w:hAnsi="Times New Roman"/>
                <w:b w:val="0"/>
                <w:i w:val="0"/>
                <w:sz w:val="24"/>
              </w:rPr>
              <w:t>Legend()</w:t>
            </w:r>
          </w:p>
        </w:tc>
        <w:tc>
          <w:tcPr>
            <w:tcW w:w="1049" w:type="dxa"/>
            <w:shd w:val="clear" w:color="auto" w:fill="E2EFD9" w:themeFill="accent6" w:themeFillTint="33"/>
          </w:tcPr>
          <w:p>
            <w:pPr>
              <w:spacing w:before="0" w:after="40"/>
              <w:jc w:val="left"/>
            </w:pPr>
            <w:r>
              <w:rPr>
                <w:rFonts w:ascii="Times New Roman" w:hAnsi="Times New Roman"/>
                <w:b w:val="0"/>
                <w:i w:val="0"/>
                <w:sz w:val="24"/>
              </w:rPr>
              <w:t>bokeh.models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Constructs interactive clickable legend allowing series toggling and filtering</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7</w:t>
            </w:r>
          </w:p>
        </w:tc>
        <w:tc>
          <w:tcPr>
            <w:tcW w:w="1559" w:type="dxa"/>
            <w:shd w:val="clear" w:color="auto" w:fill="E2EFD9" w:themeFill="accent6" w:themeFillTint="33"/>
          </w:tcPr>
          <w:p>
            <w:pPr>
              <w:spacing w:before="0" w:after="40"/>
              <w:jc w:val="left"/>
            </w:pPr>
            <w:r>
              <w:rPr>
                <w:rFonts w:ascii="Times New Roman" w:hAnsi="Times New Roman"/>
                <w:b w:val="0"/>
                <w:i w:val="0"/>
                <w:sz w:val="24"/>
              </w:rPr>
              <w:t>pd.date_range()</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Generates sequential datetime index tracking 7 consecutive monitoring days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8</w:t>
            </w:r>
          </w:p>
        </w:tc>
        <w:tc>
          <w:tcPr>
            <w:tcW w:w="1559" w:type="dxa"/>
            <w:shd w:val="clear" w:color="auto" w:fill="E2EFD9" w:themeFill="accent6" w:themeFillTint="33"/>
          </w:tcPr>
          <w:p>
            <w:pPr>
              <w:spacing w:before="0" w:after="40"/>
              <w:jc w:val="left"/>
            </w:pPr>
            <w:r>
              <w:rPr>
                <w:rFonts w:ascii="Times New Roman" w:hAnsi="Times New Roman"/>
                <w:b w:val="0"/>
                <w:i w:val="0"/>
                <w:sz w:val="24"/>
              </w:rPr>
              <w:t>pd.DataFrame()</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Organizes datacenter latency logs across US-East, EU-Central, and AP-South</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9</w:t>
            </w:r>
          </w:p>
        </w:tc>
        <w:tc>
          <w:tcPr>
            <w:tcW w:w="1559" w:type="dxa"/>
            <w:shd w:val="clear" w:color="auto" w:fill="E2EFD9" w:themeFill="accent6" w:themeFillTint="33"/>
          </w:tcPr>
          <w:p>
            <w:pPr>
              <w:spacing w:before="0" w:after="40"/>
              <w:jc w:val="left"/>
            </w:pPr>
            <w:r>
              <w:rPr>
                <w:rFonts w:ascii="Times New Roman" w:hAnsi="Times New Roman"/>
                <w:b w:val="0"/>
                <w:i w:val="0"/>
                <w:sz w:val="24"/>
              </w:rPr>
              <w:t>df.describe()</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Calculates statistical latency percentiles (p50, p95, p99) and standard deviation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10</w:t>
            </w:r>
          </w:p>
        </w:tc>
        <w:tc>
          <w:tcPr>
            <w:tcW w:w="1559" w:type="dxa"/>
            <w:shd w:val="clear" w:color="auto" w:fill="E2EFD9" w:themeFill="accent6" w:themeFillTint="33"/>
          </w:tcPr>
          <w:p>
            <w:pPr>
              <w:spacing w:before="0" w:after="40"/>
              <w:jc w:val="left"/>
            </w:pPr>
            <w:r>
              <w:rPr>
                <w:rFonts w:ascii="Times New Roman" w:hAnsi="Times New Roman"/>
                <w:b w:val="0"/>
                <w:i w:val="0"/>
                <w:sz w:val="24"/>
              </w:rPr>
              <w:t>df.min() / df.max()</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Identifies peak network degradation incidents and optimal latency windows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11</w:t>
            </w:r>
          </w:p>
        </w:tc>
        <w:tc>
          <w:tcPr>
            <w:tcW w:w="1559" w:type="dxa"/>
            <w:shd w:val="clear" w:color="auto" w:fill="E2EFD9" w:themeFill="accent6" w:themeFillTint="33"/>
          </w:tcPr>
          <w:p>
            <w:pPr>
              <w:spacing w:before="0" w:after="40"/>
              <w:jc w:val="left"/>
            </w:pPr>
            <w:r>
              <w:rPr>
                <w:rFonts w:ascii="Times New Roman" w:hAnsi="Times New Roman"/>
                <w:b w:val="0"/>
                <w:i w:val="0"/>
                <w:sz w:val="24"/>
              </w:rPr>
              <w:t>export_png()</w:t>
            </w:r>
          </w:p>
        </w:tc>
        <w:tc>
          <w:tcPr>
            <w:tcW w:w="1049" w:type="dxa"/>
            <w:shd w:val="clear" w:color="auto" w:fill="E2EFD9" w:themeFill="accent6" w:themeFillTint="33"/>
          </w:tcPr>
          <w:p>
            <w:pPr>
              <w:spacing w:before="0" w:after="40"/>
              <w:jc w:val="left"/>
            </w:pPr>
            <w:r>
              <w:rPr>
                <w:rFonts w:ascii="Times New Roman" w:hAnsi="Times New Roman"/>
                <w:b w:val="0"/>
                <w:i w:val="0"/>
                <w:sz w:val="24"/>
              </w:rPr>
              <w:t>bokeh.io</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Saves headless browser render of multi-line chart to static image file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12</w:t>
            </w:r>
          </w:p>
        </w:tc>
        <w:tc>
          <w:tcPr>
            <w:tcW w:w="1559" w:type="dxa"/>
            <w:shd w:val="clear" w:color="auto" w:fill="E2EFD9" w:themeFill="accent6" w:themeFillTint="33"/>
          </w:tcPr>
          <w:p>
            <w:pPr>
              <w:spacing w:before="0" w:after="40"/>
              <w:jc w:val="left"/>
            </w:pPr>
            <w:r>
              <w:rPr>
                <w:rFonts w:ascii="Times New Roman" w:hAnsi="Times New Roman"/>
                <w:b w:val="0"/>
                <w:i w:val="0"/>
                <w:sz w:val="24"/>
              </w:rPr>
              <w:t>show()</w:t>
            </w:r>
          </w:p>
        </w:tc>
        <w:tc>
          <w:tcPr>
            <w:tcW w:w="1049" w:type="dxa"/>
            <w:shd w:val="clear" w:color="auto" w:fill="E2EFD9" w:themeFill="accent6" w:themeFillTint="33"/>
          </w:tcPr>
          <w:p>
            <w:pPr>
              <w:spacing w:before="0" w:after="40"/>
              <w:jc w:val="left"/>
            </w:pPr>
            <w:r>
              <w:rPr>
                <w:rFonts w:ascii="Times New Roman" w:hAnsi="Times New Roman"/>
                <w:b w:val="0"/>
                <w:i w:val="0"/>
                <w:sz w:val="24"/>
              </w:rPr>
              <w:t>bokeh.plotting</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Launches interactive browser session displaying network latency dashboard</w:t>
            </w:r>
          </w:p>
        </w:tc>
      </w:tr>
      <w:tr w:rsidR="00765ABB" w:rsidRPr="005A6DDE" w:rsidTr="00D557C0">
        <w:trPr>
          <w:gridAfter w:val="1"/>
          <w:wAfter w:w="55" w:type="dxa"/>
        </w:trPr>
        <w:tc>
          <w:tcPr>
            <w:tcW w:w="1696" w:type="dxa"/>
            <w:shd w:val="clear" w:color="auto" w:fill="F7CAAC" w:themeFill="accent2" w:themeFillTint="66"/>
            <w:vAlign w:val="cente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pPr>
              <w:spacing w:before="0" w:after="40"/>
              <w:jc w:val="left"/>
            </w:pPr>
            <w:r>
              <w:rPr>
                <w:rFonts w:ascii="Times New Roman" w:hAnsi="Times New Roman"/>
                <w:b/>
                <w:i w:val="0"/>
                <w:sz w:val="24"/>
              </w:rPr>
              <w:t>Step 1</w:t>
            </w:r>
          </w:p>
          <w:p>
            <w:pPr>
              <w:spacing w:before="0" w:after="40"/>
              <w:jc w:val="both"/>
            </w:pPr>
            <w:r>
              <w:rPr>
                <w:rFonts w:ascii="Times New Roman" w:hAnsi="Times New Roman"/>
                <w:b w:val="0"/>
                <w:i w:val="0"/>
                <w:sz w:val="24"/>
              </w:rPr>
              <w:t>Import figure, ColumnDataSource, HoverTool from Bokeh, and pandas for time series handling.</w:t>
            </w:r>
          </w:p>
          <w:p>
            <w:pPr>
              <w:spacing w:before="0" w:after="40"/>
              <w:jc w:val="left"/>
            </w:pPr>
            <w:r>
              <w:rPr>
                <w:rFonts w:ascii="Times New Roman" w:hAnsi="Times New Roman"/>
                <w:b/>
                <w:i w:val="0"/>
                <w:sz w:val="24"/>
              </w:rPr>
              <w:t>Step 2</w:t>
            </w:r>
          </w:p>
          <w:p>
            <w:pPr>
              <w:spacing w:before="0" w:after="40"/>
              <w:jc w:val="both"/>
            </w:pPr>
            <w:r>
              <w:rPr>
                <w:rFonts w:ascii="Times New Roman" w:hAnsi="Times New Roman"/>
                <w:b w:val="0"/>
                <w:i w:val="0"/>
                <w:sz w:val="24"/>
              </w:rPr>
              <w:t>Generate 7-day chronological observation sequence capturing network latency across 3 global cloud regions.</w:t>
            </w:r>
          </w:p>
          <w:p>
            <w:pPr>
              <w:spacing w:before="0" w:after="40"/>
              <w:jc w:val="left"/>
            </w:pPr>
            <w:r>
              <w:rPr>
                <w:rFonts w:ascii="Times New Roman" w:hAnsi="Times New Roman"/>
                <w:b/>
                <w:i w:val="0"/>
                <w:sz w:val="24"/>
              </w:rPr>
              <w:t>Step 3</w:t>
            </w:r>
          </w:p>
          <w:p>
            <w:pPr>
              <w:spacing w:before="0" w:after="40"/>
              <w:jc w:val="both"/>
            </w:pPr>
            <w:r>
              <w:rPr>
                <w:rFonts w:ascii="Times New Roman" w:hAnsi="Times New Roman"/>
                <w:b w:val="0"/>
                <w:i w:val="0"/>
                <w:sz w:val="24"/>
              </w:rPr>
              <w:t>Construct DataFrame tracking daily mean latency, peak jitter, and SLA compliance metrics.</w:t>
            </w:r>
          </w:p>
          <w:p>
            <w:pPr>
              <w:spacing w:before="0" w:after="40"/>
              <w:jc w:val="left"/>
            </w:pPr>
            <w:r>
              <w:rPr>
                <w:rFonts w:ascii="Times New Roman" w:hAnsi="Times New Roman"/>
                <w:b/>
                <w:i w:val="0"/>
                <w:sz w:val="24"/>
              </w:rPr>
              <w:t>Step 4</w:t>
            </w:r>
          </w:p>
          <w:p>
            <w:pPr>
              <w:spacing w:before="0" w:after="40"/>
              <w:jc w:val="both"/>
            </w:pPr>
            <w:r>
              <w:rPr>
                <w:rFonts w:ascii="Times New Roman" w:hAnsi="Times New Roman"/>
                <w:b w:val="0"/>
                <w:i w:val="0"/>
                <w:sz w:val="24"/>
              </w:rPr>
              <w:t>Perform statistical evaluation computing regional mean latencies, 95th percentile bounds, and variance.</w:t>
            </w:r>
          </w:p>
          <w:p>
            <w:pPr>
              <w:spacing w:before="0" w:after="40"/>
              <w:jc w:val="left"/>
            </w:pPr>
            <w:r>
              <w:rPr>
                <w:rFonts w:ascii="Times New Roman" w:hAnsi="Times New Roman"/>
                <w:b/>
                <w:i w:val="0"/>
                <w:sz w:val="24"/>
              </w:rPr>
              <w:t>Step 5</w:t>
            </w:r>
          </w:p>
          <w:p>
            <w:pPr>
              <w:spacing w:before="0" w:after="40"/>
              <w:jc w:val="both"/>
            </w:pPr>
            <w:r>
              <w:rPr>
                <w:rFonts w:ascii="Times New Roman" w:hAnsi="Times New Roman"/>
                <w:b w:val="0"/>
                <w:i w:val="0"/>
                <w:sz w:val="24"/>
              </w:rPr>
              <w:t>Build Bokeh ColumnDataSource binding datetime timestamps and regional latency series.</w:t>
            </w:r>
          </w:p>
          <w:p>
            <w:pPr>
              <w:spacing w:before="0" w:after="40"/>
              <w:jc w:val="left"/>
            </w:pPr>
            <w:r>
              <w:rPr>
                <w:rFonts w:ascii="Times New Roman" w:hAnsi="Times New Roman"/>
                <w:b/>
                <w:i w:val="0"/>
                <w:sz w:val="24"/>
              </w:rPr>
              <w:t>Step 6</w:t>
            </w:r>
          </w:p>
          <w:p>
            <w:pPr>
              <w:spacing w:before="0" w:after="40"/>
              <w:jc w:val="both"/>
            </w:pPr>
            <w:r>
              <w:rPr>
                <w:rFonts w:ascii="Times New Roman" w:hAnsi="Times New Roman"/>
                <w:b w:val="0"/>
                <w:i w:val="0"/>
                <w:sz w:val="24"/>
              </w:rPr>
              <w:t>Initialize Bokeh line chart canvas and render multi-line curves with distinct hex colors and line widths.</w:t>
            </w:r>
          </w:p>
          <w:p>
            <w:pPr>
              <w:spacing w:before="0" w:after="40"/>
              <w:jc w:val="left"/>
            </w:pPr>
            <w:r>
              <w:rPr>
                <w:rFonts w:ascii="Times New Roman" w:hAnsi="Times New Roman"/>
                <w:b/>
                <w:i w:val="0"/>
                <w:sz w:val="24"/>
              </w:rPr>
              <w:t>Step 7</w:t>
            </w:r>
          </w:p>
          <w:p>
            <w:pPr>
              <w:spacing w:before="0" w:after="40"/>
              <w:jc w:val="both"/>
            </w:pPr>
            <w:r>
              <w:rPr>
                <w:rFonts w:ascii="Times New Roman" w:hAnsi="Times New Roman"/>
                <w:b w:val="0"/>
                <w:i w:val="0"/>
                <w:sz w:val="24"/>
              </w:rPr>
              <w:t>Overlay circular glyphs at observation nodes and bind interactive HoverTool for millisecond-level telemetry.</w:t>
            </w:r>
          </w:p>
          <w:p>
            <w:pPr>
              <w:spacing w:before="0" w:after="40"/>
              <w:jc w:val="left"/>
            </w:pPr>
            <w:r>
              <w:rPr>
                <w:rFonts w:ascii="Times New Roman" w:hAnsi="Times New Roman"/>
                <w:b/>
                <w:i w:val="0"/>
                <w:sz w:val="24"/>
              </w:rPr>
              <w:t>Step 8</w:t>
            </w:r>
          </w:p>
          <w:p>
            <w:pPr>
              <w:spacing w:before="0" w:after="40"/>
              <w:jc w:val="both"/>
            </w:pPr>
            <w:r>
              <w:rPr>
                <w:rFonts w:ascii="Times New Roman" w:hAnsi="Times New Roman"/>
                <w:b w:val="0"/>
                <w:i w:val="0"/>
                <w:sz w:val="24"/>
              </w:rPr>
              <w:t>Render horizontal SLA threshold benchmark and export high-resolution PNG via Edge headless driver.</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val="clear" w:color="auto" w:fill="E2EFD9" w:themeFill="accent6" w:themeFillTint="33"/>
          </w:tcPr>
          <w:p>
            <w:pPr>
              <w:spacing w:before="0" w:after="0" w:line="240" w:lineRule="auto"/>
              <w:jc w:val="left"/>
            </w:pPr>
            <w:r>
              <w:rPr>
                <w:rFonts w:ascii="Consolas" w:hAnsi="Consolas"/>
                <w:sz w:val="18"/>
              </w:rPr>
              <w:t># Load Necessary Packages</w:t>
            </w:r>
          </w:p>
          <w:p>
            <w:pPr>
              <w:spacing w:before="0" w:after="0" w:line="240" w:lineRule="auto"/>
              <w:jc w:val="left"/>
            </w:pPr>
            <w:r>
              <w:rPr>
                <w:rFonts w:ascii="Consolas" w:hAnsi="Consolas"/>
                <w:sz w:val="18"/>
              </w:rPr>
              <w:t>import pandas as pd</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1, 2, 3 &amp; 4: Network Latency Time Series Dataset &amp; Statistical Benchmarking</w:t>
            </w:r>
          </w:p>
          <w:p>
            <w:pPr>
              <w:spacing w:before="0" w:after="0" w:line="240" w:lineRule="auto"/>
              <w:jc w:val="left"/>
            </w:pPr>
            <w:r>
              <w:rPr>
                <w:rFonts w:ascii="Consolas" w:hAnsi="Consolas"/>
                <w:sz w:val="18"/>
              </w:rPr>
              <w:t>days = [f'Day {i}' for i in range(1, 8)]</w:t>
            </w:r>
          </w:p>
          <w:p>
            <w:pPr>
              <w:spacing w:before="0" w:after="0" w:line="240" w:lineRule="auto"/>
              <w:jc w:val="left"/>
            </w:pPr>
            <w:r>
              <w:rPr>
                <w:rFonts w:ascii="Consolas" w:hAnsi="Consolas"/>
                <w:sz w:val="18"/>
              </w:rPr>
              <w:t>us_east = [45.2, 48.1, 42.6, 51.3, 47.0, 44.5, 49.2]</w:t>
            </w:r>
          </w:p>
          <w:p>
            <w:pPr>
              <w:spacing w:before="0" w:after="0" w:line="240" w:lineRule="auto"/>
              <w:jc w:val="left"/>
            </w:pPr>
            <w:r>
              <w:rPr>
                <w:rFonts w:ascii="Consolas" w:hAnsi="Consolas"/>
                <w:sz w:val="18"/>
              </w:rPr>
              <w:t>eu_central = [78.4, 82.1, 75.6, 85.3, 79.8, 77.2, 81.5]</w:t>
            </w:r>
          </w:p>
          <w:p>
            <w:pPr>
              <w:spacing w:before="0" w:after="0" w:line="240" w:lineRule="auto"/>
              <w:jc w:val="left"/>
            </w:pPr>
            <w:r>
              <w:rPr>
                <w:rFonts w:ascii="Consolas" w:hAnsi="Consolas"/>
                <w:sz w:val="18"/>
              </w:rPr>
              <w:t>ap_south = [28.5, 31.2, 29.8, 36.4, 33.1, 30.2, 34.7]</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net_df = pd.DataFrame({</w:t>
            </w:r>
          </w:p>
          <w:p>
            <w:pPr>
              <w:spacing w:before="0" w:after="0" w:line="240" w:lineRule="auto"/>
              <w:jc w:val="left"/>
            </w:pPr>
            <w:r>
              <w:rPr>
                <w:rFonts w:ascii="Consolas" w:hAnsi="Consolas"/>
                <w:sz w:val="18"/>
              </w:rPr>
              <w:t xml:space="preserve">    'Day': days,</w:t>
            </w:r>
          </w:p>
          <w:p>
            <w:pPr>
              <w:spacing w:before="0" w:after="0" w:line="240" w:lineRule="auto"/>
              <w:jc w:val="left"/>
            </w:pPr>
            <w:r>
              <w:rPr>
                <w:rFonts w:ascii="Consolas" w:hAnsi="Consolas"/>
                <w:sz w:val="18"/>
              </w:rPr>
              <w:t xml:space="preserve">    'Day_Index': list(range(1, 8)),</w:t>
            </w:r>
          </w:p>
          <w:p>
            <w:pPr>
              <w:spacing w:before="0" w:after="0" w:line="240" w:lineRule="auto"/>
              <w:jc w:val="left"/>
            </w:pPr>
            <w:r>
              <w:rPr>
                <w:rFonts w:ascii="Consolas" w:hAnsi="Consolas"/>
                <w:sz w:val="18"/>
              </w:rPr>
              <w:t xml:space="preserve">    'US_East_ms': us_east,</w:t>
            </w:r>
          </w:p>
          <w:p>
            <w:pPr>
              <w:spacing w:before="0" w:after="0" w:line="240" w:lineRule="auto"/>
              <w:jc w:val="left"/>
            </w:pPr>
            <w:r>
              <w:rPr>
                <w:rFonts w:ascii="Consolas" w:hAnsi="Consolas"/>
                <w:sz w:val="18"/>
              </w:rPr>
              <w:t xml:space="preserve">    'EU_Central_ms': eu_central,</w:t>
            </w:r>
          </w:p>
          <w:p>
            <w:pPr>
              <w:spacing w:before="0" w:after="0" w:line="240" w:lineRule="auto"/>
              <w:jc w:val="left"/>
            </w:pPr>
            <w:r>
              <w:rPr>
                <w:rFonts w:ascii="Consolas" w:hAnsi="Consolas"/>
                <w:sz w:val="18"/>
              </w:rPr>
              <w:t xml:space="preserve">    'AP_South_ms': ap_south,</w:t>
            </w:r>
          </w:p>
          <w:p>
            <w:pPr>
              <w:spacing w:before="0" w:after="0" w:line="240" w:lineRule="auto"/>
              <w:jc w:val="left"/>
            </w:pPr>
            <w:r>
              <w:rPr>
                <w:rFonts w:ascii="Consolas" w:hAnsi="Consolas"/>
                <w:sz w:val="18"/>
              </w:rPr>
              <w:t xml:space="preserve">    'Daily_Average_ms': [round((u + e + a)/3.0, 2) for u, e, a in zip(us_east, eu_central, ap_south)],</w:t>
            </w:r>
          </w:p>
          <w:p>
            <w:pPr>
              <w:spacing w:before="0" w:after="0" w:line="240" w:lineRule="auto"/>
              <w:jc w:val="left"/>
            </w:pPr>
            <w:r>
              <w:rPr>
                <w:rFonts w:ascii="Consolas" w:hAnsi="Consolas"/>
                <w:sz w:val="18"/>
              </w:rPr>
              <w:t xml:space="preserve">    'SLA_Limit_ms': [100.0] * 7</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print('--- 7-Day Global Cloud Network Latency Audit Log (ms) ---')</w:t>
            </w:r>
          </w:p>
          <w:p>
            <w:pPr>
              <w:spacing w:before="0" w:after="0" w:line="240" w:lineRule="auto"/>
              <w:jc w:val="left"/>
            </w:pPr>
            <w:r>
              <w:rPr>
                <w:rFonts w:ascii="Consolas" w:hAnsi="Consolas"/>
                <w:sz w:val="18"/>
              </w:rPr>
              <w:t>print(net_df.to_string(index=False))</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print('\n--- Regional Network Telemetry Statistical Summary ---')</w:t>
            </w:r>
          </w:p>
          <w:p>
            <w:pPr>
              <w:spacing w:before="0" w:after="0" w:line="240" w:lineRule="auto"/>
              <w:jc w:val="left"/>
            </w:pPr>
            <w:r>
              <w:rPr>
                <w:rFonts w:ascii="Consolas" w:hAnsi="Consolas"/>
                <w:sz w:val="18"/>
              </w:rPr>
              <w:t>print(net_df[['US_East_ms', 'EU_Central_ms', 'AP_South_ms', 'Daily_Average_ms']].describe().round(2))</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print('\nSLA Compliance Audit: 100% of observations remained within the 100 ms enterprise SLA limit.')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Step 5, 6, 7 &amp; 8: Build Interactive Bokeh Multi-Line Plot</w:t>
            </w:r>
          </w:p>
          <w:p>
            <w:pPr>
              <w:spacing w:before="0" w:after="0" w:line="240" w:lineRule="auto"/>
              <w:jc w:val="left"/>
            </w:pPr>
            <w:r>
              <w:rPr>
                <w:rFonts w:ascii="Consolas" w:hAnsi="Consolas"/>
                <w:sz w:val="18"/>
              </w:rPr>
              <w:t>from bokeh.plotting import figure, show</w:t>
            </w:r>
          </w:p>
          <w:p>
            <w:pPr>
              <w:spacing w:before="0" w:after="0" w:line="240" w:lineRule="auto"/>
              <w:jc w:val="left"/>
            </w:pPr>
            <w:r>
              <w:rPr>
                <w:rFonts w:ascii="Consolas" w:hAnsi="Consolas"/>
                <w:sz w:val="18"/>
              </w:rPr>
              <w:t>from bokeh.models import ColumnDataSource, HoverTool</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source = ColumnDataSource(net_df)</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hover = HoverTool(tooltips=[</w:t>
            </w:r>
          </w:p>
          <w:p>
            <w:pPr>
              <w:spacing w:before="0" w:after="0" w:line="240" w:lineRule="auto"/>
              <w:jc w:val="left"/>
            </w:pPr>
            <w:r>
              <w:rPr>
                <w:rFonts w:ascii="Consolas" w:hAnsi="Consolas"/>
                <w:sz w:val="18"/>
              </w:rPr>
              <w:t xml:space="preserve">    ('Monitoring Day', '@Day'),</w:t>
            </w:r>
          </w:p>
          <w:p>
            <w:pPr>
              <w:spacing w:before="0" w:after="0" w:line="240" w:lineRule="auto"/>
              <w:jc w:val="left"/>
            </w:pPr>
            <w:r>
              <w:rPr>
                <w:rFonts w:ascii="Consolas" w:hAnsi="Consolas"/>
                <w:sz w:val="18"/>
              </w:rPr>
              <w:t xml:space="preserve">    ('US-East (Virginia)', '@US_East_ms{0.1f} ms'),</w:t>
            </w:r>
          </w:p>
          <w:p>
            <w:pPr>
              <w:spacing w:before="0" w:after="0" w:line="240" w:lineRule="auto"/>
              <w:jc w:val="left"/>
            </w:pPr>
            <w:r>
              <w:rPr>
                <w:rFonts w:ascii="Consolas" w:hAnsi="Consolas"/>
                <w:sz w:val="18"/>
              </w:rPr>
              <w:t xml:space="preserve">    ('EU-Central (Frankfurt)', '@EU_Central_ms{0.1f} ms'),</w:t>
            </w:r>
          </w:p>
          <w:p>
            <w:pPr>
              <w:spacing w:before="0" w:after="0" w:line="240" w:lineRule="auto"/>
              <w:jc w:val="left"/>
            </w:pPr>
            <w:r>
              <w:rPr>
                <w:rFonts w:ascii="Consolas" w:hAnsi="Consolas"/>
                <w:sz w:val="18"/>
              </w:rPr>
              <w:t xml:space="preserve">    ('AP-South (Mumbai)', '@AP_South_ms{0.1f} ms'),</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 = figure(</w:t>
            </w:r>
          </w:p>
          <w:p>
            <w:pPr>
              <w:spacing w:before="0" w:after="0" w:line="240" w:lineRule="auto"/>
              <w:jc w:val="left"/>
            </w:pPr>
            <w:r>
              <w:rPr>
                <w:rFonts w:ascii="Consolas" w:hAnsi="Consolas"/>
                <w:sz w:val="18"/>
              </w:rPr>
              <w:t xml:space="preserve">    title='7-Day Enterprise Cloud Datacenter Round-Trip Latency Monitoring',</w:t>
            </w:r>
          </w:p>
          <w:p>
            <w:pPr>
              <w:spacing w:before="0" w:after="0" w:line="240" w:lineRule="auto"/>
              <w:jc w:val="left"/>
            </w:pPr>
            <w:r>
              <w:rPr>
                <w:rFonts w:ascii="Consolas" w:hAnsi="Consolas"/>
                <w:sz w:val="18"/>
              </w:rPr>
              <w:t xml:space="preserve">    x_axis_label='Operational Window (Consecutive Days)',</w:t>
            </w:r>
          </w:p>
          <w:p>
            <w:pPr>
              <w:spacing w:before="0" w:after="0" w:line="240" w:lineRule="auto"/>
              <w:jc w:val="left"/>
            </w:pPr>
            <w:r>
              <w:rPr>
                <w:rFonts w:ascii="Consolas" w:hAnsi="Consolas"/>
                <w:sz w:val="18"/>
              </w:rPr>
              <w:t xml:space="preserve">    y_axis_label='Round-Trip Latency (Milliseconds)',</w:t>
            </w:r>
          </w:p>
          <w:p>
            <w:pPr>
              <w:spacing w:before="0" w:after="0" w:line="240" w:lineRule="auto"/>
              <w:jc w:val="left"/>
            </w:pPr>
            <w:r>
              <w:rPr>
                <w:rFonts w:ascii="Consolas" w:hAnsi="Consolas"/>
                <w:sz w:val="18"/>
              </w:rPr>
              <w:t xml:space="preserve">    x_range=days,</w:t>
            </w:r>
          </w:p>
          <w:p>
            <w:pPr>
              <w:spacing w:before="0" w:after="0" w:line="240" w:lineRule="auto"/>
              <w:jc w:val="left"/>
            </w:pPr>
            <w:r>
              <w:rPr>
                <w:rFonts w:ascii="Consolas" w:hAnsi="Consolas"/>
                <w:sz w:val="18"/>
              </w:rPr>
              <w:t xml:space="preserve">    width=720,</w:t>
            </w:r>
          </w:p>
          <w:p>
            <w:pPr>
              <w:spacing w:before="0" w:after="0" w:line="240" w:lineRule="auto"/>
              <w:jc w:val="left"/>
            </w:pPr>
            <w:r>
              <w:rPr>
                <w:rFonts w:ascii="Consolas" w:hAnsi="Consolas"/>
                <w:sz w:val="18"/>
              </w:rPr>
              <w:t xml:space="preserve">    height=440,</w:t>
            </w:r>
          </w:p>
          <w:p>
            <w:pPr>
              <w:spacing w:before="0" w:after="0" w:line="240" w:lineRule="auto"/>
              <w:jc w:val="left"/>
            </w:pPr>
            <w:r>
              <w:rPr>
                <w:rFonts w:ascii="Consolas" w:hAnsi="Consolas"/>
                <w:sz w:val="18"/>
              </w:rPr>
              <w:t xml:space="preserve">    tools=[hover, 'pan', 'wheel_zoom', 'reset', 'save']</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Render lines and marker circles for each cloud region</w:t>
            </w:r>
          </w:p>
          <w:p>
            <w:pPr>
              <w:spacing w:before="0" w:after="0" w:line="240" w:lineRule="auto"/>
              <w:jc w:val="left"/>
            </w:pPr>
            <w:r>
              <w:rPr>
                <w:rFonts w:ascii="Consolas" w:hAnsi="Consolas"/>
                <w:sz w:val="18"/>
              </w:rPr>
              <w:t>p.line('Day', 'US_East_ms', source=source, legend_label='US-East (N. Virginia)', line_width=3, color='#386CB0')</w:t>
            </w:r>
          </w:p>
          <w:p>
            <w:pPr>
              <w:spacing w:before="0" w:after="0" w:line="240" w:lineRule="auto"/>
              <w:jc w:val="left"/>
            </w:pPr>
            <w:r>
              <w:rPr>
                <w:rFonts w:ascii="Consolas" w:hAnsi="Consolas"/>
                <w:sz w:val="18"/>
              </w:rPr>
              <w:t>p.circle('Day', 'US_East_ms', source=source, size=8, color='#386CB0', fill_color='white')</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p.line('Day', 'EU_Central_ms', source=source, legend_label='EU-Central (Frankfurt)', line_width=3, color='#F0027F')</w:t>
            </w:r>
          </w:p>
          <w:p>
            <w:pPr>
              <w:spacing w:before="0" w:after="0" w:line="240" w:lineRule="auto"/>
              <w:jc w:val="left"/>
            </w:pPr>
            <w:r>
              <w:rPr>
                <w:rFonts w:ascii="Consolas" w:hAnsi="Consolas"/>
                <w:sz w:val="18"/>
              </w:rPr>
              <w:t>p.circle('Day', 'EU_Central_ms', source=source, size=8, color='#F0027F', fill_color='white')</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p.line('Day', 'AP_South_ms', source=source, legend_label='AP-South (Mumbai)', line_width=3, color='#33A02C')</w:t>
            </w:r>
          </w:p>
          <w:p>
            <w:pPr>
              <w:spacing w:before="0" w:after="0" w:line="240" w:lineRule="auto"/>
              <w:jc w:val="left"/>
            </w:pPr>
            <w:r>
              <w:rPr>
                <w:rFonts w:ascii="Consolas" w:hAnsi="Consolas"/>
                <w:sz w:val="18"/>
              </w:rPr>
              <w:t>p.circle('Day', 'AP_South_ms', source=source, size=8, color='#33A02C', fill_color='white')</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SLA threshold dashed reference</w:t>
            </w:r>
          </w:p>
          <w:p>
            <w:pPr>
              <w:spacing w:before="0" w:after="0" w:line="240" w:lineRule="auto"/>
              <w:jc w:val="left"/>
            </w:pPr>
            <w:r>
              <w:rPr>
                <w:rFonts w:ascii="Consolas" w:hAnsi="Consolas"/>
                <w:sz w:val="18"/>
              </w:rPr>
              <w:t>p.line('Day', 'SLA_Limit_ms', source=source, legend_label='SLA Threshold (100 ms)', line_width=2, color='#E41A1C', line_dash='dashed')</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p.title.text_font_size = '13pt'</w:t>
            </w:r>
          </w:p>
          <w:p>
            <w:pPr>
              <w:spacing w:before="0" w:after="0" w:line="240" w:lineRule="auto"/>
              <w:jc w:val="left"/>
            </w:pPr>
            <w:r>
              <w:rPr>
                <w:rFonts w:ascii="Consolas" w:hAnsi="Consolas"/>
                <w:sz w:val="18"/>
              </w:rPr>
              <w:t>p.xaxis.axis_label_text_font_size = '11pt'</w:t>
            </w:r>
          </w:p>
          <w:p>
            <w:pPr>
              <w:spacing w:before="0" w:after="0" w:line="240" w:lineRule="auto"/>
              <w:jc w:val="left"/>
            </w:pPr>
            <w:r>
              <w:rPr>
                <w:rFonts w:ascii="Consolas" w:hAnsi="Consolas"/>
                <w:sz w:val="18"/>
              </w:rPr>
              <w:t>p.yaxis.axis_label_text_font_size = '11pt'</w:t>
            </w:r>
          </w:p>
          <w:p>
            <w:pPr>
              <w:spacing w:before="0" w:after="0" w:line="240" w:lineRule="auto"/>
              <w:jc w:val="left"/>
            </w:pPr>
            <w:r>
              <w:rPr>
                <w:rFonts w:ascii="Consolas" w:hAnsi="Consolas"/>
                <w:sz w:val="18"/>
              </w:rPr>
              <w:t>p.yaxis.bounds = (20, 110)</w:t>
            </w:r>
          </w:p>
          <w:p>
            <w:pPr>
              <w:spacing w:before="0" w:after="0" w:line="240" w:lineRule="auto"/>
              <w:jc w:val="left"/>
            </w:pPr>
            <w:r>
              <w:rPr>
                <w:rFonts w:ascii="Consolas" w:hAnsi="Consolas"/>
                <w:sz w:val="18"/>
              </w:rPr>
              <w:t>p.legend.location = 'top_left'</w:t>
            </w:r>
          </w:p>
          <w:p>
            <w:pPr>
              <w:spacing w:before="0" w:after="0" w:line="240" w:lineRule="auto"/>
              <w:jc w:val="left"/>
            </w:pPr>
            <w:r>
              <w:rPr>
                <w:rFonts w:ascii="Consolas" w:hAnsi="Consolas"/>
                <w:sz w:val="18"/>
              </w:rPr>
              <w:t>p.legend.click_policy = 'hide'</w:t>
            </w:r>
          </w:p>
          <w:p>
            <w:pPr>
              <w:spacing w:before="0" w:after="0" w:line="240" w:lineRule="auto"/>
              <w:jc w:val="left"/>
            </w:pPr>
            <w:r>
              <w:rPr>
                <w:rFonts w:ascii="Consolas" w:hAnsi="Consolas"/>
                <w:sz w:val="18"/>
              </w:rPr>
              <w:t>p.legend.background_fill_alpha = 0.85</w:t>
            </w:r>
          </w:p>
          <w:p>
            <w:pPr>
              <w:spacing w:before="0" w:after="0" w:line="240" w:lineRule="auto"/>
              <w:jc w:val="left"/>
            </w:pPr>
            <w:r>
              <w:rPr>
                <w:rFonts w:ascii="Consolas" w:hAnsi="Consolas"/>
                <w:sz w:val="18"/>
              </w:rPr>
              <w:t>p.background_fill_color = '#fafafa'</w:t>
            </w:r>
          </w:p>
          <w:p>
            <w:pPr>
              <w:spacing w:before="0" w:after="0" w:line="240" w:lineRule="auto"/>
              <w:jc w:val="left"/>
            </w:pPr>
            <w:r>
              <w:rPr>
                <w:rFonts w:ascii="Consolas" w:hAnsi="Consolas"/>
                <w:sz w:val="18"/>
              </w:rPr>
              <w:t>p.grid.grid_line_color = '#e6e6e6'</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show(p)</w:t>
            </w:r>
          </w:p>
        </w:tc>
      </w:tr>
      <w:tr w:rsidR="00F739F2" w:rsidRPr="005A6DDE" w:rsidTr="00D557C0">
        <w:trPr>
          <w:gridAfter w:val="1"/>
          <w:wAfter w:w="55" w:type="dxa"/>
          <w:trHeight w:val="2992"/>
        </w:trPr>
        <w:tc>
          <w:tcPr>
            <w:tcW w:w="1696" w:type="dxa"/>
            <w:shd w:val="clear" w:color="auto" w:fill="F7CAAC" w:themeFill="accent2" w:themeFillTint="66"/>
            <w:vAlign w:val="cente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pPr>
              <w:spacing w:before="120" w:after="40"/>
              <w:jc w:val="center"/>
            </w:pPr>
            <w:r>
              <w:drawing>
                <wp:inline xmlns:a="http://schemas.openxmlformats.org/drawingml/2006/main" xmlns:pic="http://schemas.openxmlformats.org/drawingml/2006/picture">
                  <wp:extent cx="4206240" cy="2321781"/>
                  <wp:docPr id="1" name="Picture 1"/>
                  <wp:cNvGraphicFramePr>
                    <a:graphicFrameLocks noChangeAspect="1"/>
                  </wp:cNvGraphicFramePr>
                  <a:graphic>
                    <a:graphicData uri="http://schemas.openxmlformats.org/drawingml/2006/picture">
                      <pic:pic>
                        <pic:nvPicPr>
                          <pic:cNvPr id="0" name="R_W7_SlNo14_EP_fig14_1.png"/>
                          <pic:cNvPicPr/>
                        </pic:nvPicPr>
                        <pic:blipFill>
                          <a:blip r:embed="rId12"/>
                          <a:stretch>
                            <a:fillRect/>
                          </a:stretch>
                        </pic:blipFill>
                        <pic:spPr>
                          <a:xfrm>
                            <a:off x="0" y="0"/>
                            <a:ext cx="4206240" cy="2321781"/>
                          </a:xfrm>
                          <a:prstGeom prst="rect"/>
                        </pic:spPr>
                      </pic:pic>
                    </a:graphicData>
                  </a:graphic>
                </wp:inline>
              </w:drawing>
            </w:r>
          </w:p>
          <w:p>
            <w:pPr>
              <w:spacing w:before="0" w:after="40"/>
              <w:jc w:val="center"/>
            </w:pPr>
            <w:r>
              <w:rPr>
                <w:rFonts w:ascii="Times New Roman" w:hAnsi="Times New Roman"/>
                <w:b/>
                <w:i w:val="0"/>
                <w:sz w:val="20"/>
              </w:rPr>
              <w:t>Figure 14.1: Global Datacenter Network Latency Telemetry and SLA Audit</w:t>
            </w:r>
          </w:p>
          <w:p>
            <w:pPr>
              <w:spacing w:before="0" w:after="40"/>
              <w:jc w:val="both"/>
            </w:pPr>
            <w:r>
              <w:rPr>
                <w:rFonts w:ascii="Times New Roman" w:hAnsi="Times New Roman"/>
                <w:b w:val="0"/>
                <w:i w:val="0"/>
                <w:sz w:val="24"/>
              </w:rPr>
              <w:t>Figure 14.1 Constructs the 7-day network telemetry audit table across 3 international cloud regions. AP-South (Mumbai) delivers the lowest latency (mean 32.0 ms), US-East averages 46.8 ms, and EU-Central averages 79.9 ms, with zero SLA boundary violations observed across all 7 operational cycles.</w:t>
            </w:r>
          </w:p>
          <w:p>
            <w:pPr>
              <w:spacing w:before="120" w:after="40"/>
              <w:jc w:val="center"/>
            </w:pPr>
            <w:r>
              <w:drawing>
                <wp:inline xmlns:a="http://schemas.openxmlformats.org/drawingml/2006/main" xmlns:pic="http://schemas.openxmlformats.org/drawingml/2006/picture">
                  <wp:extent cx="4206240" cy="2570480"/>
                  <wp:docPr id="2" name="Picture 2"/>
                  <wp:cNvGraphicFramePr>
                    <a:graphicFrameLocks noChangeAspect="1"/>
                  </wp:cNvGraphicFramePr>
                  <a:graphic>
                    <a:graphicData uri="http://schemas.openxmlformats.org/drawingml/2006/picture">
                      <pic:pic>
                        <pic:nvPicPr>
                          <pic:cNvPr id="0" name="R_W7_SlNo14_EP_fig14_2.png"/>
                          <pic:cNvPicPr/>
                        </pic:nvPicPr>
                        <pic:blipFill>
                          <a:blip r:embed="rId13"/>
                          <a:stretch>
                            <a:fillRect/>
                          </a:stretch>
                        </pic:blipFill>
                        <pic:spPr>
                          <a:xfrm>
                            <a:off x="0" y="0"/>
                            <a:ext cx="4206240" cy="2570480"/>
                          </a:xfrm>
                          <a:prstGeom prst="rect"/>
                        </pic:spPr>
                      </pic:pic>
                    </a:graphicData>
                  </a:graphic>
                </wp:inline>
              </w:drawing>
            </w:r>
          </w:p>
          <w:p>
            <w:pPr>
              <w:spacing w:before="0" w:after="40"/>
              <w:jc w:val="center"/>
            </w:pPr>
            <w:r>
              <w:rPr>
                <w:rFonts w:ascii="Times New Roman" w:hAnsi="Times New Roman"/>
                <w:b/>
                <w:i w:val="0"/>
                <w:sz w:val="20"/>
              </w:rPr>
              <w:t>Figure 14.2: Interactive Bokeh Multi-Line Time Series of Server Latency</w:t>
            </w:r>
          </w:p>
          <w:p>
            <w:pPr>
              <w:spacing w:before="0" w:after="40"/>
              <w:jc w:val="both"/>
            </w:pPr>
            <w:r>
              <w:rPr>
                <w:rFonts w:ascii="Times New Roman" w:hAnsi="Times New Roman"/>
                <w:b w:val="0"/>
                <w:i w:val="0"/>
                <w:sz w:val="24"/>
              </w:rPr>
              <w:t>Figure 14.2 Renders the interactive Bokeh line chart displaying 7-day latency curves across US-East (blue), EU-Central (magenta), and AP-South (green). Observation nodes feature interactive HoverTools for precise millisecond measurement inspection and a dashed red SLA threshold line at 100 ms demonstrating full compliance.</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multi-line time series analysis using Bokeh successfully mapped cross-regional cloud infrastructure latency:</w:t>
            </w:r>
          </w:p>
          <w:p/>
          <w:p>
            <w:pPr>
              <w:spacing w:before="0" w:after="40"/>
              <w:ind w:left="360"/>
              <w:jc w:val="both"/>
            </w:pPr>
            <w:r>
              <w:rPr>
                <w:rFonts w:ascii="Times New Roman" w:hAnsi="Times New Roman"/>
                <w:b w:val="0"/>
                <w:i w:val="0"/>
                <w:sz w:val="24"/>
              </w:rPr>
              <w:t>•  Visualized 7-day chronological round-trip latency trajectories across three major cloud infrastructure regions.</w:t>
            </w:r>
          </w:p>
          <w:p/>
          <w:p>
            <w:pPr>
              <w:spacing w:before="0" w:after="40"/>
              <w:ind w:left="360"/>
              <w:jc w:val="both"/>
            </w:pPr>
            <w:r>
              <w:rPr>
                <w:rFonts w:ascii="Times New Roman" w:hAnsi="Times New Roman"/>
                <w:b w:val="0"/>
                <w:i w:val="0"/>
                <w:sz w:val="24"/>
              </w:rPr>
              <w:t>•  Demonstrated AP-South (Mumbai) as the most responsive node (mean 32.0 ms), followed by US-East (46.8 ms) and EU-Central (79.9 ms).</w:t>
            </w:r>
          </w:p>
          <w:p/>
          <w:p>
            <w:pPr>
              <w:spacing w:before="0" w:after="40"/>
              <w:ind w:left="360"/>
              <w:jc w:val="both"/>
            </w:pPr>
            <w:r>
              <w:rPr>
                <w:rFonts w:ascii="Times New Roman" w:hAnsi="Times New Roman"/>
                <w:b w:val="0"/>
                <w:i w:val="0"/>
                <w:sz w:val="24"/>
              </w:rPr>
              <w:t>•  Incorporated an explicit SLA benchmark line at 100 ms confirming continuous operational compliance across all regions.</w:t>
            </w:r>
          </w:p>
          <w:p/>
          <w:p>
            <w:pPr>
              <w:spacing w:before="0" w:after="40"/>
              <w:ind w:left="360"/>
              <w:jc w:val="both"/>
            </w:pPr>
            <w:r>
              <w:rPr>
                <w:rFonts w:ascii="Times New Roman" w:hAnsi="Times New Roman"/>
                <w:b w:val="0"/>
                <w:i w:val="0"/>
                <w:sz w:val="24"/>
              </w:rPr>
              <w:t>•  Leveraged Bokeh interactive features including HoverTool inspection, point glyph overlays, and clickable legend toggling.</w:t>
            </w:r>
          </w:p>
          <w:p/>
          <w:p>
            <w:pPr>
              <w:spacing w:before="0" w:after="40"/>
              <w:ind w:left="360"/>
              <w:jc w:val="both"/>
            </w:pPr>
            <w:r>
              <w:rPr>
                <w:rFonts w:ascii="Times New Roman" w:hAnsi="Times New Roman"/>
                <w:b w:val="0"/>
                <w:i w:val="0"/>
                <w:sz w:val="24"/>
              </w:rPr>
              <w:t>•  Automated high-resolution snapshot generation via Selenium Edge WebDriver for continuous ops reporting.</w:t>
            </w:r>
          </w:p>
          <w:p>
            <w:pPr>
              <w:spacing w:before="0" w:after="40"/>
              <w:jc w:val="both"/>
            </w:pPr>
            <w:r>
              <w:rPr>
                <w:rFonts w:ascii="Times New Roman" w:hAnsi="Times New Roman"/>
                <w:b w:val="0"/>
                <w:i w:val="0"/>
                <w:sz w:val="24"/>
              </w:rPr>
              <w:t>Bokeh's native support for interactive time series curves and multi-metric glyphs makes it an ideal platform for mission-critical telemetry monitoring.</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1. Michael Freeman and Joel Ross, Programming Skills for Data Science: Start Writing Code to Wrangle, Analyze, and Visualize Data with R, Addison-Wesley, 2018.</w:t>
            </w:r>
          </w:p>
          <w:p>
            <w:pPr>
              <w:spacing w:before="0" w:after="40"/>
              <w:jc w:val="both"/>
            </w:pPr>
            <w:r>
              <w:rPr>
                <w:rFonts w:ascii="Times New Roman" w:hAnsi="Times New Roman"/>
                <w:b w:val="0"/>
                <w:i w:val="0"/>
                <w:sz w:val="24"/>
              </w:rPr>
              <w:t>2. Jake VanderPlas, Python Data Science Handbook, 2nd Edition, O'Reilly Media, 2023.</w:t>
            </w:r>
          </w:p>
          <w:p>
            <w:pPr>
              <w:spacing w:before="0" w:after="40"/>
              <w:jc w:val="both"/>
            </w:pPr>
            <w:r>
              <w:rPr>
                <w:rFonts w:ascii="Times New Roman" w:hAnsi="Times New Roman"/>
                <w:b w:val="0"/>
                <w:i w:val="0"/>
                <w:sz w:val="24"/>
              </w:rPr>
              <w:t>3. Bokeh User Guide: https://docs.bokeh.org/en/latest/docs/user_guide.html</w:t>
            </w:r>
          </w:p>
          <w:p>
            <w:pPr>
              <w:spacing w:before="0" w:after="40"/>
              <w:jc w:val="both"/>
            </w:pPr>
            <w:r>
              <w:rPr>
                <w:rFonts w:ascii="Times New Roman" w:hAnsi="Times New Roman"/>
                <w:b w:val="0"/>
                <w:i w:val="0"/>
                <w:sz w:val="24"/>
              </w:rPr>
              <w:t>4. Pandas User Guide: https://pandas.pydata.org/docs/user_guide/index.html</w:t>
            </w:r>
          </w:p>
          <w:p>
            <w:pPr>
              <w:spacing w:before="0" w:after="40"/>
              <w:jc w:val="both"/>
            </w:pPr>
            <w:r>
              <w:rPr>
                <w:rFonts w:ascii="Times New Roman" w:hAnsi="Times New Roman"/>
                <w:b w:val="0"/>
                <w:i w:val="0"/>
                <w:sz w:val="24"/>
              </w:rPr>
              <w:t>5. Python Standard Library Documentation: https://docs.python.org/3/library/</w:t>
            </w:r>
          </w:p>
          <w:p>
            <w:pPr>
              <w:spacing w:before="0" w:after="40"/>
              <w:jc w:val="both"/>
            </w:pPr>
            <w:r>
              <w:rPr>
                <w:rFonts w:ascii="Times New Roman" w:hAnsi="Times New Roman"/>
                <w:b w:val="0"/>
                <w:i w:val="0"/>
                <w:sz w:val="24"/>
              </w:rPr>
              <w:t>6. Python Program (Google Colab link / GitHub link): https://colab.research.google.com/drive/rohan_yadav_26mml0020</w:t>
            </w:r>
          </w:p>
          <w:p>
            <w:pPr>
              <w:spacing w:before="0" w:after="40"/>
              <w:jc w:val="both"/>
            </w:pPr>
            <w:r>
              <w:rPr>
                <w:rFonts w:ascii="Times New Roman" w:hAnsi="Times New Roman"/>
                <w:b w:val="0"/>
                <w:i w:val="0"/>
                <w:sz w:val="24"/>
              </w:rPr>
              <w:t>7. Class lecture link: https://drive.google.com/drive/folders/vit_datascience_macse502</w:t>
            </w:r>
          </w:p>
        </w:tc>
      </w:tr>
    </w:tbl>
    <w:p w:rsidR="009662DB" w:rsidRPr="001D08CD" w:rsidRDefault="000718B9" w:rsidP="00847787">
      <w:pPr>
        <w:tabs>
          <w:tab w:val="left" w:pos="5910"/>
        </w:tabs>
      </w:pPr>
    </w:p>
    <w:sectPr w:rsidR="009662DB" w:rsidRPr="001D08CD" w:rsidSect="007546DD">
      <w:headerReference w:type="default" r:id="rId8"/>
      <w:footerReference w:type="default" r:id="rId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8B9" w:rsidRDefault="000718B9" w:rsidP="007546DD">
      <w:pPr>
        <w:spacing w:after="0" w:line="240" w:lineRule="auto"/>
      </w:pPr>
      <w:r>
        <w:separator/>
      </w:r>
    </w:p>
  </w:endnote>
  <w:endnote w:type="continuationSeparator" w:id="0">
    <w:p w:rsidR="000718B9" w:rsidRDefault="000718B9"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Default="00BC15A4" w:rsidP="00810EAB">
    <w:pPr>
      <w:pStyle w:val="Footer"/>
      <w:rPr>
        <w:lang w:val="en-US"/>
      </w:rPr>
    </w:pPr>
    <w:r>
      <w:rPr>
        <w:b w:val="0"/>
      </w:rPr>
      <w:t>Student Reg. No: 26MML0020</w:t>
    </w:r>
    <w:r>
      <w:tab/>
    </w:r>
    <w:r>
      <w:t>Name: ROHAN YADAV</w:t>
    </w:r>
  </w:p>
  <w:p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rsidR="00810EAB" w:rsidRDefault="000718B9"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7F19E1" w:rsidRPr="007F19E1">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8B9" w:rsidRDefault="000718B9" w:rsidP="007546DD">
      <w:pPr>
        <w:spacing w:after="0" w:line="240" w:lineRule="auto"/>
      </w:pPr>
      <w:r>
        <w:separator/>
      </w:r>
    </w:p>
  </w:footnote>
  <w:footnote w:type="continuationSeparator" w:id="0">
    <w:p w:rsidR="000718B9" w:rsidRDefault="000718B9" w:rsidP="00754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rFonts w:ascii="Times New Roman" w:hAnsi="Times New Roman" w:cs="Times New Roman"/>
        <w:b/>
        <w:sz w:val="24"/>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rsidR="00810EAB" w:rsidRPr="00810EAB" w:rsidRDefault="00B1651E" w:rsidP="00810EAB">
    <w:pPr>
      <w:pStyle w:val="Header"/>
      <w:jc w:val="center"/>
      <w:rPr>
        <w:b/>
        <w:lang w:val="en-US"/>
      </w:rPr>
    </w:pPr>
    <w:r>
      <w:rPr>
        <w:b/>
        <w:lang w:val="en-US"/>
      </w:rPr>
      <w:t>Practice Program/ Exercise Program</w:t>
    </w:r>
    <w:r w:rsidR="00810EAB" w:rsidRPr="00810EAB">
      <w:rPr>
        <w:b/>
        <w:lang w:val="en-US"/>
      </w:rPr>
      <w:t xml:space="preserve"> </w:t>
    </w:r>
  </w:p>
  <w:p w:rsidR="007546DD" w:rsidRPr="00810EAB" w:rsidRDefault="00810EAB" w:rsidP="007546DD">
    <w:pPr>
      <w:pStyle w:val="Header"/>
      <w:jc w:val="center"/>
      <w:rPr>
        <w:b/>
      </w:rPr>
    </w:pPr>
    <w:r>
      <w:rPr>
        <w:b/>
      </w:rPr>
      <w:t>Date: 27-08-2026</w:t>
    </w:r>
    <w:r>
      <w:rPr>
        <w:b/>
      </w:rPr>
      <w:tab/>
    </w:r>
    <w:r>
      <w:rPr>
        <w:b/>
      </w:rPr>
      <w:t>Week No.: 07</w:t>
    </w:r>
    <w:r>
      <w:rPr>
        <w:b/>
      </w:rPr>
      <w:tab/>
    </w:r>
    <w:r>
      <w:rPr>
        <w:b/>
      </w:rPr>
      <w:t>Program S. No.: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8"/>
  </w:num>
  <w:num w:numId="5">
    <w:abstractNumId w:val="7"/>
  </w:num>
  <w:num w:numId="6">
    <w:abstractNumId w:val="1"/>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5B"/>
    <w:rsid w:val="00010511"/>
    <w:rsid w:val="00030332"/>
    <w:rsid w:val="000718B9"/>
    <w:rsid w:val="00156731"/>
    <w:rsid w:val="00180774"/>
    <w:rsid w:val="001B759B"/>
    <w:rsid w:val="001D08CD"/>
    <w:rsid w:val="001D5CAF"/>
    <w:rsid w:val="00246324"/>
    <w:rsid w:val="002C3E4B"/>
    <w:rsid w:val="002E631A"/>
    <w:rsid w:val="0036550C"/>
    <w:rsid w:val="00420127"/>
    <w:rsid w:val="004D1AFC"/>
    <w:rsid w:val="004E1E2C"/>
    <w:rsid w:val="00567FA3"/>
    <w:rsid w:val="00591BDC"/>
    <w:rsid w:val="006B6489"/>
    <w:rsid w:val="006C265B"/>
    <w:rsid w:val="007546DD"/>
    <w:rsid w:val="00763F1E"/>
    <w:rsid w:val="00765ABB"/>
    <w:rsid w:val="007F19E1"/>
    <w:rsid w:val="00810EAB"/>
    <w:rsid w:val="00847787"/>
    <w:rsid w:val="008F035F"/>
    <w:rsid w:val="00935DBB"/>
    <w:rsid w:val="009F2BBE"/>
    <w:rsid w:val="00A347F6"/>
    <w:rsid w:val="00AC0753"/>
    <w:rsid w:val="00B1651E"/>
    <w:rsid w:val="00B76AE9"/>
    <w:rsid w:val="00BC15A4"/>
    <w:rsid w:val="00BC70CD"/>
    <w:rsid w:val="00C072E0"/>
    <w:rsid w:val="00C41F92"/>
    <w:rsid w:val="00C50FAD"/>
    <w:rsid w:val="00C654D8"/>
    <w:rsid w:val="00C822C2"/>
    <w:rsid w:val="00CA3277"/>
    <w:rsid w:val="00CE3214"/>
    <w:rsid w:val="00CE3E72"/>
    <w:rsid w:val="00CF591C"/>
    <w:rsid w:val="00D43C4C"/>
    <w:rsid w:val="00D557C0"/>
    <w:rsid w:val="00D929B8"/>
    <w:rsid w:val="00DA7CA9"/>
    <w:rsid w:val="00E86053"/>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4F98B-00A0-4146-B946-D4252481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TotalTime>
  <Pages>2</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2025-03-03T06:49:00Z</cp:lastPrinted>
  <dcterms:created xsi:type="dcterms:W3CDTF">2026-07-23T07:12:00Z</dcterms:created>
  <dcterms:modified xsi:type="dcterms:W3CDTF">2026-07-23T07:12:00Z</dcterms:modified>
</cp:coreProperties>
</file>