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2F2F2" w:themeColor="background1" w:themeShade="F2"/>
  <w:body>
    <w:tbl>
      <w:tblPr>
        <w:tblStyle w:val="TableGrid"/>
        <w:tblW w:w="9071" w:type="dxa"/>
        <w:tblLayout w:type="fixed"/>
        <w:tblLook w:val="04A0" w:firstRow="1" w:lastRow="0" w:firstColumn="1" w:lastColumn="0" w:noHBand="0" w:noVBand="1"/>
      </w:tblPr>
      <w:tblGrid>
        <w:gridCol w:w="1696"/>
        <w:gridCol w:w="709"/>
        <w:gridCol w:w="1559"/>
        <w:gridCol w:w="1049"/>
        <w:gridCol w:w="4003"/>
        <w:gridCol w:w="55"/>
      </w:tblGrid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833C0B" w:themeFill="accent2" w:themeFillShade="80"/>
          </w:tcPr>
          <w:p w:rsidR="00F739F2" w:rsidRPr="007546DD" w:rsidRDefault="00F739F2" w:rsidP="00DC717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7546D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Title</w:t>
            </w:r>
          </w:p>
        </w:tc>
        <w:tc>
          <w:tcPr>
            <w:tcW w:w="7320" w:type="dxa"/>
            <w:gridSpan w:val="4"/>
            <w:shd w:val="clear" w:color="auto" w:fill="833C0B" w:themeFill="accent2" w:themeFillShade="8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Interactive Bar Chart of Enterprise Cloud Infrastructure Costs with Bokeh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Construct an interactive categorical bar chart using Bokeh to visualize quarterly cloud infrastructure expenditure ($k USD) across 6 core enterprise departments (Engineering, AI Research, Data Platform, Security &amp; SecOps, Customer Support, Enterprise IT). Structure departmental budget and actual billing records into a Pandas DataFrame, calculate financial variances and utilization percentages, apply categorical color palettes with factor_cmap, overlay numerical spend labels directly onto bars using LabelSet, embed custom HoverTools, and export the financial graphic.</w:t>
            </w:r>
          </w:p>
        </w:tc>
      </w:tr>
      <w:tr w:rsidR="00246324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246324" w:rsidRDefault="00246324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Objectives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generate interactive categorical bar charts using Bokeh vertical glyphs (vbar).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track and visualize departmental cloud infrastructure consumption and budget variance.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apply discrete categorical color schemes across corporate division factors.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overlay data callout labels directly above bars using the Bokeh LabelSet model.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integrate custom HoverTools displaying budget, actual spend, variance, and utilization.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export static high-resolution financial charts using headless browser automation.</w:t>
            </w:r>
          </w:p>
        </w:tc>
      </w:tr>
      <w:tr w:rsidR="00765ABB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Dataset</w:t>
            </w:r>
          </w:p>
          <w:p w:rsidR="00765ABB" w:rsidRDefault="00765ABB" w:rsidP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URL Link  /</w:t>
            </w:r>
          </w:p>
          <w:p w:rsidR="00765ABB" w:rsidRPr="005A6DDE" w:rsidRDefault="00765ABB" w:rsidP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File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Enterprise cloud infrastructure billing audit across 6 business units recording quarterly allocated budget ($k USD), actual billing spend ($k USD), variance, and active virtual machine instances.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64"/>
              <w:gridCol w:w="1464"/>
              <w:gridCol w:w="1464"/>
              <w:gridCol w:w="1464"/>
              <w:gridCol w:w="1464"/>
            </w:tblGrid>
            <w:tr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Department / Division</w:t>
                  </w:r>
                </w:p>
              </w:tc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Quarterly Budget ($k)</w:t>
                  </w:r>
                </w:p>
              </w:tc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Actual Spend ($k)</w:t>
                  </w:r>
                </w:p>
              </w:tc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Variance ($k)</w:t>
                  </w:r>
                </w:p>
              </w:tc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Utilization (%)</w:t>
                  </w:r>
                </w:p>
              </w:tc>
            </w:tr>
            <w:tr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AI Research</w:t>
                  </w:r>
                </w:p>
              </w:tc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$450k</w:t>
                  </w:r>
                </w:p>
              </w:tc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$485k</w:t>
                  </w:r>
                </w:p>
              </w:tc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+$35k</w:t>
                  </w:r>
                </w:p>
              </w:tc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107.8%</w:t>
                  </w:r>
                </w:p>
              </w:tc>
            </w:tr>
            <w:tr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Engineering</w:t>
                  </w:r>
                </w:p>
              </w:tc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$380k</w:t>
                  </w:r>
                </w:p>
              </w:tc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$365k</w:t>
                  </w:r>
                </w:p>
              </w:tc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-$15k</w:t>
                  </w:r>
                </w:p>
              </w:tc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96.1%</w:t>
                  </w:r>
                </w:p>
              </w:tc>
            </w:tr>
            <w:tr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Data Platform</w:t>
                  </w:r>
                </w:p>
              </w:tc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$260k</w:t>
                  </w:r>
                </w:p>
              </w:tc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$280k</w:t>
                  </w:r>
                </w:p>
              </w:tc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+$20k</w:t>
                  </w:r>
                </w:p>
              </w:tc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107.7%</w:t>
                  </w:r>
                </w:p>
              </w:tc>
            </w:tr>
            <w:tr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Enterprise IT</w:t>
                  </w:r>
                </w:p>
              </w:tc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$180k</w:t>
                  </w:r>
                </w:p>
              </w:tc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$170k</w:t>
                  </w:r>
                </w:p>
              </w:tc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-$10k</w:t>
                  </w:r>
                </w:p>
              </w:tc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94.4%</w:t>
                  </w:r>
                </w:p>
              </w:tc>
            </w:tr>
            <w:tr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Security &amp; SecOps</w:t>
                  </w:r>
                </w:p>
              </w:tc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$120k</w:t>
                  </w:r>
                </w:p>
              </w:tc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$115k</w:t>
                  </w:r>
                </w:p>
              </w:tc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-$5k</w:t>
                  </w:r>
                </w:p>
              </w:tc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95.8%</w:t>
                  </w:r>
                </w:p>
              </w:tc>
            </w:tr>
            <w:tr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Customer Support</w:t>
                  </w:r>
                </w:p>
              </w:tc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$90k</w:t>
                  </w:r>
                </w:p>
              </w:tc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$80k</w:t>
                  </w:r>
                </w:p>
              </w:tc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-$10k</w:t>
                  </w:r>
                </w:p>
              </w:tc>
              <w:tc>
                <w:tcPr>
                  <w:tcW w:type="dxa" w:w="1464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88.9%</w:t>
                  </w:r>
                </w:p>
              </w:tc>
            </w:tr>
          </w:tbl>
          <w:p/>
          <w:p>
            <w:pPr>
              <w:spacing w:before="0" w:after="40"/>
              <w:jc w:val="both"/>
            </w:pPr>
          </w:p>
        </w:tc>
      </w:tr>
      <w:tr w:rsidR="00F773F3" w:rsidRPr="005A6DDE" w:rsidTr="00D557C0">
        <w:tc>
          <w:tcPr>
            <w:tcW w:w="1696" w:type="dxa"/>
            <w:vMerge w:val="restart"/>
            <w:shd w:val="clear" w:color="auto" w:fill="F7CAAC" w:themeFill="accent2" w:themeFillTint="66"/>
            <w:vAlign w:val="center"/>
          </w:tcPr>
          <w:p w:rsidR="00F773F3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Functions</w:t>
            </w:r>
          </w:p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Details</w:t>
            </w:r>
          </w:p>
        </w:tc>
        <w:tc>
          <w:tcPr>
            <w:tcW w:w="70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No.</w:t>
            </w:r>
          </w:p>
        </w:tc>
        <w:tc>
          <w:tcPr>
            <w:tcW w:w="155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Function</w:t>
            </w:r>
          </w:p>
        </w:tc>
        <w:tc>
          <w:tcPr>
            <w:tcW w:w="104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Package</w:t>
            </w:r>
          </w:p>
        </w:tc>
        <w:tc>
          <w:tcPr>
            <w:tcW w:w="4058" w:type="dxa"/>
            <w:gridSpan w:val="2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Description of function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figure(x_range=...)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bokeh.plotting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Initializes categorical coordinate system for departmental expenditure bars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p.vbar()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bokeh.plotting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Renders vertical bars corresponding to quarterly cloud infrastructure spend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ColumnDataSource()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bokeh.models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Feeds departmental financial records into Bokeh graphic pipeline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HoverTool()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bokeh.models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Displays department name, quarterly budget, actual spend, and variance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LabelSet()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bokeh.models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Positions formatted numerical spend text labels directly above expenditure bars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factor_cmap()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bokeh.transform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Applies distinct departmental color mapping across financial categories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7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pd.DataFrame()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pandas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Assembles enterprise departmental budget and cloud billing metrics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df.assign()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pandas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Calculates financial variance and budget utilization percentage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9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df.sort_values()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pandas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Ranks departments by annual cloud spend magnitude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df.sum() / df.mean()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pandas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Computes enterprise-wide total cloud expenditure and departmental average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export_png()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bokeh.io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Generates headless browser snapshot of interactive cost allocation chart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show()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bokeh.plotting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Displays interactive Bokeh financial dashboard in web browser</w:t>
            </w:r>
          </w:p>
        </w:tc>
      </w:tr>
      <w:tr w:rsidR="00765ABB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29C7" w:rsidRDefault="00F729C7" w:rsidP="00F729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Steps/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Process/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Procedure/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Algorithm</w:t>
            </w:r>
            <w:r w:rsidR="00F729C7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</w:p>
          <w:p w:rsidR="00F729C7" w:rsidRDefault="00F729C7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Flowchart/</w:t>
            </w:r>
          </w:p>
          <w:p w:rsidR="00F729C7" w:rsidRDefault="00F729C7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Model</w:t>
            </w:r>
          </w:p>
          <w:p w:rsidR="00765ABB" w:rsidRPr="005A6DDE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1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Import figure, ColumnDataSource, HoverTool, LabelSet, factor_cmap from Bokeh, and pandas.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2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Compile enterprise cloud infrastructure expenditure dataset across 6 core corporate divisions.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3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Compute financial variance, budget utilization percentages, and compute resource density metrics.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4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Rank departments hierarchically based on annual cloud expenditure magnitude.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5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Construct Bokeh ColumnDataSource linking departmental categorical factors and expenditure values.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6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Initialize categorical Bokeh canvas with pre-configured department x-range ordering.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7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Render styled vertical bars with distinct categorical color palette, hover inspect tools, and on-bar labels.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8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Export publication-quality financial visualization to static PNG image using Edge headless driver.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Program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Load Necessary Packages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pandas as pd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Step 1, 2, 3 &amp; 4: Enterprise Cloud Infrastructure Expenditure Ledger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depts = ['AI Research', 'Engineering', 'Data Platform', 'Enterprise IT', 'Security', 'Customer Support']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budget_k = [450.0, 380.0, 260.0, 180.0, 120.0, 90.0]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actual_k = [485.0, 365.0, 280.0, 170.0, 115.0, 80.0]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instances = [340, 290, 210, 140, 95, 60]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cost_df = pd.DataFrame({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'Department': depts,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'Budget_USD_K': budget_k,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'Actual_Spend_USD_K': actual_k,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'Variance_USD_K': [round(a - b, 1) for a, b in zip(actual_k, budget_k)],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'Utilization_Pct': [round((a / b) * 100.0, 1) for a, b in zip(actual_k, budget_k)],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'Active_VM_Instances': instances,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'Spend_Label': [f'${int(a)}k' for a in actual_k]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})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cost_df = cost_df.sort_values(by='Actual_Spend_USD_K', ascending=False).reset_index(drop=True)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print('--- Enterprise Cloud Infrastructure Expenditure Ledger ---')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print(cost_df.to_string(index=False))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total_budget = cost_df['Budget_USD_K'].sum()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total_actual = cost_df['Actual_Spend_USD_K'].sum()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print(f'\nTotal Allocated Enterprise Budget: ${total_budget:,.1f}k USD')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print(f'Total Actual Enterprise Expenditure: ${total_actual:,.1f}k USD (Net Variance: +${total_actual - total_budget:,.1f}k USD)')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print(f'Overall Corporate Cloud Utilization: {(total_actual / total_budget) * 100.0:.2f}%')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Step 5, 6, 7 &amp; 8: Build Categorical Bokeh Bar Chart with Callout Labels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from bokeh.plotting import figure, show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from bokeh.models import ColumnDataSource, HoverTool, LabelSet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from bokeh.transform import factor_cmap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source = ColumnDataSource(cost_df)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dept_order = cost_df['Department'].tolist()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palette = ['#e41a1c', '#377eb8', '#4daf4a', '#984ea3', '#ff7f00', '#a65628']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color_map = factor_cmap('Department', palette=palette, factors=dept_order)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hover = HoverTool(tooltips=[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('Department', '@Department'),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('Quarterly Budget', '$@Budget_USD_K{0.1f}k'),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('Actual Spend', '$@Actual_Spend_USD_K{0.1f}k'),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('Net Variance', '$@Variance_USD_K{+0.1f}k'),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('Utilization', '@Utilization_Pct{0.1f}%'),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])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 = figure(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x_range=dept_order,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title='Enterprise Cloud Infrastructure Expenditure by Department ($k USD)',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x_axis_label='Corporate Division / Department',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y_axis_label='Quarterly Spend (in $1,000 USD)',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width=720,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height=440,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tools=[hover, 'pan', 'wheel_zoom', 'reset', 'save']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p.vbar(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x='Department',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top='Actual_Spend_USD_K',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width=0.62,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source=source,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color=color_map,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legend_field='Department'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labels = LabelSet(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x='Department',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y='Actual_Spend_USD_K',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text='Spend_Label',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level='glyph',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x_offset=-16,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y_offset=4,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source=source,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text_font_size='10pt',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text_font_style='bold'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p.add_layout(labels)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p.title.text_font_size = '13pt'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p.xaxis.axis_label_text_font_size = '11pt'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p.yaxis.axis_label_text_font_size = '11pt'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p.yaxis.bounds = (0, 560)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p.legend.location = 'top_right'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p.legend.title = 'Divisions'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p.legend.background_fill_alpha = 0.85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p.background_fill_color = '#fafafa'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p.grid.grid_line_color = '#e6e6e6'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p.xaxis.major_label_orientation = 0.35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show(p)</w:t>
            </w:r>
          </w:p>
        </w:tc>
      </w:tr>
      <w:tr w:rsidR="00F739F2" w:rsidRPr="005A6DDE" w:rsidTr="00D557C0">
        <w:trPr>
          <w:gridAfter w:val="1"/>
          <w:wAfter w:w="55" w:type="dxa"/>
          <w:trHeight w:val="2992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Output Snapshots</w:t>
            </w:r>
          </w:p>
          <w:p w:rsidR="00FC531A" w:rsidRPr="005A6DDE" w:rsidRDefault="00FC531A" w:rsidP="00FC53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Explanation/</w:t>
            </w:r>
          </w:p>
          <w:p w:rsidR="00FC531A" w:rsidRPr="005A6DDE" w:rsidRDefault="00FC531A" w:rsidP="00FC53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Observations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103692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_W7_SlNo15_EP_fig15_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10369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Figure 15.1: Departmental Cloud Expenditure and Utilization Ledger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Figure 15.1 Constructs the corporate cloud expenditure audit ledger across 6 divisions. AI Research represents the largest cloud consumer at $485k (107.8% utilization), followed by Engineering at $365k. Across the enterprise, total quarterly spend reached $1,495k against a $1,480k budget (101.01% aggregate utilization).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25704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_W7_SlNo15_EP_fig15_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570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Figure 15.2: Interactive Bokeh Departmental Cloud Spend Bar Chart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Figure 15.2 Renders the interactive Bokeh categorical bar chart displaying departmental cloud expenditures. Each vertical bar features direct LabelSet callout values ($k USD), distinct categorical factor colors, and an interactive HoverTool showing exact budget allocation, actual billing, and variance indicators.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C531A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Conclusions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The Bokeh categorical bar chart visualization successfully summarized enterprise cloud infrastructure allocations: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Modeled quarterly cloud expenditures across 6 core business units totaling $1,495k USD.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Identified AI Research ($485k) and Data Platform ($280k) as units experiencing minor budget overruns due to GPU compute demands.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Demonstrated engineering and IT operational units maintaining disciplined sub-budget execution (96.1% and 94.4% utilization).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Applied Bokeh LabelSet glyph annotations to overlay formatted financial values directly on top of each categorical bar.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Enriched user interaction through comprehensive hover cards displaying budget targets, spend variance, and utilization ratios.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The automated financial reporting pipeline demonstrates Bokeh's strong suitability for enterprise executive dashboards and cost governance analytics.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References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Michael Freeman and Joel Ross, Programming Skills for Data Science: Start Writing Code to Wrangle, Analyze, and Visualize Data with R, Addison-Wesley, 2018.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Jake VanderPlas, Python Data Science Handbook, 2nd Edition, O'Reilly Media, 2023.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Bokeh User Guide: https://docs.bokeh.org/en/latest/docs/user_guide.html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Pandas User Guide: https://pandas.pydata.org/docs/user_guide/index.html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5. Python Standard Library Documentation: https://docs.python.org/3/library/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6. Python Program (Google Colab link / GitHub link): https://colab.research.google.com/drive/rohan_yadav_26mml0020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7. Class lecture link: https://drive.google.com/drive/folders/vit_datascience_macse502</w:t>
            </w:r>
          </w:p>
        </w:tc>
      </w:tr>
    </w:tbl>
    <w:p w:rsidR="009662DB" w:rsidRPr="001D08CD" w:rsidRDefault="000718B9" w:rsidP="00847787">
      <w:pPr>
        <w:tabs>
          <w:tab w:val="left" w:pos="5910"/>
        </w:tabs>
      </w:pPr>
    </w:p>
    <w:sectPr w:rsidR="009662DB" w:rsidRPr="001D08CD" w:rsidSect="007546D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18B9" w:rsidRDefault="000718B9" w:rsidP="007546DD">
      <w:pPr>
        <w:spacing w:after="0" w:line="240" w:lineRule="auto"/>
      </w:pPr>
      <w:r>
        <w:separator/>
      </w:r>
    </w:p>
  </w:endnote>
  <w:endnote w:type="continuationSeparator" w:id="0">
    <w:p w:rsidR="000718B9" w:rsidRDefault="000718B9" w:rsidP="00754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EAB" w:rsidRDefault="00BC15A4" w:rsidP="00810EAB">
    <w:pPr>
      <w:pStyle w:val="Footer"/>
      <w:rPr>
        <w:lang w:val="en-US"/>
      </w:rPr>
    </w:pPr>
    <w:r>
      <w:rPr>
        <w:b w:val="0"/>
      </w:rPr>
      <w:t>Student Reg. No: 26MML0020</w:t>
    </w:r>
    <w:r>
      <w:tab/>
    </w:r>
    <w:r>
      <w:t>Name: ROHAN YADAV</w:t>
    </w:r>
  </w:p>
  <w:p w:rsidR="00810EAB" w:rsidRDefault="00810EAB" w:rsidP="00CF591C">
    <w:pPr>
      <w:pStyle w:val="Footer"/>
      <w:pBdr>
        <w:top w:val="single" w:sz="4" w:space="1" w:color="D9D9D9" w:themeColor="background1" w:themeShade="D9"/>
      </w:pBdr>
      <w:jc w:val="center"/>
    </w:pPr>
    <w:r w:rsidRPr="007546DD">
      <w:rPr>
        <w:i/>
        <w:sz w:val="20"/>
        <w:lang w:val="en-US"/>
      </w:rPr>
      <w:t>Faculty: Dr Rajasekhara Babu M, Professor, School of CSE, Vellore Institute of Technology (VIT), Vellore</w:t>
    </w:r>
  </w:p>
  <w:p w:rsidR="00810EAB" w:rsidRDefault="000718B9" w:rsidP="00810EAB">
    <w:pPr>
      <w:pStyle w:val="Footer"/>
      <w:pBdr>
        <w:top w:val="single" w:sz="4" w:space="1" w:color="D9D9D9" w:themeColor="background1" w:themeShade="D9"/>
      </w:pBdr>
      <w:jc w:val="right"/>
      <w:rPr>
        <w:b/>
        <w:bCs/>
      </w:rPr>
    </w:pPr>
    <w:sdt>
      <w:sdtPr>
        <w:id w:val="1439572709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810EAB" w:rsidRPr="00810EAB">
          <w:rPr>
            <w:sz w:val="18"/>
          </w:rPr>
          <w:fldChar w:fldCharType="begin"/>
        </w:r>
        <w:r w:rsidR="00810EAB" w:rsidRPr="00810EAB">
          <w:rPr>
            <w:sz w:val="18"/>
          </w:rPr>
          <w:instrText xml:space="preserve"> PAGE   \* MERGEFORMAT </w:instrText>
        </w:r>
        <w:r w:rsidR="00810EAB" w:rsidRPr="00810EAB">
          <w:rPr>
            <w:sz w:val="18"/>
          </w:rPr>
          <w:fldChar w:fldCharType="separate"/>
        </w:r>
        <w:r w:rsidR="007F19E1" w:rsidRPr="007F19E1">
          <w:rPr>
            <w:b/>
            <w:bCs/>
            <w:noProof/>
            <w:sz w:val="18"/>
          </w:rPr>
          <w:t>2</w:t>
        </w:r>
        <w:r w:rsidR="00810EAB" w:rsidRPr="00810EAB">
          <w:rPr>
            <w:b/>
            <w:bCs/>
            <w:noProof/>
            <w:sz w:val="18"/>
          </w:rPr>
          <w:fldChar w:fldCharType="end"/>
        </w:r>
        <w:r w:rsidR="00810EAB" w:rsidRPr="00810EAB">
          <w:rPr>
            <w:b/>
            <w:bCs/>
            <w:sz w:val="18"/>
          </w:rPr>
          <w:t xml:space="preserve"> | </w:t>
        </w:r>
        <w:r w:rsidR="00810EAB" w:rsidRPr="00810EAB">
          <w:rPr>
            <w:color w:val="7F7F7F" w:themeColor="background1" w:themeShade="7F"/>
            <w:spacing w:val="60"/>
            <w:sz w:val="18"/>
          </w:rPr>
          <w:t>Page</w:t>
        </w:r>
      </w:sdtContent>
    </w:sdt>
  </w:p>
  <w:p w:rsidR="00810EAB" w:rsidRPr="007546DD" w:rsidRDefault="00810EAB" w:rsidP="007546DD">
    <w:pPr>
      <w:pStyle w:val="Footer"/>
      <w:jc w:val="center"/>
      <w:rPr>
        <w:i/>
        <w:sz w:val="20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18B9" w:rsidRDefault="000718B9" w:rsidP="007546DD">
      <w:pPr>
        <w:spacing w:after="0" w:line="240" w:lineRule="auto"/>
      </w:pPr>
      <w:r>
        <w:separator/>
      </w:r>
    </w:p>
  </w:footnote>
  <w:footnote w:type="continuationSeparator" w:id="0">
    <w:p w:rsidR="000718B9" w:rsidRDefault="000718B9" w:rsidP="00754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EAB" w:rsidRPr="00810EAB" w:rsidRDefault="002E631A" w:rsidP="007546DD">
    <w:pPr>
      <w:pStyle w:val="Header"/>
      <w:jc w:val="center"/>
      <w:rPr>
        <w:b/>
        <w:lang w:val="en-US"/>
      </w:rPr>
    </w:pPr>
    <w:r>
      <w:rPr>
        <w:b/>
        <w:lang w:val="en-US"/>
      </w:rPr>
      <w:t>2026 FALL</w:t>
    </w:r>
    <w:r w:rsidR="00810EAB" w:rsidRPr="00810EAB">
      <w:rPr>
        <w:b/>
        <w:lang w:val="en-US"/>
      </w:rPr>
      <w:t xml:space="preserve"> SEMESTER</w:t>
    </w:r>
  </w:p>
  <w:p w:rsidR="007546DD" w:rsidRPr="00810EAB" w:rsidRDefault="007546DD" w:rsidP="007546DD">
    <w:pPr>
      <w:pStyle w:val="Header"/>
      <w:jc w:val="center"/>
      <w:rPr>
        <w:b/>
        <w:lang w:val="en-US"/>
      </w:rPr>
    </w:pPr>
    <w:r w:rsidRPr="00810EAB">
      <w:rPr>
        <w:b/>
        <w:lang w:val="en-US"/>
      </w:rPr>
      <w:t>Programming for Data Science</w:t>
    </w:r>
    <w:r w:rsidR="002E631A">
      <w:rPr>
        <w:b/>
        <w:lang w:val="en-US"/>
      </w:rPr>
      <w:t xml:space="preserve"> </w:t>
    </w:r>
    <w:r w:rsidR="002E631A" w:rsidRPr="00810EAB">
      <w:rPr>
        <w:b/>
        <w:lang w:val="en-US"/>
      </w:rPr>
      <w:t>(</w:t>
    </w:r>
    <w:r w:rsidR="002E631A" w:rsidRPr="00F1678C">
      <w:rPr>
        <w:rFonts w:ascii="Times New Roman" w:hAnsi="Times New Roman" w:cs="Times New Roman"/>
        <w:b/>
        <w:sz w:val="24"/>
        <w:szCs w:val="24"/>
        <w:lang w:val="en-US"/>
      </w:rPr>
      <w:t>MACSE502</w:t>
    </w:r>
    <w:r w:rsidR="002E631A" w:rsidRPr="00810EAB">
      <w:rPr>
        <w:b/>
        <w:lang w:val="en-US"/>
      </w:rPr>
      <w:t>)</w:t>
    </w:r>
    <w:r w:rsidRPr="00810EAB">
      <w:rPr>
        <w:b/>
        <w:lang w:val="en-US"/>
      </w:rPr>
      <w:t xml:space="preserve"> </w:t>
    </w:r>
    <w:r w:rsidR="002E631A" w:rsidRPr="00810EAB">
      <w:rPr>
        <w:b/>
        <w:lang w:val="en-US"/>
      </w:rPr>
      <w:t>Lab Record</w:t>
    </w:r>
  </w:p>
  <w:p w:rsidR="00810EAB" w:rsidRPr="00810EAB" w:rsidRDefault="00B1651E" w:rsidP="00810EAB">
    <w:pPr>
      <w:pStyle w:val="Header"/>
      <w:jc w:val="center"/>
      <w:rPr>
        <w:b/>
        <w:lang w:val="en-US"/>
      </w:rPr>
    </w:pPr>
    <w:r>
      <w:rPr>
        <w:b/>
        <w:lang w:val="en-US"/>
      </w:rPr>
      <w:t>Practice Program/ Exercise Program</w:t>
    </w:r>
    <w:r w:rsidR="00810EAB" w:rsidRPr="00810EAB">
      <w:rPr>
        <w:b/>
        <w:lang w:val="en-US"/>
      </w:rPr>
      <w:t xml:space="preserve"> </w:t>
    </w:r>
  </w:p>
  <w:p w:rsidR="007546DD" w:rsidRPr="00810EAB" w:rsidRDefault="00810EAB" w:rsidP="007546DD">
    <w:pPr>
      <w:pStyle w:val="Header"/>
      <w:jc w:val="center"/>
      <w:rPr>
        <w:b/>
      </w:rPr>
    </w:pPr>
    <w:r>
      <w:rPr>
        <w:b/>
      </w:rPr>
      <w:t>Date: 27-08-2026</w:t>
    </w:r>
    <w:r>
      <w:rPr>
        <w:b/>
      </w:rPr>
      <w:tab/>
    </w:r>
    <w:r>
      <w:rPr>
        <w:b/>
      </w:rPr>
      <w:t>Week No.: 07</w:t>
    </w:r>
    <w:r>
      <w:rPr>
        <w:b/>
      </w:rPr>
      <w:tab/>
    </w:r>
    <w:r>
      <w:rPr>
        <w:b/>
      </w:rPr>
      <w:t>Program S. No.: 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B3211"/>
    <w:multiLevelType w:val="hybridMultilevel"/>
    <w:tmpl w:val="DAAEE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0423F3"/>
    <w:multiLevelType w:val="multilevel"/>
    <w:tmpl w:val="B89A7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AE2D91"/>
    <w:multiLevelType w:val="multilevel"/>
    <w:tmpl w:val="BE0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895941"/>
    <w:multiLevelType w:val="hybridMultilevel"/>
    <w:tmpl w:val="9DEAB5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58E2E77"/>
    <w:multiLevelType w:val="hybridMultilevel"/>
    <w:tmpl w:val="362A5C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EDF203A"/>
    <w:multiLevelType w:val="hybridMultilevel"/>
    <w:tmpl w:val="F110863E"/>
    <w:lvl w:ilvl="0" w:tplc="9A1EF0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66E72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274D8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890DE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7D89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C7A4B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FCB2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31C51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4E2C3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42CC3F96"/>
    <w:multiLevelType w:val="multilevel"/>
    <w:tmpl w:val="5BC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A6580A"/>
    <w:multiLevelType w:val="hybridMultilevel"/>
    <w:tmpl w:val="8396BA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33F0CA2"/>
    <w:multiLevelType w:val="hybridMultilevel"/>
    <w:tmpl w:val="4042A390"/>
    <w:lvl w:ilvl="0" w:tplc="A28C6B3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25E05596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D8EC84A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D54EB22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FB01FD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D4005E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A00EAF7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ADC85C6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2BACAC6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9">
    <w:nsid w:val="7CDB341F"/>
    <w:multiLevelType w:val="multilevel"/>
    <w:tmpl w:val="A47E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9"/>
  </w:num>
  <w:num w:numId="4">
    <w:abstractNumId w:val="8"/>
  </w:num>
  <w:num w:numId="5">
    <w:abstractNumId w:val="7"/>
  </w:num>
  <w:num w:numId="6">
    <w:abstractNumId w:val="1"/>
  </w:num>
  <w:num w:numId="7">
    <w:abstractNumId w:val="3"/>
  </w:num>
  <w:num w:numId="8">
    <w:abstractNumId w:val="0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65B"/>
    <w:rsid w:val="00010511"/>
    <w:rsid w:val="00030332"/>
    <w:rsid w:val="000718B9"/>
    <w:rsid w:val="00156731"/>
    <w:rsid w:val="00180774"/>
    <w:rsid w:val="001B759B"/>
    <w:rsid w:val="001D08CD"/>
    <w:rsid w:val="001D5CAF"/>
    <w:rsid w:val="00246324"/>
    <w:rsid w:val="002C3E4B"/>
    <w:rsid w:val="002E631A"/>
    <w:rsid w:val="0036550C"/>
    <w:rsid w:val="00420127"/>
    <w:rsid w:val="004D1AFC"/>
    <w:rsid w:val="004E1E2C"/>
    <w:rsid w:val="00567FA3"/>
    <w:rsid w:val="00591BDC"/>
    <w:rsid w:val="006B6489"/>
    <w:rsid w:val="006C265B"/>
    <w:rsid w:val="007546DD"/>
    <w:rsid w:val="00763F1E"/>
    <w:rsid w:val="00765ABB"/>
    <w:rsid w:val="007F19E1"/>
    <w:rsid w:val="00810EAB"/>
    <w:rsid w:val="00847787"/>
    <w:rsid w:val="008F035F"/>
    <w:rsid w:val="00935DBB"/>
    <w:rsid w:val="009F2BBE"/>
    <w:rsid w:val="00A347F6"/>
    <w:rsid w:val="00AC0753"/>
    <w:rsid w:val="00B1651E"/>
    <w:rsid w:val="00B76AE9"/>
    <w:rsid w:val="00BC15A4"/>
    <w:rsid w:val="00BC70CD"/>
    <w:rsid w:val="00C072E0"/>
    <w:rsid w:val="00C41F92"/>
    <w:rsid w:val="00C50FAD"/>
    <w:rsid w:val="00C654D8"/>
    <w:rsid w:val="00C822C2"/>
    <w:rsid w:val="00CA3277"/>
    <w:rsid w:val="00CE3214"/>
    <w:rsid w:val="00CE3E72"/>
    <w:rsid w:val="00CF591C"/>
    <w:rsid w:val="00D43C4C"/>
    <w:rsid w:val="00D557C0"/>
    <w:rsid w:val="00D929B8"/>
    <w:rsid w:val="00DA7CA9"/>
    <w:rsid w:val="00E86053"/>
    <w:rsid w:val="00EE0057"/>
    <w:rsid w:val="00EE7802"/>
    <w:rsid w:val="00EF2594"/>
    <w:rsid w:val="00F31BD1"/>
    <w:rsid w:val="00F371E8"/>
    <w:rsid w:val="00F45818"/>
    <w:rsid w:val="00F656E7"/>
    <w:rsid w:val="00F729C7"/>
    <w:rsid w:val="00F739F2"/>
    <w:rsid w:val="00F773F3"/>
    <w:rsid w:val="00FA28B1"/>
    <w:rsid w:val="00FC531A"/>
    <w:rsid w:val="00FE02A0"/>
    <w:rsid w:val="00FF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C149B18-B048-49C0-8C6D-1575E2E72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39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39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F73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4581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6DD"/>
  </w:style>
  <w:style w:type="paragraph" w:styleId="Footer">
    <w:name w:val="footer"/>
    <w:basedOn w:val="Normal"/>
    <w:link w:val="Foot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6DD"/>
  </w:style>
  <w:style w:type="paragraph" w:styleId="Caption">
    <w:name w:val="caption"/>
    <w:basedOn w:val="Normal"/>
    <w:next w:val="Normal"/>
    <w:uiPriority w:val="35"/>
    <w:unhideWhenUsed/>
    <w:qFormat/>
    <w:rsid w:val="00CE321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765AB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E1E2C"/>
    <w:rPr>
      <w:b/>
      <w:bCs/>
    </w:rPr>
  </w:style>
  <w:style w:type="character" w:styleId="Hyperlink">
    <w:name w:val="Hyperlink"/>
    <w:basedOn w:val="DefaultParagraphFont"/>
    <w:uiPriority w:val="99"/>
    <w:unhideWhenUsed/>
    <w:rsid w:val="00C50F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2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2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815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5194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4923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5002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5876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1535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9019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0363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6260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E:\1_Academic\1-Courses\2_ComputerSoftware\Programming_for_Data-Science\Lab\2024_Lab\PDS_Lab_EP_Template_1023_B_Packag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4F98B-00A0-4146-B946-D42524812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PDS_Lab_EP_Template_1023_B_Packages</Template>
  <TotalTime>1</TotalTime>
  <Pages>2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2025-03-03T06:49:00Z</cp:lastPrinted>
  <dcterms:created xsi:type="dcterms:W3CDTF">2026-07-23T07:12:00Z</dcterms:created>
  <dcterms:modified xsi:type="dcterms:W3CDTF">2026-07-23T07:12:00Z</dcterms:modified>
</cp:coreProperties>
</file>