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drawing>
          <wp:inline xmlns:a="http://schemas.openxmlformats.org/drawingml/2006/main" xmlns:pic="http://schemas.openxmlformats.org/drawingml/2006/picture">
            <wp:extent cx="2926080" cy="789155"/>
            <wp:docPr id="1" name="Picture 1"/>
            <wp:cNvGraphicFramePr>
              <a:graphicFrameLocks noChangeAspect="1"/>
            </wp:cNvGraphicFramePr>
            <a:graphic>
              <a:graphicData uri="http://schemas.openxmlformats.org/drawingml/2006/picture">
                <pic:pic>
                  <pic:nvPicPr>
                    <pic:cNvPr id="0" name="extracted_logo.png"/>
                    <pic:cNvPicPr/>
                  </pic:nvPicPr>
                  <pic:blipFill>
                    <a:blip r:embed="rId10"/>
                    <a:stretch>
                      <a:fillRect/>
                    </a:stretch>
                  </pic:blipFill>
                  <pic:spPr>
                    <a:xfrm>
                      <a:off x="0" y="0"/>
                      <a:ext cx="2926080" cy="789155"/>
                    </a:xfrm>
                    <a:prstGeom prst="rect"/>
                  </pic:spPr>
                </pic:pic>
              </a:graphicData>
            </a:graphic>
          </wp:inline>
        </w:drawing>
      </w:r>
    </w:p>
    <w:p>
      <w:pPr>
        <w:spacing w:before="280" w:after="160"/>
        <w:jc w:val="center"/>
      </w:pPr>
      <w:r>
        <w:rPr>
          <w:rFonts w:ascii="Times New Roman" w:hAnsi="Times New Roman"/>
          <w:b/>
          <w:color w:val="1F4E79"/>
          <w:sz w:val="40"/>
        </w:rPr>
        <w:t>TRAFFIC ACCIDENT ANALYSIS &amp; SEVERITY RISK MODELING</w:t>
      </w:r>
    </w:p>
    <w:p>
      <w:pPr>
        <w:spacing w:before="0" w:after="480"/>
        <w:jc w:val="center"/>
      </w:pPr>
      <w:r>
        <w:rPr>
          <w:rFonts w:ascii="Times New Roman" w:hAnsi="Times New Roman"/>
          <w:i/>
          <w:color w:val="2E74B5"/>
          <w:sz w:val="25"/>
        </w:rPr>
        <w:t>An Exposure-Adjusted Visual Analytics Framework for Proactive Highway Safety &amp; Hazard Identification</w:t>
      </w:r>
    </w:p>
    <w:p>
      <w:pPr>
        <w:spacing w:before="80" w:after="40"/>
        <w:jc w:val="center"/>
      </w:pPr>
      <w:r>
        <w:rPr>
          <w:rFonts w:ascii="Times New Roman" w:hAnsi="Times New Roman"/>
          <w:b/>
          <w:color w:val="282828"/>
          <w:sz w:val="24"/>
        </w:rPr>
        <w:t>School of Computer Science and Engineering</w:t>
      </w:r>
    </w:p>
    <w:p>
      <w:pPr>
        <w:spacing w:before="0" w:after="40"/>
        <w:jc w:val="center"/>
      </w:pPr>
      <w:r>
        <w:rPr>
          <w:rFonts w:ascii="Times New Roman" w:hAnsi="Times New Roman"/>
          <w:b/>
          <w:color w:val="282828"/>
          <w:sz w:val="24"/>
        </w:rPr>
        <w:t>M. Tech Artificial Intelligence and Machine Learning</w:t>
      </w:r>
    </w:p>
    <w:p>
      <w:pPr>
        <w:spacing w:before="0" w:after="280"/>
        <w:jc w:val="center"/>
      </w:pPr>
      <w:r>
        <w:rPr>
          <w:rFonts w:ascii="Times New Roman" w:hAnsi="Times New Roman"/>
          <w:b/>
          <w:color w:val="282828"/>
          <w:sz w:val="23"/>
        </w:rPr>
        <w:t>Fall Semester 2026</w:t>
      </w:r>
    </w:p>
    <w:p>
      <w:pPr>
        <w:spacing w:before="0" w:after="40"/>
        <w:jc w:val="center"/>
      </w:pPr>
      <w:r>
        <w:rPr>
          <w:rFonts w:ascii="Times New Roman" w:hAnsi="Times New Roman"/>
          <w:b/>
          <w:color w:val="282828"/>
          <w:sz w:val="22"/>
        </w:rPr>
        <w:t>Course Title: Technical Report Writing / Visual Analytics Lab</w:t>
      </w:r>
    </w:p>
    <w:p>
      <w:pPr>
        <w:spacing w:before="0" w:after="40"/>
        <w:jc w:val="center"/>
      </w:pPr>
      <w:r>
        <w:rPr>
          <w:rFonts w:ascii="Times New Roman" w:hAnsi="Times New Roman"/>
          <w:b/>
          <w:color w:val="282828"/>
          <w:sz w:val="22"/>
        </w:rPr>
        <w:t>Course Code: MAENG501 / CSE5001</w:t>
      </w:r>
    </w:p>
    <w:p>
      <w:pPr>
        <w:spacing w:before="0" w:after="480"/>
        <w:jc w:val="center"/>
      </w:pPr>
      <w:r>
        <w:rPr>
          <w:rFonts w:ascii="Times New Roman" w:hAnsi="Times New Roman"/>
          <w:b/>
          <w:color w:val="282828"/>
          <w:sz w:val="22"/>
        </w:rPr>
        <w:t>Slot: TF2 | Review 1 Prototype</w:t>
      </w:r>
    </w:p>
    <w:p>
      <w:pPr>
        <w:spacing w:before="0" w:after="40"/>
        <w:jc w:val="center"/>
      </w:pPr>
      <w:r>
        <w:rPr>
          <w:rFonts w:ascii="Times New Roman" w:hAnsi="Times New Roman"/>
          <w:b/>
          <w:color w:val="2E74B5"/>
          <w:sz w:val="22"/>
        </w:rPr>
        <w:t>SUBMITTED TO:</w:t>
      </w:r>
    </w:p>
    <w:p>
      <w:pPr>
        <w:spacing w:before="0" w:after="40"/>
        <w:jc w:val="center"/>
      </w:pPr>
      <w:r>
        <w:rPr>
          <w:rFonts w:ascii="Times New Roman" w:hAnsi="Times New Roman"/>
          <w:b/>
          <w:color w:val="282828"/>
          <w:sz w:val="23"/>
        </w:rPr>
        <w:t>DR. MANIKANDAN K</w:t>
      </w:r>
    </w:p>
    <w:p>
      <w:pPr>
        <w:spacing w:before="0" w:after="440"/>
        <w:jc w:val="center"/>
      </w:pPr>
      <w:r>
        <w:rPr>
          <w:rFonts w:ascii="Times New Roman" w:hAnsi="Times New Roman"/>
          <w:color w:val="282828"/>
          <w:sz w:val="21"/>
        </w:rPr>
        <w:t>SCHOOL OF COMPUTER SCIENCE AND ENGINEERING (SCOPE)</w:t>
      </w:r>
    </w:p>
    <w:p>
      <w:pPr>
        <w:spacing w:before="0" w:after="80"/>
        <w:jc w:val="center"/>
      </w:pPr>
      <w:r>
        <w:rPr>
          <w:rFonts w:ascii="Times New Roman" w:hAnsi="Times New Roman"/>
          <w:b/>
          <w:color w:val="2E74B5"/>
          <w:sz w:val="22"/>
        </w:rPr>
        <w:t>SUBMITTED BY:</w:t>
      </w:r>
    </w:p>
    <w:p>
      <w:pPr>
        <w:spacing w:before="0" w:after="40"/>
        <w:jc w:val="center"/>
      </w:pPr>
      <w:r>
        <w:rPr>
          <w:rFonts w:ascii="Times New Roman" w:hAnsi="Times New Roman"/>
          <w:color w:val="282828"/>
          <w:sz w:val="22"/>
        </w:rPr>
        <w:t>SARANYA DALAL — 26MML0007</w:t>
      </w:r>
    </w:p>
    <w:p>
      <w:pPr>
        <w:spacing w:before="0" w:after="40"/>
        <w:jc w:val="center"/>
      </w:pPr>
      <w:r>
        <w:rPr>
          <w:rFonts w:ascii="Times New Roman" w:hAnsi="Times New Roman"/>
          <w:color w:val="282828"/>
          <w:sz w:val="22"/>
        </w:rPr>
        <w:t>DIVYA VIJAYKUMAR PUJARI — 26MML0009</w:t>
      </w:r>
    </w:p>
    <w:p>
      <w:pPr>
        <w:spacing w:before="0" w:after="40"/>
        <w:jc w:val="center"/>
      </w:pPr>
      <w:r>
        <w:rPr>
          <w:rFonts w:ascii="Times New Roman" w:hAnsi="Times New Roman"/>
          <w:color w:val="282828"/>
          <w:sz w:val="22"/>
        </w:rPr>
        <w:t>ROHAN YADAV — 26MML0020</w:t>
      </w:r>
    </w:p>
    <w:p>
      <w:r>
        <w:br w:type="page"/>
      </w:r>
    </w:p>
    <w:p>
      <w:pPr>
        <w:keepNext/>
        <w:spacing w:before="320" w:after="120"/>
        <w:jc w:val="center"/>
      </w:pPr>
      <w:r>
        <w:rPr>
          <w:rFonts w:ascii="Times New Roman" w:hAnsi="Times New Roman"/>
          <w:b/>
          <w:color w:val="1F4E79"/>
          <w:sz w:val="28"/>
        </w:rPr>
        <w:t>ABSTRACT</w:t>
      </w:r>
    </w:p>
    <w:p>
      <w:pPr>
        <w:spacing w:after="120" w:before="0" w:line="276" w:lineRule="auto"/>
        <w:jc w:val="both"/>
      </w:pPr>
      <w:r>
        <w:rPr>
          <w:rFonts w:ascii="Times New Roman" w:hAnsi="Times New Roman"/>
          <w:b w:val="0"/>
          <w:i w:val="0"/>
          <w:color w:val="282828"/>
          <w:sz w:val="24"/>
        </w:rPr>
        <w:t>Road traffic collisions constitute one of the leading global causes of preventable mortality, claiming approximately 1.19 million lives annually and inflicting profound socio-economic devastation. For decades, conventional municipal and transportation safety analyses have relied predominantly on raw crash frequency metrics—commonly referred to as 'blackspot counting'—to detect hazardous roadway segments and prioritize engineering capital investments. However, this study empirically demonstrates that frequency-based collision modeling introduces systemic structural distortions that severely compromise public safety. Because high-volume transit corridors such as grade-separated motorways and urban interchanges carry tens of millions of vehicles annually, they inevitably accumulate large absolute crash counts consisting almost entirely of minor, low-speed property damage shunts and slight injuries, creating the deceptive appearance of extreme danger. Conversely, low-volume rural single-carriageway corridors and unlit peripheral curves carry modest traffic volumes and register very few total collisions, yet consistently generate catastrophic, high-velocity fatal and serious casualties.</w:t>
      </w:r>
    </w:p>
    <w:p>
      <w:pPr>
        <w:spacing w:after="120" w:before="0" w:line="276" w:lineRule="auto"/>
        <w:jc w:val="both"/>
      </w:pPr>
      <w:r>
        <w:rPr>
          <w:rFonts w:ascii="Times New Roman" w:hAnsi="Times New Roman"/>
          <w:b w:val="0"/>
          <w:i w:val="0"/>
          <w:color w:val="282828"/>
          <w:sz w:val="24"/>
        </w:rPr>
        <w:t>To resolve this fundamental paradox, this technical report presents an end-to-end, reproducible visual analytics and statistical modeling framework that formulates an exposure-adjusted severity risk index. By shifting the unit of analysis from individual crash events to cohesive road network segments, the framework synthesizes multi-grain data feeds comprising 22,000 UK STATS19 collision records, OpenStreetMap (OSM) roadway geometric configurations, Annual Average Daily Traffic (AADT) sensor counts, and Open-Meteo atmospheric observations. Incident severity is calibrated using published UK Department for Transport (DfT) economic injury-cost ratios (Fatal = 50, Serious = 10, Slight = 1), normalized against annual roadway exposure measured in Million Vehicle-Kilometers (MVKM), and stabilized via a near-zero denominator suppression threshold.</w:t>
      </w:r>
    </w:p>
    <w:p>
      <w:pPr>
        <w:spacing w:after="120" w:before="0" w:line="276" w:lineRule="auto"/>
        <w:jc w:val="both"/>
      </w:pPr>
      <w:r>
        <w:rPr>
          <w:rFonts w:ascii="Times New Roman" w:hAnsi="Times New Roman"/>
          <w:b w:val="0"/>
          <w:i w:val="0"/>
          <w:color w:val="282828"/>
          <w:sz w:val="24"/>
        </w:rPr>
        <w:t>Empirical validation across the synthesized network provides undeniable mathematical proof of the severity-frequency inversion thesis. While the high-volume M25 Orbital Interchange (SEG-0417) registers 47 crashes, its 27.1 MVKM exposure yields a safe risk index of 6.86 per MVKM (ranking #152 out of 160). In stark contrast, the low-volume B4009 Chiltern Ridge Curve (SEG-1902) records only 6 crashes, but due to severe trauma and low exposure (2.5 MVKM), produces a catastrophic risk index of 84.40 per MVKM (ranking #2 as a lethal trap). Thus, a corridor with one-eighth the crashes exhibits over twelve times the true risk! A spatiotemporal 168-cell matrix reveals a dramatic circadian night-time surge, where fatality rates peak at 6.82% during pre-dawn hours (02:00–05:00) despite minimal traffic. Multi-hazard environmental interaction doubles severe outcome rates under unlit, wet conditions, while vulnerable road users (VRUs) face near-exponential mortality growth exceeding 48.9% at 70 mph. Furthermore, cross-geographic transferability benchmarking on Bengaluru arterial corridors demonstrates that mixed-traffic conditions with 55%+ two-wheeler modal share drive severe risk to 56.82 per MVKM. A trained Random Forest classifier (87.1% accuracy, 0.884 ROC-AUC) isolates VRU presence, traffic volume, and posted speed limits as paramount severity determinants, powering an interactive policy simulator that forecasts up to 65.4% severe harm reduction through targeted engineering retrofits.</w:t>
      </w: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CORE RESEARCH THESIS: </w:t>
            </w:r>
            <w:r>
              <w:rPr>
                <w:rFonts w:ascii="Times New Roman" w:hAnsi="Times New Roman"/>
                <w:i/>
                <w:color w:val="282828"/>
                <w:sz w:val="19"/>
              </w:rPr>
              <w:t>Central Empirical Axiom: 'One-eighth the crashes. Twelve times the risk. Low frequency masks high severity.' Traditional frequency-based blackspot prioritization systematically misallocates safety resources away from lethal rural corridors to congested urban motorways.</w:t>
            </w:r>
          </w:p>
        </w:tc>
      </w:tr>
    </w:tbl>
    <w:p>
      <w:pPr>
        <w:spacing w:before="0" w:after="80"/>
      </w:pPr>
    </w:p>
    <w:p>
      <w:pPr>
        <w:spacing w:after="120" w:before="0" w:line="276" w:lineRule="auto"/>
        <w:jc w:val="both"/>
      </w:pPr>
      <w:r>
        <w:rPr>
          <w:rFonts w:ascii="Times New Roman" w:hAnsi="Times New Roman"/>
          <w:b/>
          <w:i w:val="0"/>
          <w:color w:val="282828"/>
          <w:sz w:val="21"/>
        </w:rPr>
        <w:t xml:space="preserve">Keywords: </w:t>
      </w:r>
      <w:r>
        <w:rPr>
          <w:rFonts w:ascii="Times New Roman" w:hAnsi="Times New Roman"/>
          <w:i/>
          <w:color w:val="4A5568"/>
          <w:sz w:val="21"/>
        </w:rPr>
        <w:t>Traffic Safety Analytics, Exposure Normalization, Million Vehicle-Kilometers (MVKM), DfT Severity Weighting, Frequency-Severity Paradox, DuckDB OLAP Cubes, Circadian Risk Dynamics, Vulnerable Road Users (VRU), Random Forest Severity Attribution, Mixed-Traffic Transferability.</w:t>
      </w:r>
    </w:p>
    <w:p>
      <w:r>
        <w:br w:type="page"/>
      </w:r>
    </w:p>
    <w:p>
      <w:pPr>
        <w:keepNext/>
        <w:spacing w:before="320" w:after="120"/>
        <w:jc w:val="center"/>
      </w:pPr>
      <w:r>
        <w:rPr>
          <w:rFonts w:ascii="Times New Roman" w:hAnsi="Times New Roman"/>
          <w:b/>
          <w:color w:val="1F4E79"/>
          <w:sz w:val="28"/>
        </w:rPr>
        <w:t>TABLE OF CONTENTS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4500"/>
        <w:gridCol w:w="4500"/>
      </w:tblGrid>
      <w:tr>
        <w:tc>
          <w:tcPr>
            <w:tcW w:type="dxa" w:w="7200"/>
            <w:shd w:fill="2B6CB0"/>
            <w:tcMar>
              <w:top w:w="120" w:type="dxa"/>
              <w:bottom w:w="120" w:type="dxa"/>
              <w:left w:w="140" w:type="dxa"/>
              <w:right w:w="140" w:type="dxa"/>
            </w:tcMar>
          </w:tcPr>
          <w:p>
            <w:pPr>
              <w:spacing w:before="0" w:after="0"/>
              <w:jc w:val="center"/>
            </w:pPr>
            <w:r>
              <w:rPr>
                <w:rFonts w:ascii="Times New Roman" w:hAnsi="Times New Roman"/>
                <w:b/>
                <w:color w:val="FFFFFF"/>
                <w:sz w:val="19"/>
              </w:rPr>
              <w:t>Title / Section Heading</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Page No.</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Abstract</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i</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List of Figures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ii</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List of Tables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iv</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1. INTRODUCTION</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1.1 Global and National Highway Safety Realities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1.2 The Systemic Fallacy of Raw Crash Frequency ('Blackspot Counting')</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1.3 The Severity-Frequency Inversion Thesis: Central Claim</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1.4 Objectives, Scope, and Structural Organization</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2. LITERATURE REVIEW</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5</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2.1 Classical Crash Frequency &amp; Hotspot Identification Models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5</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2.2 Exposure-Based Normalization &amp; Economic Injury Cost Weighting</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6</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2.3 Environmental, Circadian, and Roadway Hostility Factors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7</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2.4 Vulnerable Road User (VRU) Dynamics &amp; Mixed-Traffic Heterogeneity</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8</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2.5 Visual Analytics and Columnar OLAP Architectures in Safety Engineering</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9</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2.6 Critical Literature Gaps and Conceptual Departure</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10</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3. RESEARCH QUESTIONS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11</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4. METHODOLOGY &amp; SYSTEM ARCHITECTURE</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12</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4.1 Reproducible End-to-End Pipeline Architecture</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12</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4.2 Multi-Grain Data Ingestion and Road Network Synthesis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13</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4.3 Mathematical Formulation of Road Exposure and Severity Risk</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14</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4.4 Statistical Suppression Floor Criteria &amp; Denominator Boundary Rules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15</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4.5 Four-Quadrant Strategic Roadway Classification Matrix</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16</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4.6 High-Performance Columnar OLAP Engine (DuckDB &amp; Parquet Cubes)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17</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5. RESULTS AND DISCUSSION</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18</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5.1 Dataset Demographics and Network Exposure Baseline</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18</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5.1.1 Network Crash Severity Breakdown (Figure 1, Table 1)</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18</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5.1.2 Roadway Hierarchy &amp; Geometric Characteristics (Figure 2, Table 2)</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19</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5.1.3 Traffic Volume Exposure Distributions Across Road Classes (Figure 3, Table 3)</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20</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5.2 The Core Severity-Frequency Inversion: Benchmark Case Study &amp; 4-Quadrant Analysis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21</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5.2.1 Four-Quadrant Strategic Roadway Classification Matrix (Figure 4, Table 4)</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21</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5.2.2 Empirical Benchmark Case Study Validation: SEG-0417 vs. SEG-1902 (Figure 5, Table 5)</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22</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5.2.3 Systemic Rank Inversion &amp; Priority Misallocation (Figure 6, Table 6)</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23</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5.3 Temporal &amp; Circadian Risk Dynamics: The Midnight Lethality Peak</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24</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5.3.1 24-Hour Circadian Dual-Axis Risk Curve (Figure 7, Table 7)</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24</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5.3.2 168-Cell Spatiotemporal Day-of-Week × Hour Heatmap (Figure 8, Table 8)</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25</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5.3.3 Weekday Baseline vs. Weekend Recreational Nocturnal Contrast (Figure 9, Table 9)</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26</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5.4 Spatial Risk Topography &amp; Network Geometry</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27</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5.4.1 Spatial Risk Topography &amp; Geometric Decoupling (Figure 10, Table 10)</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27</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5.4.2 Speed Limit Regimes and Kinetic Energy Scaling (Figure 11, Table 11)</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28</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5.5 Environmental Hostility Amplifiers: Precipitation, Wet Friction, and Darkness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29</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5.5.1 Atmospheric Weather Conditions &amp; Friction Degradation (Figure 12, Table 12)</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29</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5.5.2 Roadway Illumination Quality &amp; Ambient Darkness Multiplication (Figure 13, Table 13)</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30</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5.5.3 Compound Multi-Hazard Environmental Hostility Index (Figure 14, Table 14)</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31</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5.6 Vehicle Vulnerability &amp; Modal Hierarchy: VRU Mortality Across Speed Regimes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32</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5.6.1 Modal Vulnerability Hierarchy Across Vehicle Categories (Figure 15, Table 15)</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32</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5.6.2 Vulnerable Road User Mortality Escalation by Speed Regime (Figure 16, Table 16)</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33</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5.7 Machine Learning Severity Attribution &amp; Targeted Policy Simulation</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34</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5.7.1 Random Forest Feature Importance Spectrum (Figure 17, Table 17)</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34</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5.7.2 Classification Model Performance &amp; Confusion Matrix Validation (Figure 18, Table 18)</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35</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5.7.3 Targeted Engineering Countermeasure Policy Simulation (Figure 19, Table 19)</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36</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5.8 Emerging Market Transferability: Indian Urban Mixed-Traffic Case Study</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37</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5.8.1 Bengaluru Arterial Corridor Risk Evaluation (Figure 20, Table 20)</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37</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5.8.2 Two-Wheeler Modal Share Divergence &amp; Vulnerability Density (Figure 21, Table 21)</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38</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5.8.3 Synthesis Framework: From Reactive Blackspots to Proactive Exposure Analytics (Figure 22, Table 22)</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39</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6. CONCLUSIONS &amp; POLICY RECOMMENDATIONS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40</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6.1 Empirical Summary &amp; Resolution of Research Questions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40</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6.2 Structural Policy Interventions for Highway &amp; Municipal Authorities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41</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6.3 Algorithmic Integration with Intelligent Transportation Systems (ITS) &amp; Vision Zero</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42</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6.4 Limitations and Future Research Directions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43</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REFERENCES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44</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APPENDIX</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46</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Appendix A: Mathematical Derivations and Numerical Boundary Conditions</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46</w:t>
            </w:r>
          </w:p>
        </w:tc>
      </w:tr>
      <w:tr>
        <w:tc>
          <w:tcPr>
            <w:tcW w:type="dxa" w:w="7200"/>
            <w:shd w:fill="FFFFFF"/>
            <w:tcMar>
              <w:top w:w="80" w:type="dxa"/>
              <w:bottom w:w="80" w:type="dxa"/>
              <w:left w:w="120" w:type="dxa"/>
              <w:right w:w="120" w:type="dxa"/>
            </w:tcMar>
          </w:tcPr>
          <w:p>
            <w:pPr>
              <w:spacing w:before="0" w:after="0"/>
              <w:jc w:val="left"/>
            </w:pPr>
            <w:r>
              <w:rPr>
                <w:rFonts w:ascii="Times New Roman" w:hAnsi="Times New Roman"/>
                <w:color w:val="282828"/>
                <w:sz w:val="18"/>
              </w:rPr>
              <w:t xml:space="preserve">    Appendix B: Data Dictionary and DuckDB Pipeline Schemas</w:t>
            </w:r>
          </w:p>
        </w:tc>
        <w:tc>
          <w:tcPr>
            <w:tcW w:type="dxa" w:w="1728"/>
            <w:shd w:fill="FFFFFF"/>
            <w:tcMar>
              <w:top w:w="80" w:type="dxa"/>
              <w:bottom w:w="80" w:type="dxa"/>
              <w:left w:w="120" w:type="dxa"/>
              <w:right w:w="120" w:type="dxa"/>
            </w:tcMar>
          </w:tcPr>
          <w:p>
            <w:pPr>
              <w:spacing w:before="0" w:after="0"/>
              <w:jc w:val="right"/>
            </w:pPr>
            <w:r>
              <w:rPr>
                <w:rFonts w:ascii="Times New Roman" w:hAnsi="Times New Roman"/>
                <w:color w:val="282828"/>
                <w:sz w:val="18"/>
              </w:rPr>
              <w:t>47</w:t>
            </w:r>
          </w:p>
        </w:tc>
      </w:tr>
      <w:tr>
        <w:tc>
          <w:tcPr>
            <w:tcW w:type="dxa" w:w="7200"/>
            <w:shd w:fill="F7FAFC"/>
            <w:tcMar>
              <w:top w:w="80" w:type="dxa"/>
              <w:bottom w:w="80" w:type="dxa"/>
              <w:left w:w="120" w:type="dxa"/>
              <w:right w:w="120" w:type="dxa"/>
            </w:tcMar>
          </w:tcPr>
          <w:p>
            <w:pPr>
              <w:spacing w:before="0" w:after="0"/>
              <w:jc w:val="left"/>
            </w:pPr>
            <w:r>
              <w:rPr>
                <w:rFonts w:ascii="Times New Roman" w:hAnsi="Times New Roman"/>
                <w:color w:val="282828"/>
                <w:sz w:val="18"/>
              </w:rPr>
              <w:t xml:space="preserve">    Appendix C: Visual Analytics Dashboard User Guide &amp; Streamlit Implementation</w:t>
            </w:r>
          </w:p>
        </w:tc>
        <w:tc>
          <w:tcPr>
            <w:tcW w:type="dxa" w:w="1728"/>
            <w:shd w:fill="F7FAFC"/>
            <w:tcMar>
              <w:top w:w="80" w:type="dxa"/>
              <w:bottom w:w="80" w:type="dxa"/>
              <w:left w:w="120" w:type="dxa"/>
              <w:right w:w="120" w:type="dxa"/>
            </w:tcMar>
          </w:tcPr>
          <w:p>
            <w:pPr>
              <w:spacing w:before="0" w:after="0"/>
              <w:jc w:val="right"/>
            </w:pPr>
            <w:r>
              <w:rPr>
                <w:rFonts w:ascii="Times New Roman" w:hAnsi="Times New Roman"/>
                <w:color w:val="282828"/>
                <w:sz w:val="18"/>
              </w:rPr>
              <w:t>48</w:t>
            </w:r>
          </w:p>
        </w:tc>
      </w:tr>
    </w:tbl>
    <w:p>
      <w:pPr>
        <w:spacing w:before="0" w:after="120"/>
      </w:pPr>
    </w:p>
    <w:p>
      <w:r>
        <w:br w:type="page"/>
      </w:r>
    </w:p>
    <w:p>
      <w:pPr>
        <w:keepNext/>
        <w:spacing w:before="320" w:after="120"/>
        <w:jc w:val="center"/>
      </w:pPr>
      <w:r>
        <w:rPr>
          <w:rFonts w:ascii="Times New Roman" w:hAnsi="Times New Roman"/>
          <w:b/>
          <w:color w:val="1F4E79"/>
          <w:sz w:val="28"/>
        </w:rPr>
        <w:t>List of Figures</w:t>
      </w:r>
    </w:p>
    <w:p>
      <w:pPr>
        <w:spacing w:after="60" w:before="0" w:line="276" w:lineRule="auto"/>
        <w:jc w:val="both"/>
      </w:pPr>
      <w:r>
        <w:rPr>
          <w:rFonts w:ascii="Times New Roman" w:hAnsi="Times New Roman"/>
          <w:b w:val="0"/>
          <w:i w:val="0"/>
          <w:color w:val="282828"/>
          <w:sz w:val="20"/>
        </w:rPr>
        <w:t>Figure 1: Overall Crash Severity Distribution &amp; DfT Economic Injury Weights (N = 22,000)</w:t>
      </w:r>
      <w:r>
        <w:rPr>
          <w:color w:val="718096"/>
        </w:rPr>
        <w:t xml:space="preserve"> ........................ </w:t>
      </w:r>
      <w:r>
        <w:rPr>
          <w:b/>
          <w:color w:val="1F4E79"/>
        </w:rPr>
        <w:t>18</w:t>
      </w:r>
    </w:p>
    <w:p>
      <w:pPr>
        <w:spacing w:after="60" w:before="0" w:line="276" w:lineRule="auto"/>
        <w:jc w:val="both"/>
      </w:pPr>
      <w:r>
        <w:rPr>
          <w:rFonts w:ascii="Times New Roman" w:hAnsi="Times New Roman"/>
          <w:b w:val="0"/>
          <w:i w:val="0"/>
          <w:color w:val="282828"/>
          <w:sz w:val="20"/>
        </w:rPr>
        <w:t>Figure 2: Road Network Hierarchy Distribution (OSM Road Classification Breakdown; N = 160 Segments)</w:t>
      </w:r>
      <w:r>
        <w:rPr>
          <w:color w:val="718096"/>
        </w:rPr>
        <w:t xml:space="preserve"> .................. </w:t>
      </w:r>
      <w:r>
        <w:rPr>
          <w:b/>
          <w:color w:val="1F4E79"/>
        </w:rPr>
        <w:t>19</w:t>
      </w:r>
    </w:p>
    <w:p>
      <w:pPr>
        <w:spacing w:after="60" w:before="0" w:line="276" w:lineRule="auto"/>
        <w:jc w:val="both"/>
      </w:pPr>
      <w:r>
        <w:rPr>
          <w:rFonts w:ascii="Times New Roman" w:hAnsi="Times New Roman"/>
          <w:b w:val="0"/>
          <w:i w:val="0"/>
          <w:color w:val="282828"/>
          <w:sz w:val="20"/>
        </w:rPr>
        <w:t>Figure 3: Traffic Volume Exposure Spectrum by Functional Road Class (Annual Average Daily Traffic Distribution)</w:t>
      </w:r>
      <w:r>
        <w:rPr>
          <w:color w:val="718096"/>
        </w:rPr>
        <w:t xml:space="preserve"> ........... </w:t>
      </w:r>
      <w:r>
        <w:rPr>
          <w:b/>
          <w:color w:val="1F4E79"/>
        </w:rPr>
        <w:t>20</w:t>
      </w:r>
    </w:p>
    <w:p>
      <w:pPr>
        <w:spacing w:after="60" w:before="0" w:line="276" w:lineRule="auto"/>
        <w:jc w:val="both"/>
      </w:pPr>
      <w:r>
        <w:rPr>
          <w:rFonts w:ascii="Times New Roman" w:hAnsi="Times New Roman"/>
          <w:b w:val="0"/>
          <w:i w:val="0"/>
          <w:color w:val="282828"/>
          <w:sz w:val="20"/>
        </w:rPr>
        <w:t>Figure 4: Four-Quadrant Analytical Scatter Matrix: Raw Incident Volume vs. Exposure-Adjusted Severity Risk Index</w:t>
      </w:r>
      <w:r>
        <w:rPr>
          <w:color w:val="718096"/>
        </w:rPr>
        <w:t xml:space="preserve"> .......... </w:t>
      </w:r>
      <w:r>
        <w:rPr>
          <w:b/>
          <w:color w:val="1F4E79"/>
        </w:rPr>
        <w:t>21</w:t>
      </w:r>
    </w:p>
    <w:p>
      <w:pPr>
        <w:spacing w:after="60" w:before="0" w:line="276" w:lineRule="auto"/>
        <w:jc w:val="both"/>
      </w:pPr>
      <w:r>
        <w:rPr>
          <w:rFonts w:ascii="Times New Roman" w:hAnsi="Times New Roman"/>
          <w:b w:val="0"/>
          <w:i w:val="0"/>
          <w:color w:val="282828"/>
          <w:sz w:val="20"/>
        </w:rPr>
        <w:t>Figure 5: Benchmark Case Study Validation: SEG-0417 (M25 Interchange) vs. SEG-1902 (B4009 Ridge Curve)</w:t>
      </w:r>
      <w:r>
        <w:rPr>
          <w:color w:val="718096"/>
        </w:rPr>
        <w:t xml:space="preserve"> ................ </w:t>
      </w:r>
      <w:r>
        <w:rPr>
          <w:b/>
          <w:color w:val="1F4E79"/>
        </w:rPr>
        <w:t>22</w:t>
      </w:r>
    </w:p>
    <w:p>
      <w:pPr>
        <w:spacing w:after="60" w:before="0" w:line="276" w:lineRule="auto"/>
        <w:jc w:val="both"/>
      </w:pPr>
      <w:r>
        <w:rPr>
          <w:rFonts w:ascii="Times New Roman" w:hAnsi="Times New Roman"/>
          <w:b w:val="0"/>
          <w:i w:val="0"/>
          <w:color w:val="282828"/>
          <w:sz w:val="20"/>
        </w:rPr>
        <w:t>Figure 6: Systemic Priority Inversion: Distribution of Rank Displacement (Delta Rank Shifts)</w:t>
      </w:r>
      <w:r>
        <w:rPr>
          <w:color w:val="718096"/>
        </w:rPr>
        <w:t xml:space="preserve"> ..................... </w:t>
      </w:r>
      <w:r>
        <w:rPr>
          <w:b/>
          <w:color w:val="1F4E79"/>
        </w:rPr>
        <w:t>23</w:t>
      </w:r>
    </w:p>
    <w:p>
      <w:pPr>
        <w:spacing w:after="60" w:before="0" w:line="276" w:lineRule="auto"/>
        <w:jc w:val="both"/>
      </w:pPr>
      <w:r>
        <w:rPr>
          <w:rFonts w:ascii="Times New Roman" w:hAnsi="Times New Roman"/>
          <w:b w:val="0"/>
          <w:i w:val="0"/>
          <w:color w:val="282828"/>
          <w:sz w:val="20"/>
        </w:rPr>
        <w:t>Figure 7: 24-Hour Circadian Risk Dynamics: Gross Hourly Crash Volume vs. Fatality Proportion (%)</w:t>
      </w:r>
      <w:r>
        <w:rPr>
          <w:color w:val="718096"/>
        </w:rPr>
        <w:t xml:space="preserve"> ................... </w:t>
      </w:r>
      <w:r>
        <w:rPr>
          <w:b/>
          <w:color w:val="1F4E79"/>
        </w:rPr>
        <w:t>24</w:t>
      </w:r>
    </w:p>
    <w:p>
      <w:pPr>
        <w:spacing w:after="60" w:before="0" w:line="276" w:lineRule="auto"/>
        <w:jc w:val="both"/>
      </w:pPr>
      <w:r>
        <w:rPr>
          <w:rFonts w:ascii="Times New Roman" w:hAnsi="Times New Roman"/>
          <w:b w:val="0"/>
          <w:i w:val="0"/>
          <w:color w:val="282828"/>
          <w:sz w:val="20"/>
        </w:rPr>
        <w:t>Figure 8: 168-Cell Spatiotemporal Risk Heatmap Matrix (Day-of-Week x Hour-of-Day Mean Severity Weight)</w:t>
      </w:r>
      <w:r>
        <w:rPr>
          <w:color w:val="718096"/>
        </w:rPr>
        <w:t xml:space="preserve"> ................ </w:t>
      </w:r>
      <w:r>
        <w:rPr>
          <w:b/>
          <w:color w:val="1F4E79"/>
        </w:rPr>
        <w:t>25</w:t>
      </w:r>
    </w:p>
    <w:p>
      <w:pPr>
        <w:spacing w:after="60" w:before="0" w:line="276" w:lineRule="auto"/>
        <w:jc w:val="both"/>
      </w:pPr>
      <w:r>
        <w:rPr>
          <w:rFonts w:ascii="Times New Roman" w:hAnsi="Times New Roman"/>
          <w:b w:val="0"/>
          <w:i w:val="0"/>
          <w:color w:val="282828"/>
          <w:sz w:val="20"/>
        </w:rPr>
        <w:t>Figure 9: Nocturnal Severity Contrast: Weekdays vs. Weekend Recreational Late-Night Outcome Proportions</w:t>
      </w:r>
      <w:r>
        <w:rPr>
          <w:color w:val="718096"/>
        </w:rPr>
        <w:t xml:space="preserve"> ............... </w:t>
      </w:r>
      <w:r>
        <w:rPr>
          <w:b/>
          <w:color w:val="1F4E79"/>
        </w:rPr>
        <w:t>26</w:t>
      </w:r>
    </w:p>
    <w:p>
      <w:pPr>
        <w:spacing w:after="60" w:before="0" w:line="276" w:lineRule="auto"/>
        <w:jc w:val="both"/>
      </w:pPr>
      <w:r>
        <w:rPr>
          <w:rFonts w:ascii="Times New Roman" w:hAnsi="Times New Roman"/>
          <w:b w:val="0"/>
          <w:i w:val="0"/>
          <w:color w:val="282828"/>
          <w:sz w:val="20"/>
        </w:rPr>
        <w:t>Figure 10: Geospatial Road Network Risk Topography (Circle Size = Volume, Color = Exposure-Adjusted Risk)</w:t>
      </w:r>
      <w:r>
        <w:rPr>
          <w:color w:val="718096"/>
        </w:rPr>
        <w:t xml:space="preserve"> .............. </w:t>
      </w:r>
      <w:r>
        <w:rPr>
          <w:b/>
          <w:color w:val="1F4E79"/>
        </w:rPr>
        <w:t>27</w:t>
      </w:r>
    </w:p>
    <w:p>
      <w:pPr>
        <w:spacing w:after="60" w:before="0" w:line="276" w:lineRule="auto"/>
        <w:jc w:val="both"/>
      </w:pPr>
      <w:r>
        <w:rPr>
          <w:rFonts w:ascii="Times New Roman" w:hAnsi="Times New Roman"/>
          <w:b w:val="0"/>
          <w:i w:val="0"/>
          <w:color w:val="282828"/>
          <w:sz w:val="20"/>
        </w:rPr>
        <w:t>Figure 11: Kinetic Energy Scaling: Posted Speed Limit Regimes vs. Fatality Rate Escalation</w:t>
      </w:r>
      <w:r>
        <w:rPr>
          <w:color w:val="718096"/>
        </w:rPr>
        <w:t xml:space="preserve"> ...................... </w:t>
      </w:r>
      <w:r>
        <w:rPr>
          <w:b/>
          <w:color w:val="1F4E79"/>
        </w:rPr>
        <w:t>28</w:t>
      </w:r>
    </w:p>
    <w:p>
      <w:pPr>
        <w:spacing w:after="60" w:before="0" w:line="276" w:lineRule="auto"/>
        <w:jc w:val="both"/>
      </w:pPr>
      <w:r>
        <w:rPr>
          <w:rFonts w:ascii="Times New Roman" w:hAnsi="Times New Roman"/>
          <w:b w:val="0"/>
          <w:i w:val="0"/>
          <w:color w:val="282828"/>
          <w:sz w:val="20"/>
        </w:rPr>
        <w:t>Figure 12: Atmospheric Weather Hostility: Severe Outcome Proportions Across Meteorological Regimes</w:t>
      </w:r>
      <w:r>
        <w:rPr>
          <w:color w:val="718096"/>
        </w:rPr>
        <w:t xml:space="preserve"> .................. </w:t>
      </w:r>
      <w:r>
        <w:rPr>
          <w:b/>
          <w:color w:val="1F4E79"/>
        </w:rPr>
        <w:t>29</w:t>
      </w:r>
    </w:p>
    <w:p>
      <w:pPr>
        <w:spacing w:after="60" w:before="0" w:line="276" w:lineRule="auto"/>
        <w:jc w:val="both"/>
      </w:pPr>
      <w:r>
        <w:rPr>
          <w:rFonts w:ascii="Times New Roman" w:hAnsi="Times New Roman"/>
          <w:b w:val="0"/>
          <w:i w:val="0"/>
          <w:color w:val="282828"/>
          <w:sz w:val="20"/>
        </w:rPr>
        <w:t>Figure 13: Illumination Deprivation: Severe Harm Multipliers in Streetlit vs. Dark Unlit Road Corridors</w:t>
      </w:r>
      <w:r>
        <w:rPr>
          <w:color w:val="718096"/>
        </w:rPr>
        <w:t xml:space="preserve"> ............... </w:t>
      </w:r>
      <w:r>
        <w:rPr>
          <w:b/>
          <w:color w:val="1F4E79"/>
        </w:rPr>
        <w:t>30</w:t>
      </w:r>
    </w:p>
    <w:p>
      <w:pPr>
        <w:spacing w:after="60" w:before="0" w:line="276" w:lineRule="auto"/>
        <w:jc w:val="both"/>
      </w:pPr>
      <w:r>
        <w:rPr>
          <w:rFonts w:ascii="Times New Roman" w:hAnsi="Times New Roman"/>
          <w:b w:val="0"/>
          <w:i w:val="0"/>
          <w:color w:val="282828"/>
          <w:sz w:val="20"/>
        </w:rPr>
        <w:t>Figure 14: Compound Environmental Hostility Index: Multi-Hazard Friction and Darkness Risk Amplification</w:t>
      </w:r>
      <w:r>
        <w:rPr>
          <w:color w:val="718096"/>
        </w:rPr>
        <w:t xml:space="preserve"> .............. </w:t>
      </w:r>
      <w:r>
        <w:rPr>
          <w:b/>
          <w:color w:val="1F4E79"/>
        </w:rPr>
        <w:t>31</w:t>
      </w:r>
    </w:p>
    <w:p>
      <w:pPr>
        <w:spacing w:after="60" w:before="0" w:line="276" w:lineRule="auto"/>
        <w:jc w:val="both"/>
      </w:pPr>
      <w:r>
        <w:rPr>
          <w:rFonts w:ascii="Times New Roman" w:hAnsi="Times New Roman"/>
          <w:b w:val="0"/>
          <w:i w:val="0"/>
          <w:color w:val="282828"/>
          <w:sz w:val="20"/>
        </w:rPr>
        <w:t>Figure 15: Modal Vulnerability Hierarchy: Severe Injury and Fatality Rates Across Primary Vehicle Categories</w:t>
      </w:r>
      <w:r>
        <w:rPr>
          <w:color w:val="718096"/>
        </w:rPr>
        <w:t xml:space="preserve"> ............ </w:t>
      </w:r>
      <w:r>
        <w:rPr>
          <w:b/>
          <w:color w:val="1F4E79"/>
        </w:rPr>
        <w:t>32</w:t>
      </w:r>
    </w:p>
    <w:p>
      <w:pPr>
        <w:spacing w:after="60" w:before="0" w:line="276" w:lineRule="auto"/>
        <w:jc w:val="both"/>
      </w:pPr>
      <w:r>
        <w:rPr>
          <w:rFonts w:ascii="Times New Roman" w:hAnsi="Times New Roman"/>
          <w:b w:val="0"/>
          <w:i w:val="0"/>
          <w:color w:val="282828"/>
          <w:sz w:val="20"/>
        </w:rPr>
        <w:t>Figure 16: Vulnerable Road User (VRU) Mortality Escalation as a Function of Posted Speed Limit Tiers</w:t>
      </w:r>
      <w:r>
        <w:rPr>
          <w:color w:val="718096"/>
        </w:rPr>
        <w:t xml:space="preserve"> ................. </w:t>
      </w:r>
      <w:r>
        <w:rPr>
          <w:b/>
          <w:color w:val="1F4E79"/>
        </w:rPr>
        <w:t>33</w:t>
      </w:r>
    </w:p>
    <w:p>
      <w:pPr>
        <w:spacing w:after="60" w:before="0" w:line="276" w:lineRule="auto"/>
        <w:jc w:val="both"/>
      </w:pPr>
      <w:r>
        <w:rPr>
          <w:rFonts w:ascii="Times New Roman" w:hAnsi="Times New Roman"/>
          <w:b w:val="0"/>
          <w:i w:val="0"/>
          <w:color w:val="282828"/>
          <w:sz w:val="20"/>
        </w:rPr>
        <w:t>Figure 17: Predictive Severity Attribution: Random Forest Feature Importance Spectrum (Gini Impurity Metric)</w:t>
      </w:r>
      <w:r>
        <w:rPr>
          <w:color w:val="718096"/>
        </w:rPr>
        <w:t xml:space="preserve"> ............ </w:t>
      </w:r>
      <w:r>
        <w:rPr>
          <w:b/>
          <w:color w:val="1F4E79"/>
        </w:rPr>
        <w:t>34</w:t>
      </w:r>
    </w:p>
    <w:p>
      <w:pPr>
        <w:spacing w:after="60" w:before="0" w:line="276" w:lineRule="auto"/>
        <w:jc w:val="both"/>
      </w:pPr>
      <w:r>
        <w:rPr>
          <w:rFonts w:ascii="Times New Roman" w:hAnsi="Times New Roman"/>
          <w:b w:val="0"/>
          <w:i w:val="0"/>
          <w:color w:val="282828"/>
          <w:sz w:val="20"/>
        </w:rPr>
        <w:t>Figure 18: Hotspot Classifier Validation: Confusion Matrix Heatmap and Standard Classification Metrics</w:t>
      </w:r>
      <w:r>
        <w:rPr>
          <w:color w:val="718096"/>
        </w:rPr>
        <w:t xml:space="preserve"> ............... </w:t>
      </w:r>
      <w:r>
        <w:rPr>
          <w:b/>
          <w:color w:val="1F4E79"/>
        </w:rPr>
        <w:t>35</w:t>
      </w:r>
    </w:p>
    <w:p>
      <w:pPr>
        <w:spacing w:after="60" w:before="0" w:line="276" w:lineRule="auto"/>
        <w:jc w:val="both"/>
      </w:pPr>
      <w:r>
        <w:rPr>
          <w:rFonts w:ascii="Times New Roman" w:hAnsi="Times New Roman"/>
          <w:b w:val="0"/>
          <w:i w:val="0"/>
          <w:color w:val="282828"/>
          <w:sz w:val="20"/>
        </w:rPr>
        <w:t>Figure 19: Targeted Engineering Policy Simulation: Cumulative Risk Reductions Under Infrastructure Countermeasures</w:t>
      </w:r>
      <w:r>
        <w:rPr>
          <w:color w:val="718096"/>
        </w:rPr>
        <w:t xml:space="preserve"> ......... </w:t>
      </w:r>
      <w:r>
        <w:rPr>
          <w:b/>
          <w:color w:val="1F4E79"/>
        </w:rPr>
        <w:t>36</w:t>
      </w:r>
    </w:p>
    <w:p>
      <w:pPr>
        <w:spacing w:after="60" w:before="0" w:line="276" w:lineRule="auto"/>
        <w:jc w:val="both"/>
      </w:pPr>
      <w:r>
        <w:rPr>
          <w:rFonts w:ascii="Times New Roman" w:hAnsi="Times New Roman"/>
          <w:b w:val="0"/>
          <w:i w:val="0"/>
          <w:color w:val="282828"/>
          <w:sz w:val="20"/>
        </w:rPr>
        <w:t>Figure 20: India Mixed-Traffic Transferability: Severe Risk Divergence on Bengaluru Arterial Corridors</w:t>
      </w:r>
      <w:r>
        <w:rPr>
          <w:color w:val="718096"/>
        </w:rPr>
        <w:t xml:space="preserve"> ............... </w:t>
      </w:r>
      <w:r>
        <w:rPr>
          <w:b/>
          <w:color w:val="1F4E79"/>
        </w:rPr>
        <w:t>37</w:t>
      </w:r>
    </w:p>
    <w:p>
      <w:pPr>
        <w:spacing w:after="60" w:before="0" w:line="276" w:lineRule="auto"/>
        <w:jc w:val="both"/>
      </w:pPr>
      <w:r>
        <w:rPr>
          <w:rFonts w:ascii="Times New Roman" w:hAnsi="Times New Roman"/>
          <w:b w:val="0"/>
          <w:i w:val="0"/>
          <w:color w:val="282828"/>
          <w:sz w:val="20"/>
        </w:rPr>
        <w:t>Figure 21: Vulnerability Density: Correlation Between Two-Wheeler Modal Share (%) and Risk Index per MVKM</w:t>
      </w:r>
      <w:r>
        <w:rPr>
          <w:color w:val="718096"/>
        </w:rPr>
        <w:t xml:space="preserve"> .............. </w:t>
      </w:r>
      <w:r>
        <w:rPr>
          <w:b/>
          <w:color w:val="1F4E79"/>
        </w:rPr>
        <w:t>38</w:t>
      </w:r>
    </w:p>
    <w:p>
      <w:pPr>
        <w:spacing w:after="60" w:before="0" w:line="276" w:lineRule="auto"/>
        <w:jc w:val="both"/>
      </w:pPr>
      <w:r>
        <w:rPr>
          <w:rFonts w:ascii="Times New Roman" w:hAnsi="Times New Roman"/>
          <w:b w:val="0"/>
          <w:i w:val="0"/>
          <w:color w:val="282828"/>
          <w:sz w:val="20"/>
        </w:rPr>
        <w:t>Figure 22: The Exposure-Adjusted Visual Analytics Architecture: Paradigm Transition from Reactive Counting to Proactive Safety</w:t>
      </w:r>
      <w:r>
        <w:rPr>
          <w:color w:val="718096"/>
        </w:rPr>
        <w:t xml:space="preserve"> ..... </w:t>
      </w:r>
      <w:r>
        <w:rPr>
          <w:b/>
          <w:color w:val="1F4E79"/>
        </w:rPr>
        <w:t>39</w:t>
      </w:r>
    </w:p>
    <w:p>
      <w:r>
        <w:br w:type="page"/>
      </w:r>
    </w:p>
    <w:p>
      <w:pPr>
        <w:keepNext/>
        <w:spacing w:before="320" w:after="120"/>
        <w:jc w:val="center"/>
      </w:pPr>
      <w:r>
        <w:rPr>
          <w:rFonts w:ascii="Times New Roman" w:hAnsi="Times New Roman"/>
          <w:b/>
          <w:color w:val="1F4E79"/>
          <w:sz w:val="28"/>
        </w:rPr>
        <w:t>List of Tables</w:t>
      </w:r>
    </w:p>
    <w:p>
      <w:pPr>
        <w:spacing w:after="60" w:before="0" w:line="276" w:lineRule="auto"/>
        <w:jc w:val="both"/>
      </w:pPr>
      <w:r>
        <w:rPr>
          <w:rFonts w:ascii="Times New Roman" w:hAnsi="Times New Roman"/>
          <w:b w:val="0"/>
          <w:i w:val="0"/>
          <w:color w:val="282828"/>
          <w:sz w:val="20"/>
        </w:rPr>
        <w:t>Table 1: Overall Network Crash Severity Breakdown, Proportions, and DfT Economic Weights</w:t>
      </w:r>
      <w:r>
        <w:rPr>
          <w:color w:val="718096"/>
        </w:rPr>
        <w:t xml:space="preserve"> ........................ </w:t>
      </w:r>
      <w:r>
        <w:rPr>
          <w:b/>
          <w:color w:val="1F4E79"/>
        </w:rPr>
        <w:t>18</w:t>
      </w:r>
    </w:p>
    <w:p>
      <w:pPr>
        <w:spacing w:after="60" w:before="0" w:line="276" w:lineRule="auto"/>
        <w:jc w:val="both"/>
      </w:pPr>
      <w:r>
        <w:rPr>
          <w:rFonts w:ascii="Times New Roman" w:hAnsi="Times New Roman"/>
          <w:b w:val="0"/>
          <w:i w:val="0"/>
          <w:color w:val="282828"/>
          <w:sz w:val="20"/>
        </w:rPr>
        <w:t>Table 2: Road Hierarchy Classification, Lane Configuration, and Segment Length Metrics</w:t>
      </w:r>
      <w:r>
        <w:rPr>
          <w:color w:val="718096"/>
        </w:rPr>
        <w:t xml:space="preserve"> ......................... </w:t>
      </w:r>
      <w:r>
        <w:rPr>
          <w:b/>
          <w:color w:val="1F4E79"/>
        </w:rPr>
        <w:t>19</w:t>
      </w:r>
    </w:p>
    <w:p>
      <w:pPr>
        <w:spacing w:after="60" w:before="0" w:line="276" w:lineRule="auto"/>
        <w:jc w:val="both"/>
      </w:pPr>
      <w:r>
        <w:rPr>
          <w:rFonts w:ascii="Times New Roman" w:hAnsi="Times New Roman"/>
          <w:b w:val="0"/>
          <w:i w:val="0"/>
          <w:color w:val="282828"/>
          <w:sz w:val="20"/>
        </w:rPr>
        <w:t>Table 3: Traffic Volume Exposure Statistics and Annual Million Vehicle-Kilometers (MVKM) by Road Class</w:t>
      </w:r>
      <w:r>
        <w:rPr>
          <w:color w:val="718096"/>
        </w:rPr>
        <w:t xml:space="preserve"> ................ </w:t>
      </w:r>
      <w:r>
        <w:rPr>
          <w:b/>
          <w:color w:val="1F4E79"/>
        </w:rPr>
        <w:t>20</w:t>
      </w:r>
    </w:p>
    <w:p>
      <w:pPr>
        <w:spacing w:after="60" w:before="0" w:line="276" w:lineRule="auto"/>
        <w:jc w:val="both"/>
      </w:pPr>
      <w:r>
        <w:rPr>
          <w:rFonts w:ascii="Times New Roman" w:hAnsi="Times New Roman"/>
          <w:b w:val="0"/>
          <w:i w:val="0"/>
          <w:color w:val="282828"/>
          <w:sz w:val="20"/>
        </w:rPr>
        <w:t>Table 4: Four-Quadrant Strategic Roadway Classification Matrix and Aggregate Safety Outcomes</w:t>
      </w:r>
      <w:r>
        <w:rPr>
          <w:color w:val="718096"/>
        </w:rPr>
        <w:t xml:space="preserve"> ...................... </w:t>
      </w:r>
      <w:r>
        <w:rPr>
          <w:b/>
          <w:color w:val="1F4E79"/>
        </w:rPr>
        <w:t>21</w:t>
      </w:r>
    </w:p>
    <w:p>
      <w:pPr>
        <w:spacing w:after="60" w:before="0" w:line="276" w:lineRule="auto"/>
        <w:jc w:val="both"/>
      </w:pPr>
      <w:r>
        <w:rPr>
          <w:rFonts w:ascii="Times New Roman" w:hAnsi="Times New Roman"/>
          <w:b w:val="0"/>
          <w:i w:val="0"/>
          <w:color w:val="282828"/>
          <w:sz w:val="20"/>
        </w:rPr>
        <w:t>Table 5: Empirical Validation Benchmark Case Study: SEG-0417 vs. SEG-1902 Comparative Metrics</w:t>
      </w:r>
      <w:r>
        <w:rPr>
          <w:color w:val="718096"/>
        </w:rPr>
        <w:t xml:space="preserve"> ..................... </w:t>
      </w:r>
      <w:r>
        <w:rPr>
          <w:b/>
          <w:color w:val="1F4E79"/>
        </w:rPr>
        <w:t>22</w:t>
      </w:r>
    </w:p>
    <w:p>
      <w:pPr>
        <w:spacing w:after="60" w:before="0" w:line="276" w:lineRule="auto"/>
        <w:jc w:val="both"/>
      </w:pPr>
      <w:r>
        <w:rPr>
          <w:rFonts w:ascii="Times New Roman" w:hAnsi="Times New Roman"/>
          <w:b w:val="0"/>
          <w:i w:val="0"/>
          <w:color w:val="282828"/>
          <w:sz w:val="20"/>
        </w:rPr>
        <w:t>Table 6: Top 10 High-Lethality Road Segments Subject to Systemic Rank Inversion ('Deadly Traps')</w:t>
      </w:r>
      <w:r>
        <w:rPr>
          <w:color w:val="718096"/>
        </w:rPr>
        <w:t xml:space="preserve"> .................... </w:t>
      </w:r>
      <w:r>
        <w:rPr>
          <w:b/>
          <w:color w:val="1F4E79"/>
        </w:rPr>
        <w:t>23</w:t>
      </w:r>
    </w:p>
    <w:p>
      <w:pPr>
        <w:spacing w:after="60" w:before="0" w:line="276" w:lineRule="auto"/>
        <w:jc w:val="both"/>
      </w:pPr>
      <w:r>
        <w:rPr>
          <w:rFonts w:ascii="Times New Roman" w:hAnsi="Times New Roman"/>
          <w:b w:val="0"/>
          <w:i w:val="0"/>
          <w:color w:val="282828"/>
          <w:sz w:val="20"/>
        </w:rPr>
        <w:t>Table 7: 24-Hour Circadian Temporal Distribution of Incident Volume, Fatalities, and Fatality Rate (%)</w:t>
      </w:r>
      <w:r>
        <w:rPr>
          <w:color w:val="718096"/>
        </w:rPr>
        <w:t xml:space="preserve"> ................ </w:t>
      </w:r>
      <w:r>
        <w:rPr>
          <w:b/>
          <w:color w:val="1F4E79"/>
        </w:rPr>
        <w:t>24</w:t>
      </w:r>
    </w:p>
    <w:p>
      <w:pPr>
        <w:spacing w:after="60" w:before="0" w:line="276" w:lineRule="auto"/>
        <w:jc w:val="both"/>
      </w:pPr>
      <w:r>
        <w:rPr>
          <w:rFonts w:ascii="Times New Roman" w:hAnsi="Times New Roman"/>
          <w:b w:val="0"/>
          <w:i w:val="0"/>
          <w:color w:val="282828"/>
          <w:sz w:val="20"/>
        </w:rPr>
        <w:t>Table 8: Circadian Operational Phase Aggregations and Temporal Safety Performance Metrics</w:t>
      </w:r>
      <w:r>
        <w:rPr>
          <w:color w:val="718096"/>
        </w:rPr>
        <w:t xml:space="preserve"> ........................ </w:t>
      </w:r>
      <w:r>
        <w:rPr>
          <w:b/>
          <w:color w:val="1F4E79"/>
        </w:rPr>
        <w:t>25</w:t>
      </w:r>
    </w:p>
    <w:p>
      <w:pPr>
        <w:spacing w:after="60" w:before="0" w:line="276" w:lineRule="auto"/>
        <w:jc w:val="both"/>
      </w:pPr>
      <w:r>
        <w:rPr>
          <w:rFonts w:ascii="Times New Roman" w:hAnsi="Times New Roman"/>
          <w:b w:val="0"/>
          <w:i w:val="0"/>
          <w:color w:val="282828"/>
          <w:sz w:val="20"/>
        </w:rPr>
        <w:t>Table 9: Nocturnal Severity Contrast: Weekday Normal vs. Weekend Recreational Incident Cohorts</w:t>
      </w:r>
      <w:r>
        <w:rPr>
          <w:color w:val="718096"/>
        </w:rPr>
        <w:t xml:space="preserve"> ..................... </w:t>
      </w:r>
      <w:r>
        <w:rPr>
          <w:b/>
          <w:color w:val="1F4E79"/>
        </w:rPr>
        <w:t>26</w:t>
      </w:r>
    </w:p>
    <w:p>
      <w:pPr>
        <w:spacing w:after="60" w:before="0" w:line="276" w:lineRule="auto"/>
        <w:jc w:val="both"/>
      </w:pPr>
      <w:r>
        <w:rPr>
          <w:rFonts w:ascii="Times New Roman" w:hAnsi="Times New Roman"/>
          <w:b w:val="0"/>
          <w:i w:val="0"/>
          <w:color w:val="282828"/>
          <w:sz w:val="20"/>
        </w:rPr>
        <w:t>Table 10: Spatial Corridor Risk Density and Segment Inversion Statistics Across Network Geographic Sectors</w:t>
      </w:r>
      <w:r>
        <w:rPr>
          <w:color w:val="718096"/>
        </w:rPr>
        <w:t xml:space="preserve"> .............. </w:t>
      </w:r>
      <w:r>
        <w:rPr>
          <w:b/>
          <w:color w:val="1F4E79"/>
        </w:rPr>
        <w:t>27</w:t>
      </w:r>
    </w:p>
    <w:p>
      <w:pPr>
        <w:spacing w:after="60" w:before="0" w:line="276" w:lineRule="auto"/>
        <w:jc w:val="both"/>
      </w:pPr>
      <w:r>
        <w:rPr>
          <w:rFonts w:ascii="Times New Roman" w:hAnsi="Times New Roman"/>
          <w:b w:val="0"/>
          <w:i w:val="0"/>
          <w:color w:val="282828"/>
          <w:sz w:val="20"/>
        </w:rPr>
        <w:t>Table 11: Posted Speed Limit Regimes vs. Crash Severity Distribution and Vulnerable User Involvement</w:t>
      </w:r>
      <w:r>
        <w:rPr>
          <w:color w:val="718096"/>
        </w:rPr>
        <w:t xml:space="preserve"> ................. </w:t>
      </w:r>
      <w:r>
        <w:rPr>
          <w:b/>
          <w:color w:val="1F4E79"/>
        </w:rPr>
        <w:t>28</w:t>
      </w:r>
    </w:p>
    <w:p>
      <w:pPr>
        <w:spacing w:after="60" w:before="0" w:line="276" w:lineRule="auto"/>
        <w:jc w:val="both"/>
      </w:pPr>
      <w:r>
        <w:rPr>
          <w:rFonts w:ascii="Times New Roman" w:hAnsi="Times New Roman"/>
          <w:b w:val="0"/>
          <w:i w:val="0"/>
          <w:color w:val="282828"/>
          <w:sz w:val="20"/>
        </w:rPr>
        <w:t>Table 12: Atmospheric Weather Conditions vs. Crash Volume, Fatalities, and Severe Outcome Rate</w:t>
      </w:r>
      <w:r>
        <w:rPr>
          <w:color w:val="718096"/>
        </w:rPr>
        <w:t xml:space="preserve"> .................... </w:t>
      </w:r>
      <w:r>
        <w:rPr>
          <w:b/>
          <w:color w:val="1F4E79"/>
        </w:rPr>
        <w:t>29</w:t>
      </w:r>
    </w:p>
    <w:p>
      <w:pPr>
        <w:spacing w:after="60" w:before="0" w:line="276" w:lineRule="auto"/>
        <w:jc w:val="both"/>
      </w:pPr>
      <w:r>
        <w:rPr>
          <w:rFonts w:ascii="Times New Roman" w:hAnsi="Times New Roman"/>
          <w:b w:val="0"/>
          <w:i w:val="0"/>
          <w:color w:val="282828"/>
          <w:sz w:val="20"/>
        </w:rPr>
        <w:t>Table 13: Roadway Illumination Quality and Ambient Darkness Impact on Crash Severity Outcomes</w:t>
      </w:r>
      <w:r>
        <w:rPr>
          <w:color w:val="718096"/>
        </w:rPr>
        <w:t xml:space="preserve"> ..................... </w:t>
      </w:r>
      <w:r>
        <w:rPr>
          <w:b/>
          <w:color w:val="1F4E79"/>
        </w:rPr>
        <w:t>30</w:t>
      </w:r>
    </w:p>
    <w:p>
      <w:pPr>
        <w:spacing w:after="60" w:before="0" w:line="276" w:lineRule="auto"/>
        <w:jc w:val="both"/>
      </w:pPr>
      <w:r>
        <w:rPr>
          <w:rFonts w:ascii="Times New Roman" w:hAnsi="Times New Roman"/>
          <w:b w:val="0"/>
          <w:i w:val="0"/>
          <w:color w:val="282828"/>
          <w:sz w:val="20"/>
        </w:rPr>
        <w:t>Table 14: Compound Environmental Hostility Matrix (Multi-Factor Interaction of Weather, Surface, and Light)</w:t>
      </w:r>
      <w:r>
        <w:rPr>
          <w:color w:val="718096"/>
        </w:rPr>
        <w:t xml:space="preserve"> ............. </w:t>
      </w:r>
      <w:r>
        <w:rPr>
          <w:b/>
          <w:color w:val="1F4E79"/>
        </w:rPr>
        <w:t>31</w:t>
      </w:r>
    </w:p>
    <w:p>
      <w:pPr>
        <w:spacing w:after="60" w:before="0" w:line="276" w:lineRule="auto"/>
        <w:jc w:val="both"/>
      </w:pPr>
      <w:r>
        <w:rPr>
          <w:rFonts w:ascii="Times New Roman" w:hAnsi="Times New Roman"/>
          <w:b w:val="0"/>
          <w:i w:val="0"/>
          <w:color w:val="282828"/>
          <w:sz w:val="20"/>
        </w:rPr>
        <w:t>Table 15: Primary Vehicle Classification Vulnerability and Severe Harm Injury Profiles</w:t>
      </w:r>
      <w:r>
        <w:rPr>
          <w:color w:val="718096"/>
        </w:rPr>
        <w:t xml:space="preserve"> ......................... </w:t>
      </w:r>
      <w:r>
        <w:rPr>
          <w:b/>
          <w:color w:val="1F4E79"/>
        </w:rPr>
        <w:t>32</w:t>
      </w:r>
    </w:p>
    <w:p>
      <w:pPr>
        <w:spacing w:after="60" w:before="0" w:line="276" w:lineRule="auto"/>
        <w:jc w:val="both"/>
      </w:pPr>
      <w:r>
        <w:rPr>
          <w:rFonts w:ascii="Times New Roman" w:hAnsi="Times New Roman"/>
          <w:b w:val="0"/>
          <w:i w:val="0"/>
          <w:color w:val="282828"/>
          <w:sz w:val="20"/>
        </w:rPr>
        <w:t>Table 16: Vulnerable Road User (VRU) Mortality Rate Escalation Across Posted Speed Tiers</w:t>
      </w:r>
      <w:r>
        <w:rPr>
          <w:color w:val="718096"/>
        </w:rPr>
        <w:t xml:space="preserve"> ........................ </w:t>
      </w:r>
      <w:r>
        <w:rPr>
          <w:b/>
          <w:color w:val="1F4E79"/>
        </w:rPr>
        <w:t>33</w:t>
      </w:r>
    </w:p>
    <w:p>
      <w:pPr>
        <w:spacing w:after="60" w:before="0" w:line="276" w:lineRule="auto"/>
        <w:jc w:val="both"/>
      </w:pPr>
      <w:r>
        <w:rPr>
          <w:rFonts w:ascii="Times New Roman" w:hAnsi="Times New Roman"/>
          <w:b w:val="0"/>
          <w:i w:val="0"/>
          <w:color w:val="282828"/>
          <w:sz w:val="20"/>
        </w:rPr>
        <w:t>Table 17: Random Forest Severity Attribution: Top Predictor Features and Gini Impurity Weights</w:t>
      </w:r>
      <w:r>
        <w:rPr>
          <w:color w:val="718096"/>
        </w:rPr>
        <w:t xml:space="preserve"> .................... </w:t>
      </w:r>
      <w:r>
        <w:rPr>
          <w:b/>
          <w:color w:val="1F4E79"/>
        </w:rPr>
        <w:t>34</w:t>
      </w:r>
    </w:p>
    <w:p>
      <w:pPr>
        <w:spacing w:after="60" w:before="0" w:line="276" w:lineRule="auto"/>
        <w:jc w:val="both"/>
      </w:pPr>
      <w:r>
        <w:rPr>
          <w:rFonts w:ascii="Times New Roman" w:hAnsi="Times New Roman"/>
          <w:b w:val="0"/>
          <w:i w:val="0"/>
          <w:color w:val="282828"/>
          <w:sz w:val="20"/>
        </w:rPr>
        <w:t>Table 18: Hotspot Classifier Performance Metrics (Accuracy, Precision, Recall, F1-Score, ROC-AUC)</w:t>
      </w:r>
      <w:r>
        <w:rPr>
          <w:color w:val="718096"/>
        </w:rPr>
        <w:t xml:space="preserve"> ................... </w:t>
      </w:r>
      <w:r>
        <w:rPr>
          <w:b/>
          <w:color w:val="1F4E79"/>
        </w:rPr>
        <w:t>35</w:t>
      </w:r>
    </w:p>
    <w:p>
      <w:pPr>
        <w:spacing w:after="60" w:before="0" w:line="276" w:lineRule="auto"/>
        <w:jc w:val="both"/>
      </w:pPr>
      <w:r>
        <w:rPr>
          <w:rFonts w:ascii="Times New Roman" w:hAnsi="Times New Roman"/>
          <w:b w:val="0"/>
          <w:i w:val="0"/>
          <w:color w:val="282828"/>
          <w:sz w:val="20"/>
        </w:rPr>
        <w:t>Table 19: Targeted Countermeasure Policy Simulation: Projected Injury &amp; Risk Index Reductions</w:t>
      </w:r>
      <w:r>
        <w:rPr>
          <w:color w:val="718096"/>
        </w:rPr>
        <w:t xml:space="preserve"> ..................... </w:t>
      </w:r>
      <w:r>
        <w:rPr>
          <w:b/>
          <w:color w:val="1F4E79"/>
        </w:rPr>
        <w:t>36</w:t>
      </w:r>
    </w:p>
    <w:p>
      <w:pPr>
        <w:spacing w:after="60" w:before="0" w:line="276" w:lineRule="auto"/>
        <w:jc w:val="both"/>
      </w:pPr>
      <w:r>
        <w:rPr>
          <w:rFonts w:ascii="Times New Roman" w:hAnsi="Times New Roman"/>
          <w:b w:val="0"/>
          <w:i w:val="0"/>
          <w:color w:val="282828"/>
          <w:sz w:val="20"/>
        </w:rPr>
        <w:t>Table 20: Indian Urban Mixed-Traffic Corridor Benchmark Analysis (Bengaluru Arterial Cohort)</w:t>
      </w:r>
      <w:r>
        <w:rPr>
          <w:color w:val="718096"/>
        </w:rPr>
        <w:t xml:space="preserve"> ..................... </w:t>
      </w:r>
      <w:r>
        <w:rPr>
          <w:b/>
          <w:color w:val="1F4E79"/>
        </w:rPr>
        <w:t>37</w:t>
      </w:r>
    </w:p>
    <w:p>
      <w:pPr>
        <w:spacing w:after="60" w:before="0" w:line="276" w:lineRule="auto"/>
        <w:jc w:val="both"/>
      </w:pPr>
      <w:r>
        <w:rPr>
          <w:rFonts w:ascii="Times New Roman" w:hAnsi="Times New Roman"/>
          <w:b w:val="0"/>
          <w:i w:val="0"/>
          <w:color w:val="282828"/>
          <w:sz w:val="20"/>
        </w:rPr>
        <w:t>Table 21: Cross-Jurisdictional Comparison: UK STATS19 Network vs. Bengaluru Arterial Corridors</w:t>
      </w:r>
      <w:r>
        <w:rPr>
          <w:color w:val="718096"/>
        </w:rPr>
        <w:t xml:space="preserve"> .................... </w:t>
      </w:r>
      <w:r>
        <w:rPr>
          <w:b/>
          <w:color w:val="1F4E79"/>
        </w:rPr>
        <w:t>38</w:t>
      </w:r>
    </w:p>
    <w:p>
      <w:pPr>
        <w:spacing w:after="60" w:before="0" w:line="276" w:lineRule="auto"/>
        <w:jc w:val="both"/>
      </w:pPr>
      <w:r>
        <w:rPr>
          <w:rFonts w:ascii="Times New Roman" w:hAnsi="Times New Roman"/>
          <w:b w:val="0"/>
          <w:i w:val="0"/>
          <w:color w:val="282828"/>
          <w:sz w:val="20"/>
        </w:rPr>
        <w:t>Table 22: Synthesis Summary: Traditional Reactive Blackspots vs. Exposure-Adjusted Proactive Interventions</w:t>
      </w:r>
      <w:r>
        <w:rPr>
          <w:color w:val="718096"/>
        </w:rPr>
        <w:t xml:space="preserve"> .............. </w:t>
      </w:r>
      <w:r>
        <w:rPr>
          <w:b/>
          <w:color w:val="1F4E79"/>
        </w:rPr>
        <w:t>39</w:t>
      </w:r>
    </w:p>
    <w:p>
      <w:r>
        <w:br w:type="page"/>
      </w:r>
    </w:p>
    <w:p>
      <w:pPr>
        <w:keepNext/>
        <w:spacing w:before="320" w:after="120"/>
        <w:jc w:val="left"/>
      </w:pPr>
      <w:r>
        <w:rPr>
          <w:rFonts w:ascii="Times New Roman" w:hAnsi="Times New Roman"/>
          <w:b/>
          <w:color w:val="1F4E79"/>
          <w:sz w:val="28"/>
        </w:rPr>
        <w:t>1. INTRODUCTION</w:t>
      </w:r>
    </w:p>
    <w:p>
      <w:pPr>
        <w:keepNext/>
        <w:spacing w:before="240" w:after="80"/>
        <w:jc w:val="left"/>
      </w:pPr>
      <w:r>
        <w:rPr>
          <w:rFonts w:ascii="Times New Roman" w:hAnsi="Times New Roman"/>
          <w:b/>
          <w:color w:val="2E74B5"/>
          <w:sz w:val="25"/>
        </w:rPr>
        <w:t>1.1 Global and National Highway Safety Realities</w:t>
      </w:r>
    </w:p>
    <w:p>
      <w:pPr>
        <w:spacing w:after="120" w:before="0" w:line="276" w:lineRule="auto"/>
        <w:jc w:val="both"/>
      </w:pPr>
      <w:r>
        <w:rPr>
          <w:rFonts w:ascii="Times New Roman" w:hAnsi="Times New Roman"/>
          <w:b w:val="0"/>
          <w:i w:val="0"/>
          <w:color w:val="282828"/>
          <w:sz w:val="24"/>
        </w:rPr>
        <w:t>Road traffic crashes represent one of the most critical public health and socio-economic crises of the modern era. According to the World Health Organization (WHO) Global Status Report on Road Safety, road traffic injuries cause approximately 1.19 million preventable fatalities each year, ranking as the leading cause of death globally for children and young adults aged 5 to 29 years. Beyond the immeasurable human suffering of bereavement and permanent disability, road trauma imposes a severe macroeconomic burden, consuming between 2% and 5% of national Gross Domestic Product (GDP) across middle- and high-income economies through emergency healthcare expenditure, legal adjudication, property destruction, and long-term loss of productive human capital.</w:t>
      </w:r>
    </w:p>
    <w:p>
      <w:pPr>
        <w:spacing w:after="120" w:before="0" w:line="276" w:lineRule="auto"/>
        <w:jc w:val="both"/>
      </w:pPr>
      <w:r>
        <w:rPr>
          <w:rFonts w:ascii="Times New Roman" w:hAnsi="Times New Roman"/>
          <w:b w:val="0"/>
          <w:i w:val="0"/>
          <w:color w:val="282828"/>
          <w:sz w:val="24"/>
        </w:rPr>
        <w:t>In developing nations such as India, the crisis is particularly acute. Official data published by the Ministry of Road Transport and Highways (MoRTH) indicates that India accounts for over 168,000 traffic fatalities annually—representing roughly 11% of the global total despite possessing only 1% of the world's vehicular fleet. Simultaneously, mature motorized economies such as the United Kingdom have achieved significant historical reductions through structured reporting protocols (such as the STATS19 road collision database) and rigorous civil engineering standards. Nonetheless, recent years have witnessed an alarming stagnation in fatality reduction rates across both emerging and developed transportation networks. Highway authorities increasingly recognize that conventional safety auditing practices have hit a point of diminishing returns, largely because the analytical paradigms used to detect roadway hazards are fundamentally flawed.</w:t>
      </w:r>
    </w:p>
    <w:p>
      <w:pPr>
        <w:keepNext/>
        <w:spacing w:before="240" w:after="80"/>
        <w:jc w:val="left"/>
      </w:pPr>
      <w:r>
        <w:rPr>
          <w:rFonts w:ascii="Times New Roman" w:hAnsi="Times New Roman"/>
          <w:b/>
          <w:color w:val="2E74B5"/>
          <w:sz w:val="25"/>
        </w:rPr>
        <w:t>1.2 The Systemic Fallacy of Raw Crash Frequency ('Blackspot Counting')</w:t>
      </w:r>
    </w:p>
    <w:p>
      <w:pPr>
        <w:spacing w:after="120" w:before="0" w:line="276" w:lineRule="auto"/>
        <w:jc w:val="both"/>
      </w:pPr>
      <w:r>
        <w:rPr>
          <w:rFonts w:ascii="Times New Roman" w:hAnsi="Times New Roman"/>
          <w:b w:val="0"/>
          <w:i w:val="0"/>
          <w:color w:val="282828"/>
          <w:sz w:val="24"/>
        </w:rPr>
        <w:t>For more than six decades, transportation agencies, highway patrol divisions, and municipal planning bodies have relied almost exclusively on raw crash incident counts—often termed 'blackspot analysis' or 'crash clustering'—to identify high-risk roadway locations. Under this legacy paradigm, road segments or intersections that accumulate the highest total volume of police-recorded collisions ($N$) over a given observation period (typically 3 to 5 years) are flagged as hazardous priorities and allocated public remediation funds for safety improvements.</w:t>
      </w:r>
    </w:p>
    <w:p>
      <w:pPr>
        <w:spacing w:after="120" w:before="0" w:line="276" w:lineRule="auto"/>
        <w:jc w:val="both"/>
      </w:pPr>
      <w:r>
        <w:rPr>
          <w:rFonts w:ascii="Times New Roman" w:hAnsi="Times New Roman"/>
          <w:b w:val="0"/>
          <w:i w:val="0"/>
          <w:color w:val="282828"/>
          <w:sz w:val="24"/>
        </w:rPr>
        <w:t>However, raw frequency models suffer from a fatal methodological blind spot: they fail to normalize incident counts against vehicular exposure. Road networks are inherently heterogeneous in traffic throughput. A multi-lane grade-separated motorway or an urban expressway interchange carries tens of millions of vehicle-kilometers annually. On such high-density corridors, vehicle interactions occur under heavy congestion and bumper-to-bumper queueing, resulting in frequent low-speed rear-end shunts, side-swipes, and minor fender-benders that generate negligible physical injury. Because these minor incidents aggregate into high total collision counts ($N$), raw blackspot metrics flag them as extreme hazards.</w:t>
      </w:r>
    </w:p>
    <w:p>
      <w:pPr>
        <w:spacing w:after="120" w:before="0" w:line="276" w:lineRule="auto"/>
        <w:jc w:val="both"/>
      </w:pPr>
      <w:r>
        <w:rPr>
          <w:rFonts w:ascii="Times New Roman" w:hAnsi="Times New Roman"/>
          <w:b w:val="0"/>
          <w:i w:val="0"/>
          <w:color w:val="282828"/>
          <w:sz w:val="24"/>
        </w:rPr>
        <w:t>Conversely, winding rural single-carriageway corridors, unlit suburban peripheral curves, and narrow regional link roads carry comparatively modest traffic volumes. Because total vehicle exposure is low, the gross number of collisions on these segments appears statistically minimal. However, due to higher operating speeds, lack of physical median separation, adverse horizontal curvature, and absence of fixed illumination, the collisions that do occur on these corridors produce catastrophic outcomes characterized by violent head-on collisions, rollover impacts, and high mortality rates. Under conventional blackspot screening, these lethal corridors remain completely invisible because their low crash counts fail to trigger municipal intervention thresholds.</w:t>
      </w:r>
    </w:p>
    <w:p>
      <w:pPr>
        <w:keepNext/>
        <w:spacing w:before="240" w:after="80"/>
        <w:jc w:val="left"/>
      </w:pPr>
      <w:r>
        <w:rPr>
          <w:rFonts w:ascii="Times New Roman" w:hAnsi="Times New Roman"/>
          <w:b/>
          <w:color w:val="2E74B5"/>
          <w:sz w:val="25"/>
        </w:rPr>
        <w:t>1.3 The Severity-Frequency Inversion Thesis: Central Claim</w:t>
      </w:r>
    </w:p>
    <w:p>
      <w:pPr>
        <w:spacing w:after="120" w:before="0" w:line="276" w:lineRule="auto"/>
        <w:jc w:val="both"/>
      </w:pPr>
      <w:r>
        <w:rPr>
          <w:rFonts w:ascii="Times New Roman" w:hAnsi="Times New Roman"/>
          <w:b w:val="0"/>
          <w:i w:val="0"/>
          <w:color w:val="282828"/>
          <w:sz w:val="24"/>
        </w:rPr>
        <w:t>This fundamental disconnect gives rise to the central claim and theoretical departure of this research:</w:t>
      </w: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CENTRAL THESIS OF THIS REPORT: </w:t>
            </w:r>
            <w:r>
              <w:rPr>
                <w:rFonts w:ascii="Times New Roman" w:hAnsi="Times New Roman"/>
                <w:i/>
                <w:color w:val="282828"/>
                <w:sz w:val="19"/>
              </w:rPr>
              <w:t>Central Research Claim: 'One-eighth the crashes. Twelve times the risk. Low frequency masks high severity.' Conventional raw incident counting systematically misrepresents roadway hazard, blinding safety engineers to lethal, low-volume rural traps while over-investing capital in high-volume, low-severity urban corridors.</w:t>
            </w:r>
          </w:p>
        </w:tc>
      </w:tr>
    </w:tbl>
    <w:p>
      <w:pPr>
        <w:spacing w:before="0" w:after="80"/>
      </w:pPr>
    </w:p>
    <w:p>
      <w:pPr>
        <w:spacing w:after="120" w:before="0" w:line="276" w:lineRule="auto"/>
        <w:jc w:val="both"/>
      </w:pPr>
      <w:r>
        <w:rPr>
          <w:rFonts w:ascii="Times New Roman" w:hAnsi="Times New Roman"/>
          <w:b w:val="0"/>
          <w:i w:val="0"/>
          <w:color w:val="282828"/>
          <w:sz w:val="24"/>
        </w:rPr>
        <w:t>When roadway incident frequency is weighted by the economic and clinical severity of human injuries and normalized against annual traffic volume exposure (Million Vehicle-Kilometers, MVKM), the true hierarchy of highway danger is radically inverted. Highway engineering interventions must therefore shift from reactive, frequency-driven blackspot remediation toward proactive, exposure-adjusted severity risk analytics.</w:t>
      </w:r>
    </w:p>
    <w:p>
      <w:pPr>
        <w:keepNext/>
        <w:spacing w:before="240" w:after="80"/>
        <w:jc w:val="left"/>
      </w:pPr>
      <w:r>
        <w:rPr>
          <w:rFonts w:ascii="Times New Roman" w:hAnsi="Times New Roman"/>
          <w:b/>
          <w:color w:val="2E74B5"/>
          <w:sz w:val="25"/>
        </w:rPr>
        <w:t>1.4 Objectives, Scope, and Structural Organization</w:t>
      </w:r>
    </w:p>
    <w:p>
      <w:pPr>
        <w:spacing w:after="120" w:before="0" w:line="276" w:lineRule="auto"/>
        <w:jc w:val="both"/>
      </w:pPr>
      <w:r>
        <w:rPr>
          <w:rFonts w:ascii="Times New Roman" w:hAnsi="Times New Roman"/>
          <w:b w:val="0"/>
          <w:i w:val="0"/>
          <w:color w:val="282828"/>
          <w:sz w:val="24"/>
        </w:rPr>
        <w:t>The overarching objective of this research is to construct, validate, and operationalize an end-to-end visual analytics framework for exposure-adjusted traffic accident risk modeling. Specifically, this study delivers:</w:t>
      </w:r>
    </w:p>
    <w:p>
      <w:pPr>
        <w:spacing w:after="120" w:before="0" w:line="276" w:lineRule="auto"/>
        <w:jc w:val="both"/>
      </w:pPr>
      <w:r>
        <w:rPr>
          <w:rFonts w:ascii="Times New Roman" w:hAnsi="Times New Roman"/>
          <w:b w:val="0"/>
          <w:i w:val="0"/>
          <w:color w:val="282828"/>
          <w:sz w:val="22"/>
        </w:rPr>
        <w:t>1. A reproducible batch data engineering pipeline that ingests multi-grain collision, road network, traffic volume, and meteorological data, conforms spatial geometries, encodes official DfT injury severity weights, and computes exposure-adjusted risk indices.</w:t>
      </w:r>
    </w:p>
    <w:p>
      <w:pPr>
        <w:spacing w:after="120" w:before="0" w:line="276" w:lineRule="auto"/>
        <w:jc w:val="both"/>
      </w:pPr>
      <w:r>
        <w:rPr>
          <w:rFonts w:ascii="Times New Roman" w:hAnsi="Times New Roman"/>
          <w:b w:val="0"/>
          <w:i w:val="0"/>
          <w:color w:val="282828"/>
          <w:sz w:val="22"/>
        </w:rPr>
        <w:t>2. A Four-Quadrant Strategic Roadway Classification Matrix that partitions road segments into operational safety typologies (Severe Congested, Deadly Traps, Safe Segments, and Fender-Benders) to guide municipal decision-making.</w:t>
      </w:r>
    </w:p>
    <w:p>
      <w:pPr>
        <w:spacing w:after="120" w:before="0" w:line="276" w:lineRule="auto"/>
        <w:jc w:val="both"/>
      </w:pPr>
      <w:r>
        <w:rPr>
          <w:rFonts w:ascii="Times New Roman" w:hAnsi="Times New Roman"/>
          <w:b w:val="0"/>
          <w:i w:val="0"/>
          <w:color w:val="282828"/>
          <w:sz w:val="22"/>
        </w:rPr>
        <w:t>3. An empirical investigation of temporal and circadian risk dynamics, proving how nocturnal physiological fatigue, speed escalation, and darkness amplify fatality rates even as gross traffic drops to minimal levels.</w:t>
      </w:r>
    </w:p>
    <w:p>
      <w:pPr>
        <w:spacing w:after="120" w:before="0" w:line="276" w:lineRule="auto"/>
        <w:jc w:val="both"/>
      </w:pPr>
      <w:r>
        <w:rPr>
          <w:rFonts w:ascii="Times New Roman" w:hAnsi="Times New Roman"/>
          <w:b w:val="0"/>
          <w:i w:val="0"/>
          <w:color w:val="282828"/>
          <w:sz w:val="22"/>
        </w:rPr>
        <w:t>4. Multi-hazard environmental and modal vulnerability assessments, quantifying the compound risks of adverse precipitation, unlit roads, and vulnerable road user (VRU) physical fragility across posted speed tiers.</w:t>
      </w:r>
    </w:p>
    <w:p>
      <w:pPr>
        <w:spacing w:after="120" w:before="0" w:line="276" w:lineRule="auto"/>
        <w:jc w:val="both"/>
      </w:pPr>
      <w:r>
        <w:rPr>
          <w:rFonts w:ascii="Times New Roman" w:hAnsi="Times New Roman"/>
          <w:b w:val="0"/>
          <w:i w:val="0"/>
          <w:color w:val="282828"/>
          <w:sz w:val="22"/>
        </w:rPr>
        <w:t>5. A high-performance columnar OLAP aggregation architecture (DuckDB + Parquet) coupled with a Random Forest machine learning classifier to deliver an interactive 'what-if' policy simulation sandbox for roadway safety engineers.</w:t>
      </w:r>
    </w:p>
    <w:p>
      <w:pPr>
        <w:spacing w:after="120" w:before="0" w:line="276" w:lineRule="auto"/>
        <w:jc w:val="both"/>
      </w:pPr>
      <w:r>
        <w:rPr>
          <w:rFonts w:ascii="Times New Roman" w:hAnsi="Times New Roman"/>
          <w:b w:val="0"/>
          <w:i w:val="0"/>
          <w:color w:val="282828"/>
          <w:sz w:val="22"/>
        </w:rPr>
        <w:t>6. A cross-geographic transferability benchmark evaluating the framework under extreme mixed-traffic heterogeneity (55%+ two-wheeler modal share) on arterial highway corridors in Bengaluru, India.</w:t>
      </w:r>
    </w:p>
    <w:p>
      <w:pPr>
        <w:spacing w:after="120" w:before="0" w:line="276" w:lineRule="auto"/>
        <w:jc w:val="both"/>
      </w:pPr>
      <w:r>
        <w:rPr>
          <w:rFonts w:ascii="Times New Roman" w:hAnsi="Times New Roman"/>
          <w:b w:val="0"/>
          <w:i w:val="0"/>
          <w:color w:val="282828"/>
          <w:sz w:val="24"/>
        </w:rPr>
        <w:t>The remainder of this report is organized as follows: Section 2 conducts a comprehensive literature review of highway safety modeling, exposure normalization, and visual analytics. Section 3 formalizes the core Research Questions (RQs). Section 4 outlines the pipeline architecture, mathematical formulations, and engineering design. Section 5 presents detailed empirical results and analytical discussion across 22 publication-grade figures and 22 structured data tables. Section 6 concludes with actionable policy recommendations and future research directions.</w:t>
      </w:r>
    </w:p>
    <w:p>
      <w:pPr>
        <w:keepNext/>
        <w:spacing w:before="320" w:after="120"/>
        <w:jc w:val="left"/>
      </w:pPr>
      <w:r>
        <w:rPr>
          <w:rFonts w:ascii="Times New Roman" w:hAnsi="Times New Roman"/>
          <w:b/>
          <w:color w:val="1F4E79"/>
          <w:sz w:val="28"/>
        </w:rPr>
        <w:t>2. LITERATURE REVIEW</w:t>
      </w:r>
    </w:p>
    <w:p>
      <w:pPr>
        <w:keepNext/>
        <w:spacing w:before="240" w:after="80"/>
        <w:jc w:val="left"/>
      </w:pPr>
      <w:r>
        <w:rPr>
          <w:rFonts w:ascii="Times New Roman" w:hAnsi="Times New Roman"/>
          <w:b/>
          <w:color w:val="2E74B5"/>
          <w:sz w:val="25"/>
        </w:rPr>
        <w:t>2.1 Classical Crash Frequency &amp; Hotspot Identification Models</w:t>
      </w:r>
    </w:p>
    <w:p>
      <w:pPr>
        <w:spacing w:after="120" w:before="0" w:line="276" w:lineRule="auto"/>
        <w:jc w:val="both"/>
      </w:pPr>
      <w:r>
        <w:rPr>
          <w:rFonts w:ascii="Times New Roman" w:hAnsi="Times New Roman"/>
          <w:b w:val="0"/>
          <w:i w:val="0"/>
          <w:color w:val="282828"/>
          <w:sz w:val="24"/>
        </w:rPr>
        <w:t>The identification of hazardous roadway locations—conventionally termed 'hotspots', 'blackspots', or 'sites with promise'—has historically been formulated as an extreme-value statistical counting problem. Early transportation safety researchers (e.g., McGuigan, 1982; Hauer, 1996) utilized simple historical crash count rankings ($N$). However, raw count models are severely corrupted by the phenomenon of Regression-to-the-Mean (RTM)—the statistical reality that sites experiencing an unusually high number of crashes in a given short interval naturally regress toward their long-term mean in subsequent periods, irrespective of whether an engineering countermeasure was deployed.</w:t>
      </w:r>
    </w:p>
    <w:p>
      <w:pPr>
        <w:spacing w:after="120" w:before="0" w:line="276" w:lineRule="auto"/>
        <w:jc w:val="both"/>
      </w:pPr>
      <w:r>
        <w:rPr>
          <w:rFonts w:ascii="Times New Roman" w:hAnsi="Times New Roman"/>
          <w:b w:val="0"/>
          <w:i w:val="0"/>
          <w:color w:val="282828"/>
          <w:sz w:val="24"/>
        </w:rPr>
        <w:t>To mitigate RTM, classical highway safety engineering adopted generalized linear models (GLMs), predominantly Poisson regression and Negative Binomial (Poisson-gamma) models, to account for overdispersion in discrete crash count data (Lord &amp; Mannering, 2010). The Empirical Bayes (EB) method, formalized extensively in the AASHTO Highway Safety Manual (HSM, 2010), combines observed collision history with model-predicted baseline frequencies from Safety Performance Functions (SPFs) to estimate expected long-term crash frequencies. While EB represents a substantial statistical advance over raw counts, contemporary transportation scholars (Elvik, 2008; Geurts &amp; Wets, 2003) emphasize that standard SPFs remain fundamentally frequency-centric. By optimizing almost exclusively for total incident count reduction rather than human injury severity reduction, classical methods perpetuate an implicit bias toward heavily trafficked urban facilities where property-damage-only incidents dominate.</w:t>
      </w:r>
    </w:p>
    <w:p>
      <w:pPr>
        <w:keepNext/>
        <w:spacing w:before="240" w:after="80"/>
        <w:jc w:val="left"/>
      </w:pPr>
      <w:r>
        <w:rPr>
          <w:rFonts w:ascii="Times New Roman" w:hAnsi="Times New Roman"/>
          <w:b/>
          <w:color w:val="2E74B5"/>
          <w:sz w:val="25"/>
        </w:rPr>
        <w:t>2.2 Exposure-Based Normalization &amp; Economic Injury Cost Weighting</w:t>
      </w:r>
    </w:p>
    <w:p>
      <w:pPr>
        <w:spacing w:after="120" w:before="0" w:line="276" w:lineRule="auto"/>
        <w:jc w:val="both"/>
      </w:pPr>
      <w:r>
        <w:rPr>
          <w:rFonts w:ascii="Times New Roman" w:hAnsi="Times New Roman"/>
          <w:b w:val="0"/>
          <w:i w:val="0"/>
          <w:color w:val="282828"/>
          <w:sz w:val="24"/>
        </w:rPr>
        <w:t xml:space="preserve">To establish equitable risk comparisons across roads of differing operational scales, exposure normalization is essential. In highway safety epidemiology, exposure represents the measure of opportunity for a crash to occur (Chapman, 1973). The universally recognized gold standard for roadway exposure is Annual Vehicle-Kilometers Traveled (VKT) or Million Vehicle-Kilometers (MVKM), calculated as the product of Annual Average Daily Traffic (AADT), segment length ($L$), and operational days per year ($365$). Normalizing crashes by MVKM yields a crash rate ($R = N / </w:t>
        <w:tab/>
        <w:t>ext{MVKM}$).</w:t>
      </w:r>
    </w:p>
    <w:p>
      <w:pPr>
        <w:spacing w:after="120" w:before="0" w:line="276" w:lineRule="auto"/>
        <w:jc w:val="both"/>
      </w:pPr>
      <w:r>
        <w:rPr>
          <w:rFonts w:ascii="Times New Roman" w:hAnsi="Times New Roman"/>
          <w:b w:val="0"/>
          <w:i w:val="0"/>
          <w:color w:val="282828"/>
          <w:sz w:val="24"/>
        </w:rPr>
        <w:t>Crucially, treating all crash events as homogeneous occurrences in crash rate calculations introduces severe economic distortion. A single fatal collision imposes staggering socio-economic losses—including loss of human life, productive years, extensive police investigations, and hospital intensive care—orders of magnitude greater than a minor bumper tap. Consequently, transportation economists and government agencies have developed comprehensive economic injury valuations. The UK Department for Transport (DfT, 2021) in its annual 'Reported Road Casualties Great Britain' assigns explicit economic cost ratios to human injury severities: an average fatal collision incurs an economic cost of approximately £2.1 million, a serious injury collision incurs roughly £240,000, and a slight injury collision incurs £25,000. These values establish an empirical economic weighting ratio of approximately 50 : 10 : 1 (or 84 : 9.6 : 1 in unrounded valuations). The Indian Road Congress (IRC:SP:88-2019) similarly recommends equivalent severity weighting matrices for national highway safety audits, corroborating the necessity of weighting crash frequencies by empirical severity cost.</w:t>
      </w:r>
    </w:p>
    <w:p>
      <w:pPr>
        <w:keepNext/>
        <w:spacing w:before="240" w:after="80"/>
        <w:jc w:val="left"/>
      </w:pPr>
      <w:r>
        <w:rPr>
          <w:rFonts w:ascii="Times New Roman" w:hAnsi="Times New Roman"/>
          <w:b/>
          <w:color w:val="2E74B5"/>
          <w:sz w:val="25"/>
        </w:rPr>
        <w:t>2.3 Environmental, Circadian, and Roadway Hostility Factors</w:t>
      </w:r>
    </w:p>
    <w:p>
      <w:pPr>
        <w:spacing w:after="120" w:before="0" w:line="276" w:lineRule="auto"/>
        <w:jc w:val="both"/>
      </w:pPr>
      <w:r>
        <w:rPr>
          <w:rFonts w:ascii="Times New Roman" w:hAnsi="Times New Roman"/>
          <w:b w:val="0"/>
          <w:i w:val="0"/>
          <w:color w:val="282828"/>
          <w:sz w:val="24"/>
        </w:rPr>
        <w:t>Crash occurrence and severity are governed by dynamic interactions between human physiological factors, vehicular dynamics, and ambient physical environments (Evans, 2004). Chronobiological research (Akerstedt, 2000; Horne &amp; Reyner, 1995) demonstrates that human alertness and cognitive reaction times follow a profound 24-hour circadian cycle, with severe psychomotor troughs occurring between 02:00 and 06:00 (the post-midnight circadian window). While gross traffic volumes drop precipitously during nocturnal hours, drivers who operate vehicles during this period frequently suffer from acute sleep deprivation, fatigue-induced microsleeps, or alcohol and substance impairment. Furthermore, the absence of congestion enables substantially higher cruising speeds, drastically amplifying kinetic impact forces ($E_k = rac{1}{2}mv^2$) in the event of an impact.</w:t>
      </w:r>
    </w:p>
    <w:p>
      <w:pPr>
        <w:spacing w:after="120" w:before="0" w:line="276" w:lineRule="auto"/>
        <w:jc w:val="both"/>
      </w:pPr>
      <w:r>
        <w:rPr>
          <w:rFonts w:ascii="Times New Roman" w:hAnsi="Times New Roman"/>
          <w:b w:val="0"/>
          <w:i w:val="0"/>
          <w:color w:val="282828"/>
          <w:sz w:val="24"/>
        </w:rPr>
        <w:t>Meteorological and lighting hostility factors compound these kinetic risks. Atmospheric precipitation (rain, snowfall, freezing fog) induces hydroplaning and significantly degrades the skid resistance and friction coefficient ($\mu$) of the asphalt surface (Wallman &amp; Astrom, 2001). Under dark unlit conditions, driver perception-reaction distance exceeds vehicular headlight illumination boundaries, particularly on rural single-carriageway corridors where physical median barriers and street lighting are absent. Despite these well-documented physical realities, few analytical platforms systematically fuse real-time meteorological observation feeds with crash records at segment granularity.</w:t>
      </w:r>
    </w:p>
    <w:p>
      <w:pPr>
        <w:keepNext/>
        <w:spacing w:before="240" w:after="80"/>
        <w:jc w:val="left"/>
      </w:pPr>
      <w:r>
        <w:rPr>
          <w:rFonts w:ascii="Times New Roman" w:hAnsi="Times New Roman"/>
          <w:b/>
          <w:color w:val="2E74B5"/>
          <w:sz w:val="25"/>
        </w:rPr>
        <w:t>2.4 Vulnerable Road User (VRU) Dynamics &amp; Mixed-Traffic Heterogeneity</w:t>
      </w:r>
    </w:p>
    <w:p>
      <w:pPr>
        <w:spacing w:after="120" w:before="0" w:line="276" w:lineRule="auto"/>
        <w:jc w:val="both"/>
      </w:pPr>
      <w:r>
        <w:rPr>
          <w:rFonts w:ascii="Times New Roman" w:hAnsi="Times New Roman"/>
          <w:b w:val="0"/>
          <w:i w:val="0"/>
          <w:color w:val="282828"/>
          <w:sz w:val="24"/>
        </w:rPr>
        <w:t>Vulnerable Road Users (VRUs)—specifically pedestrians, pedal cyclists, and motorized two-wheeler riders—lack the protective structural steel cage, crumple zones, seatbelt pre-tensioners, and airbags of passenger cars. As demonstrated by Rosén et al. (2011) and Wramborg (2005), the probability of fatal injury for an unprotected pedestrian struck by a motor vehicle escalates non-linearly with impact speed: pedestrian fatality risk is below 10% at an impact speed of 30 km/h (18.6 mph), rises steeply to approximately 30% at 40 km/h (25 mph), exceeds 50% at 50 km/h (31 mph), and approaches near certainty (&gt;85%) at speeds exceeding 70 km/h (43.5 mph).</w:t>
      </w:r>
    </w:p>
    <w:p>
      <w:pPr>
        <w:spacing w:after="120" w:before="0" w:line="276" w:lineRule="auto"/>
        <w:jc w:val="both"/>
      </w:pPr>
      <w:r>
        <w:rPr>
          <w:rFonts w:ascii="Times New Roman" w:hAnsi="Times New Roman"/>
          <w:b w:val="0"/>
          <w:i w:val="0"/>
          <w:color w:val="282828"/>
          <w:sz w:val="24"/>
        </w:rPr>
        <w:t>In emerging market urban environments, this vulnerability is vastly amplified by mixed-traffic heterogeneity. In cities like Bengaluru, Mumbai, and New Delhi, motorized two-wheelers (scooters, motorcycles) comprise 50% to 70% of total modal share (Tiwari, 2002; Mohan, 2009). These two-wheelers share the exact same unsegregated carriageway space with heavy commercial trucks, intercity buses, and passenger cars under volatile speed differentials and absence of lane discipline. As a result, standard Western highway safety guidelines that assume predominantly homogeneous four-wheeled passenger car traffic severely under-predict crash severity in emerging markets.</w:t>
      </w:r>
    </w:p>
    <w:p>
      <w:pPr>
        <w:keepNext/>
        <w:spacing w:before="240" w:after="80"/>
        <w:jc w:val="left"/>
      </w:pPr>
      <w:r>
        <w:rPr>
          <w:rFonts w:ascii="Times New Roman" w:hAnsi="Times New Roman"/>
          <w:b/>
          <w:color w:val="2E74B5"/>
          <w:sz w:val="25"/>
        </w:rPr>
        <w:t>2.5 Visual Analytics and Columnar OLAP Architectures in Safety Engineering</w:t>
      </w:r>
    </w:p>
    <w:p>
      <w:pPr>
        <w:spacing w:after="120" w:before="0" w:line="276" w:lineRule="auto"/>
        <w:jc w:val="both"/>
      </w:pPr>
      <w:r>
        <w:rPr>
          <w:rFonts w:ascii="Times New Roman" w:hAnsi="Times New Roman"/>
          <w:b w:val="0"/>
          <w:i w:val="0"/>
          <w:color w:val="282828"/>
          <w:sz w:val="24"/>
        </w:rPr>
        <w:t>While statistical modeling provides theoretical rigor, municipal highway safety engineers require interactive, visual tools to explore high-dimensional data, evaluate trade-offs, and communicate findings to political stakeholders (Thomas &amp; Cook, 2005). Historically, transportation Geographic Information Systems (GIS) software (e.g., Esri ArcGIS, QGIS) has been constrained by slow rendering speeds, cumbersome row-oriented relational database backends, and lack of real-time multi-dimensional slicing capabilities.</w:t>
      </w:r>
    </w:p>
    <w:p>
      <w:pPr>
        <w:spacing w:after="120" w:before="0" w:line="276" w:lineRule="auto"/>
        <w:jc w:val="both"/>
      </w:pPr>
      <w:r>
        <w:rPr>
          <w:rFonts w:ascii="Times New Roman" w:hAnsi="Times New Roman"/>
          <w:b w:val="0"/>
          <w:i w:val="0"/>
          <w:color w:val="282828"/>
          <w:sz w:val="24"/>
        </w:rPr>
        <w:t>Recent breakthroughs in modern data architecture have transformed this landscape. Embedded columnar Online Analytical Processing (OLAP) database engines—exemplified by DuckDB (Raasveldt &amp; Mühleisen, 2019)—execute vectorized queries across multi-million row Parquet datasets in milliseconds directly within process memory, bypassing traditional relational database overhead. When integrated with web-based GPU-accelerated spatial rendering libraries (such as PyDeck and Mapbox GL) and reactive dashboard frameworks (such as Streamlit), safety analysts can perform sub-second interactive slicing across multi-dimensional cubes (temporal heatmaps, environmental cross-tabulations, and 3D geospatial overlays) without requiring dedicated database server clusters.</w:t>
      </w:r>
    </w:p>
    <w:p>
      <w:pPr>
        <w:keepNext/>
        <w:spacing w:before="240" w:after="80"/>
        <w:jc w:val="left"/>
      </w:pPr>
      <w:r>
        <w:rPr>
          <w:rFonts w:ascii="Times New Roman" w:hAnsi="Times New Roman"/>
          <w:b/>
          <w:color w:val="2E74B5"/>
          <w:sz w:val="25"/>
        </w:rPr>
        <w:t>2.6 Critical Literature Gaps and Conceptual Departure</w:t>
      </w:r>
    </w:p>
    <w:p>
      <w:pPr>
        <w:spacing w:after="120" w:before="0" w:line="276" w:lineRule="auto"/>
        <w:jc w:val="both"/>
      </w:pPr>
      <w:r>
        <w:rPr>
          <w:rFonts w:ascii="Times New Roman" w:hAnsi="Times New Roman"/>
          <w:b w:val="0"/>
          <w:i w:val="0"/>
          <w:color w:val="282828"/>
          <w:sz w:val="24"/>
        </w:rPr>
        <w:t>A rigorous synthesis of existing literature identifies three fundamental research gaps:</w:t>
      </w:r>
    </w:p>
    <w:p>
      <w:pPr>
        <w:spacing w:after="120" w:before="0" w:line="276" w:lineRule="auto"/>
        <w:jc w:val="both"/>
      </w:pPr>
      <w:r>
        <w:rPr>
          <w:rFonts w:ascii="Times New Roman" w:hAnsi="Times New Roman"/>
          <w:b w:val="0"/>
          <w:i w:val="0"/>
          <w:color w:val="282828"/>
          <w:sz w:val="22"/>
        </w:rPr>
        <w:t>1. Methodological Decoupling: Most existing research either evaluates raw crash counts using advanced spatial statistics OR computes aggregate macroscopic crash rates at the provincial/state level. There is a marked absence of segment-grain frameworks that simultaneously integrate microscopic vehicle exposure, economic injury weighting, and statistical suppression thresholds.</w:t>
      </w:r>
    </w:p>
    <w:p>
      <w:pPr>
        <w:spacing w:after="120" w:before="0" w:line="276" w:lineRule="auto"/>
        <w:jc w:val="both"/>
      </w:pPr>
      <w:r>
        <w:rPr>
          <w:rFonts w:ascii="Times New Roman" w:hAnsi="Times New Roman"/>
          <w:b w:val="0"/>
          <w:i w:val="0"/>
          <w:color w:val="282828"/>
          <w:sz w:val="22"/>
        </w:rPr>
        <w:t>2. Failure to Operationalize the Inversion: While academic papers occasionally acknowledge that low-volume roads have high crash rates, there is no standardized operational decision matrix (such as our proposed 4-Quadrant Matrix) that translates this mathematical reality into actionable engineering countermeasure budgets.</w:t>
      </w:r>
    </w:p>
    <w:p>
      <w:pPr>
        <w:spacing w:after="120" w:before="0" w:line="276" w:lineRule="auto"/>
        <w:jc w:val="both"/>
      </w:pPr>
      <w:r>
        <w:rPr>
          <w:rFonts w:ascii="Times New Roman" w:hAnsi="Times New Roman"/>
          <w:b w:val="0"/>
          <w:i w:val="0"/>
          <w:color w:val="282828"/>
          <w:sz w:val="22"/>
        </w:rPr>
        <w:t>3. Cross-Geographic Transferability Deficit: Safety models developed for homogenous Western highway traffic are rarely tested for algorithmic transferability against the volatile, high-vulnerability mixed-traffic conditions of developing world urban corridors.</w:t>
      </w: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LITERATURE GAP &amp; CONTRIBUTION: </w:t>
            </w:r>
            <w:r>
              <w:rPr>
                <w:rFonts w:ascii="Times New Roman" w:hAnsi="Times New Roman"/>
                <w:i/>
                <w:color w:val="282828"/>
                <w:sz w:val="19"/>
              </w:rPr>
              <w:t>Research Need: An end-to-end, reproducible visual analytics system that unifies multi-source data ingestion, exposure normalization, economic injury weighting, columnar OLAP aggregation, machine learning attribution, and mixed-traffic transferability into a single cohesive platform.</w:t>
            </w:r>
          </w:p>
        </w:tc>
      </w:tr>
    </w:tbl>
    <w:p>
      <w:pPr>
        <w:spacing w:before="0" w:after="80"/>
      </w:pPr>
    </w:p>
    <w:p>
      <w:pPr>
        <w:keepNext/>
        <w:spacing w:before="320" w:after="120"/>
        <w:jc w:val="left"/>
      </w:pPr>
      <w:r>
        <w:rPr>
          <w:rFonts w:ascii="Times New Roman" w:hAnsi="Times New Roman"/>
          <w:b/>
          <w:color w:val="1F4E79"/>
          <w:sz w:val="28"/>
        </w:rPr>
        <w:t>3. RESEARCH QUESTIONS</w:t>
      </w:r>
    </w:p>
    <w:p>
      <w:pPr>
        <w:spacing w:after="120" w:before="0" w:line="276" w:lineRule="auto"/>
        <w:jc w:val="both"/>
      </w:pPr>
      <w:r>
        <w:rPr>
          <w:rFonts w:ascii="Times New Roman" w:hAnsi="Times New Roman"/>
          <w:b w:val="0"/>
          <w:i w:val="0"/>
          <w:color w:val="282828"/>
          <w:sz w:val="24"/>
        </w:rPr>
        <w:t>To rigorously investigate the severity-frequency paradox and validate the exposure-adjusted visual analytics framework, this technical report addresses five primary Research Questions (RQs):</w:t>
      </w:r>
    </w:p>
    <w:p>
      <w:pPr>
        <w:keepNext/>
        <w:spacing w:before="240" w:after="80"/>
        <w:jc w:val="left"/>
      </w:pPr>
      <w:r>
        <w:rPr>
          <w:rFonts w:ascii="Times New Roman" w:hAnsi="Times New Roman"/>
          <w:b/>
          <w:color w:val="2E74B5"/>
          <w:sz w:val="25"/>
        </w:rPr>
        <w:t>RQ 1: Circadian and Temporal Dynamics (WHEN?)</w:t>
      </w:r>
    </w:p>
    <w:p>
      <w:pPr>
        <w:spacing w:after="120" w:before="0" w:line="276" w:lineRule="auto"/>
        <w:jc w:val="both"/>
      </w:pPr>
      <w:r>
        <w:rPr>
          <w:rFonts w:ascii="Times New Roman" w:hAnsi="Times New Roman"/>
          <w:b w:val="0"/>
          <w:i w:val="0"/>
          <w:color w:val="282828"/>
          <w:sz w:val="24"/>
        </w:rPr>
        <w:t>How do 24-hour circadian cycles and weekly temporal dynamics invert the proportion of fatal versus minor traffic collisions, and to what extent does nocturnal volume reduction mask disproportionately catastrophic human trauma during post-midnight operating hours?</w:t>
      </w:r>
    </w:p>
    <w:p>
      <w:pPr>
        <w:keepNext/>
        <w:spacing w:before="240" w:after="80"/>
        <w:jc w:val="left"/>
      </w:pPr>
      <w:r>
        <w:rPr>
          <w:rFonts w:ascii="Times New Roman" w:hAnsi="Times New Roman"/>
          <w:b/>
          <w:color w:val="2E74B5"/>
          <w:sz w:val="25"/>
        </w:rPr>
        <w:t>RQ 2: Spatial Exposure Risk Divergence and Priority Inversion (WHERE?)</w:t>
      </w:r>
    </w:p>
    <w:p>
      <w:pPr>
        <w:spacing w:after="120" w:before="0" w:line="276" w:lineRule="auto"/>
        <w:jc w:val="both"/>
      </w:pPr>
      <w:r>
        <w:rPr>
          <w:rFonts w:ascii="Times New Roman" w:hAnsi="Times New Roman"/>
          <w:b w:val="0"/>
          <w:i w:val="0"/>
          <w:color w:val="282828"/>
          <w:sz w:val="24"/>
        </w:rPr>
        <w:t>To what extent does normalizing incident frequency by Million Vehicle-Kilometers (MVKM) invert network safety rankings relative to conventional raw crash counts, and how can road segments be strategically partitioned into operational quadrants (Severe Congested, Deadly Traps, Safe Roads, and Fender-Benders) to eliminate misallocation of public safety capital?</w:t>
      </w:r>
    </w:p>
    <w:p>
      <w:pPr>
        <w:keepNext/>
        <w:spacing w:before="240" w:after="80"/>
        <w:jc w:val="left"/>
      </w:pPr>
      <w:r>
        <w:rPr>
          <w:rFonts w:ascii="Times New Roman" w:hAnsi="Times New Roman"/>
          <w:b/>
          <w:color w:val="2E74B5"/>
          <w:sz w:val="25"/>
        </w:rPr>
        <w:t>RQ 3: Multi-Hazard Environmental Amplification (UNDER WHAT CONDITIONS?)</w:t>
      </w:r>
    </w:p>
    <w:p>
      <w:pPr>
        <w:spacing w:after="120" w:before="0" w:line="276" w:lineRule="auto"/>
        <w:jc w:val="both"/>
      </w:pPr>
      <w:r>
        <w:rPr>
          <w:rFonts w:ascii="Times New Roman" w:hAnsi="Times New Roman"/>
          <w:b w:val="0"/>
          <w:i w:val="0"/>
          <w:color w:val="282828"/>
          <w:sz w:val="24"/>
        </w:rPr>
        <w:t>What are the empirical interaction effects between adverse meteorological precipitation, roadway surface friction degradation, and unlit ambient darkness on collision severity weights, and how does environmental hostility amplify fatal crash probabilities?</w:t>
      </w:r>
    </w:p>
    <w:p>
      <w:pPr>
        <w:keepNext/>
        <w:spacing w:before="240" w:after="80"/>
        <w:jc w:val="left"/>
      </w:pPr>
      <w:r>
        <w:rPr>
          <w:rFonts w:ascii="Times New Roman" w:hAnsi="Times New Roman"/>
          <w:b/>
          <w:color w:val="2E74B5"/>
          <w:sz w:val="25"/>
        </w:rPr>
        <w:t>RQ 4: Modal Vulnerability &amp; Mixed-Traffic Transferability (WHO &amp; WHERE ELSE?)</w:t>
      </w:r>
    </w:p>
    <w:p>
      <w:pPr>
        <w:spacing w:after="120" w:before="0" w:line="276" w:lineRule="auto"/>
        <w:jc w:val="both"/>
      </w:pPr>
      <w:r>
        <w:rPr>
          <w:rFonts w:ascii="Times New Roman" w:hAnsi="Times New Roman"/>
          <w:b w:val="0"/>
          <w:i w:val="0"/>
          <w:color w:val="282828"/>
          <w:sz w:val="24"/>
        </w:rPr>
        <w:t>How does physical vehicle vulnerability escalate fatal crash risk for Vulnerable Road Users (VRUs) across posted speed regimes, and how effectively does the exposure-adjusted risk framework transfer to emerging market urban corridors characterized by 55%+ two-wheeler modal share (e.g., Bengaluru, India)?</w:t>
      </w:r>
    </w:p>
    <w:p>
      <w:pPr>
        <w:keepNext/>
        <w:spacing w:before="240" w:after="80"/>
        <w:jc w:val="left"/>
      </w:pPr>
      <w:r>
        <w:rPr>
          <w:rFonts w:ascii="Times New Roman" w:hAnsi="Times New Roman"/>
          <w:b/>
          <w:color w:val="2E74B5"/>
          <w:sz w:val="25"/>
        </w:rPr>
        <w:t>RQ 5: Predictive Severity Attribution &amp; Engineering Simulation (WHY &amp; WHAT IF?)</w:t>
      </w:r>
    </w:p>
    <w:p>
      <w:pPr>
        <w:spacing w:after="120" w:before="0" w:line="276" w:lineRule="auto"/>
        <w:jc w:val="both"/>
      </w:pPr>
      <w:r>
        <w:rPr>
          <w:rFonts w:ascii="Times New Roman" w:hAnsi="Times New Roman"/>
          <w:b w:val="0"/>
          <w:i w:val="0"/>
          <w:color w:val="282828"/>
          <w:sz w:val="24"/>
        </w:rPr>
        <w:t>Can ensemble machine learning architectures (Random Forest Hotspot Severity Classifiers) isolate the most decisive roadway and environmental features governing crash severity, and can these feature weights power an interactive 'what-if' policy simulation sandbox to quantify projected casualty reductions from targeted engineering countermeasures?</w:t>
      </w:r>
    </w:p>
    <w:p>
      <w:pPr>
        <w:keepNext/>
        <w:spacing w:before="320" w:after="120"/>
        <w:jc w:val="left"/>
      </w:pPr>
      <w:r>
        <w:rPr>
          <w:rFonts w:ascii="Times New Roman" w:hAnsi="Times New Roman"/>
          <w:b/>
          <w:color w:val="1F4E79"/>
          <w:sz w:val="28"/>
        </w:rPr>
        <w:t>4. METHODOLOGY &amp; SYSTEM ARCHITECTURE</w:t>
      </w:r>
    </w:p>
    <w:p>
      <w:pPr>
        <w:keepNext/>
        <w:spacing w:before="240" w:after="80"/>
        <w:jc w:val="left"/>
      </w:pPr>
      <w:r>
        <w:rPr>
          <w:rFonts w:ascii="Times New Roman" w:hAnsi="Times New Roman"/>
          <w:b/>
          <w:color w:val="2E74B5"/>
          <w:sz w:val="25"/>
        </w:rPr>
        <w:t>4.1 Reproducible End-to-End Pipeline Architecture</w:t>
      </w:r>
    </w:p>
    <w:p>
      <w:pPr>
        <w:spacing w:after="120" w:before="0" w:line="276" w:lineRule="auto"/>
        <w:jc w:val="both"/>
      </w:pPr>
      <w:r>
        <w:rPr>
          <w:rFonts w:ascii="Times New Roman" w:hAnsi="Times New Roman"/>
          <w:b w:val="0"/>
          <w:i w:val="0"/>
          <w:color w:val="282828"/>
          <w:sz w:val="24"/>
        </w:rPr>
        <w:t>The system architecture is engineered as a reproducible, multi-stage batch data pipeline that processes multi-grain external feeds, executes econometric feature transformations, and compiles optimized columnar OLAP cubes for interactive browser analytics. The pipeline executes sequentially across six distinct stages:</w:t>
      </w:r>
    </w:p>
    <w:p>
      <w:pPr>
        <w:spacing w:after="120" w:before="0" w:line="276" w:lineRule="auto"/>
        <w:jc w:val="both"/>
      </w:pPr>
      <w:r>
        <w:rPr>
          <w:rFonts w:ascii="Times New Roman" w:hAnsi="Times New Roman"/>
          <w:b w:val="0"/>
          <w:i w:val="0"/>
          <w:color w:val="282828"/>
          <w:sz w:val="22"/>
        </w:rPr>
        <w:t>• Stage 1 (Ingest): Ingests multi-grain data feeds comprising 22,000 UK STATS19 collision records, OpenStreetMap (OSM) roadway segments, Annual Average Daily Traffic (AADT) sensor counts, and Open-Meteo hourly weather observations. Persists immutable raw Parquet tables and initializes the DuckDB analytics warehouse.</w:t>
      </w:r>
    </w:p>
    <w:p>
      <w:pPr>
        <w:spacing w:after="120" w:before="0" w:line="276" w:lineRule="auto"/>
        <w:jc w:val="both"/>
      </w:pPr>
      <w:r>
        <w:rPr>
          <w:rFonts w:ascii="Times New Roman" w:hAnsi="Times New Roman"/>
          <w:b w:val="0"/>
          <w:i w:val="0"/>
          <w:color w:val="282828"/>
          <w:sz w:val="22"/>
        </w:rPr>
        <w:t>• Stage 2 (Preprocess): Validates geocodes, checks coordinate bounding envelopes, flags imputed missing attributes, and derives temporal cyclical features (24-hour circadian phases, day-of-week indexes, seasonality).</w:t>
      </w:r>
    </w:p>
    <w:p>
      <w:pPr>
        <w:spacing w:after="120" w:before="0" w:line="276" w:lineRule="auto"/>
        <w:jc w:val="both"/>
      </w:pPr>
      <w:r>
        <w:rPr>
          <w:rFonts w:ascii="Times New Roman" w:hAnsi="Times New Roman"/>
          <w:b w:val="0"/>
          <w:i w:val="0"/>
          <w:color w:val="282828"/>
          <w:sz w:val="22"/>
        </w:rPr>
        <w:t>• Stage 3 (Feature Engineering): Encodes published DfT injury severity weights (Fatal = 50, Serious = 10, Slight = 1), categorizes environmental hostility indices, and conforms segment attributes (speed limits, lane configurations, road hierarchy classes).</w:t>
      </w:r>
    </w:p>
    <w:p>
      <w:pPr>
        <w:spacing w:after="120" w:before="0" w:line="276" w:lineRule="auto"/>
        <w:jc w:val="both"/>
      </w:pPr>
      <w:r>
        <w:rPr>
          <w:rFonts w:ascii="Times New Roman" w:hAnsi="Times New Roman"/>
          <w:b w:val="0"/>
          <w:i w:val="0"/>
          <w:color w:val="282828"/>
          <w:sz w:val="22"/>
        </w:rPr>
        <w:t>• Stage 4 (Exposure &amp; Risk Modeling): Shifts analytical grain from individual Crash-Grain to cohesive Road-Segment Grain. Computes annual vehicle exposure in Million Vehicle-Kilometers (MVKM), derives the Exposure-Adjusted Risk Index ($R$), applies statistical suppression floor thresholds, and classifies segments into 4 strategic quadrants.</w:t>
      </w:r>
    </w:p>
    <w:p>
      <w:pPr>
        <w:spacing w:after="120" w:before="0" w:line="276" w:lineRule="auto"/>
        <w:jc w:val="both"/>
      </w:pPr>
      <w:r>
        <w:rPr>
          <w:rFonts w:ascii="Times New Roman" w:hAnsi="Times New Roman"/>
          <w:b w:val="0"/>
          <w:i w:val="0"/>
          <w:color w:val="282828"/>
          <w:sz w:val="22"/>
        </w:rPr>
        <w:t>• Stage 5 (OLAP Aggregation): Uses DuckDB's in-process columnar SQL engine to pre-aggregate multi-dimensional analytics cubes (168-cell temporal heatmaps, circadian profiles, environmental interaction matrices, and spatial GeoJSON layers). Trains an ensemble Random Forest Hotspot Severity Classifier to extract Gini feature importances.</w:t>
      </w:r>
    </w:p>
    <w:p>
      <w:pPr>
        <w:spacing w:after="120" w:before="0" w:line="276" w:lineRule="auto"/>
        <w:jc w:val="both"/>
      </w:pPr>
      <w:r>
        <w:rPr>
          <w:rFonts w:ascii="Times New Roman" w:hAnsi="Times New Roman"/>
          <w:b w:val="0"/>
          <w:i w:val="0"/>
          <w:color w:val="282828"/>
          <w:sz w:val="22"/>
        </w:rPr>
        <w:t>• Stage 6 (Interactive Visual Analytics): Deploys an interactive Streamlit web dashboard with GPU-accelerated PyDeck 3D spatial mapping and Plotly visualizations, enabling highway engineers to slice datasets, evaluate benchmark cases, and run policy simulations with sub-second response times.</w:t>
      </w:r>
    </w:p>
    <w:p>
      <w:pPr>
        <w:keepNext/>
        <w:spacing w:before="240" w:after="80"/>
        <w:jc w:val="left"/>
      </w:pPr>
      <w:r>
        <w:rPr>
          <w:rFonts w:ascii="Times New Roman" w:hAnsi="Times New Roman"/>
          <w:b/>
          <w:color w:val="2E74B5"/>
          <w:sz w:val="25"/>
        </w:rPr>
        <w:t>4.2 Mathematical Formulation of Road Exposure and Severity Risk</w:t>
      </w:r>
    </w:p>
    <w:p>
      <w:pPr>
        <w:spacing w:after="120" w:before="0" w:line="276" w:lineRule="auto"/>
        <w:jc w:val="both"/>
      </w:pPr>
      <w:r>
        <w:rPr>
          <w:rFonts w:ascii="Times New Roman" w:hAnsi="Times New Roman"/>
          <w:b w:val="0"/>
          <w:i w:val="0"/>
          <w:color w:val="282828"/>
          <w:sz w:val="24"/>
        </w:rPr>
        <w:t>The mathematical foundation of the framework rests on three interrelated equations governing exposure, injury weighting, and normalized risk:</w:t>
      </w:r>
    </w:p>
    <w:p>
      <w:pPr>
        <w:keepNext/>
        <w:spacing w:before="180" w:after="60"/>
        <w:jc w:val="left"/>
      </w:pPr>
      <w:r>
        <w:rPr>
          <w:rFonts w:ascii="Times New Roman" w:hAnsi="Times New Roman"/>
          <w:b/>
          <w:color w:val="464646"/>
          <w:sz w:val="23"/>
        </w:rPr>
        <w:t>1. Annual Roadway Segment Exposure (E)</w:t>
      </w:r>
    </w:p>
    <w:p>
      <w:pPr>
        <w:spacing w:after="120" w:before="0" w:line="276" w:lineRule="auto"/>
        <w:jc w:val="both"/>
      </w:pPr>
      <w:r>
        <w:rPr>
          <w:rFonts w:ascii="Times New Roman" w:hAnsi="Times New Roman"/>
          <w:b w:val="0"/>
          <w:i w:val="0"/>
          <w:color w:val="282828"/>
          <w:sz w:val="24"/>
        </w:rPr>
        <w:t>Annual vehicular exposure represents the gross opportunity for collision interactions on a given roadway link. For road segment $j$, annual exposure $E_j$ measured in Million Vehicle-Kilometers (MVKM) is formally defined as:</w:t>
      </w:r>
    </w:p>
    <w:p>
      <w:pPr>
        <w:spacing w:after="120" w:before="0" w:line="276" w:lineRule="auto"/>
        <w:jc w:val="center"/>
      </w:pPr>
      <w:r>
        <w:rPr>
          <w:rFonts w:ascii="Times New Roman" w:hAnsi="Times New Roman"/>
          <w:b/>
          <w:i w:val="0"/>
          <w:color w:val="282828"/>
          <w:sz w:val="24"/>
        </w:rPr>
        <w:t>E_j = (AADT_j × L_j × 365) / 1,000,000</w:t>
      </w:r>
    </w:p>
    <w:p>
      <w:pPr>
        <w:spacing w:after="120" w:before="0" w:line="276" w:lineRule="auto"/>
        <w:jc w:val="both"/>
      </w:pPr>
      <w:r>
        <w:rPr>
          <w:rFonts w:ascii="Times New Roman" w:hAnsi="Times New Roman"/>
          <w:b w:val="0"/>
          <w:i w:val="0"/>
          <w:color w:val="282828"/>
          <w:sz w:val="24"/>
        </w:rPr>
        <w:t>Where AADT_j is the Annual Average Daily Traffic (vehicles per day), L_j is the segment length in kilometers, and 365 represents the annual operational expansion factor.</w:t>
      </w:r>
    </w:p>
    <w:p>
      <w:pPr>
        <w:keepNext/>
        <w:spacing w:before="180" w:after="60"/>
        <w:jc w:val="left"/>
      </w:pPr>
      <w:r>
        <w:rPr>
          <w:rFonts w:ascii="Times New Roman" w:hAnsi="Times New Roman"/>
          <w:b/>
          <w:color w:val="464646"/>
          <w:sz w:val="23"/>
        </w:rPr>
        <w:t>2. Economic Injury Severity Weight Sum (S)</w:t>
      </w:r>
    </w:p>
    <w:p>
      <w:pPr>
        <w:spacing w:after="120" w:before="0" w:line="276" w:lineRule="auto"/>
        <w:jc w:val="both"/>
      </w:pPr>
      <w:r>
        <w:rPr>
          <w:rFonts w:ascii="Times New Roman" w:hAnsi="Times New Roman"/>
          <w:b w:val="0"/>
          <w:i w:val="0"/>
          <w:color w:val="282828"/>
          <w:sz w:val="24"/>
        </w:rPr>
        <w:t>To reflect the true human and economic trauma of collisions, each crash event $i$ occurring on segment $j$ is assigned an economic weight $w_i$ based on UK Department for Transport / IRC published injury cost valuations:</w:t>
      </w:r>
    </w:p>
    <w:p>
      <w:pPr>
        <w:spacing w:after="120" w:before="0" w:line="276" w:lineRule="auto"/>
        <w:jc w:val="center"/>
      </w:pPr>
      <w:r>
        <w:rPr>
          <w:rFonts w:ascii="Times New Roman" w:hAnsi="Times New Roman"/>
          <w:b/>
          <w:i w:val="0"/>
          <w:color w:val="282828"/>
          <w:sz w:val="22"/>
        </w:rPr>
        <w:t>w_i = 50  if Severity = Fatal</w:t>
        <w:br/>
        <w:t>w_i = 10  if Severity = Serious</w:t>
        <w:br/>
        <w:t>w_i = 1   if Severity = Slight</w:t>
      </w:r>
    </w:p>
    <w:p>
      <w:pPr>
        <w:spacing w:after="120" w:before="0" w:line="276" w:lineRule="auto"/>
        <w:jc w:val="both"/>
      </w:pPr>
      <w:r>
        <w:rPr>
          <w:rFonts w:ascii="Times New Roman" w:hAnsi="Times New Roman"/>
          <w:b w:val="0"/>
          <w:i w:val="0"/>
          <w:color w:val="282828"/>
          <w:sz w:val="24"/>
        </w:rPr>
        <w:t>The aggregate severity score $S_j$ for road segment $j$ across all $N_j$ recorded collisions is computed as:</w:t>
      </w:r>
    </w:p>
    <w:p>
      <w:pPr>
        <w:spacing w:after="120" w:before="0" w:line="276" w:lineRule="auto"/>
        <w:jc w:val="center"/>
      </w:pPr>
      <w:r>
        <w:rPr>
          <w:rFonts w:ascii="Times New Roman" w:hAnsi="Times New Roman"/>
          <w:b/>
          <w:i w:val="0"/>
          <w:color w:val="282828"/>
          <w:sz w:val="24"/>
        </w:rPr>
        <w:t>S_j = ∑_{i=1}^{N_j} w_i = (50 × Fatal_j) + (10 × Serious_j) + (1 × Slight_j)</w:t>
      </w:r>
    </w:p>
    <w:p>
      <w:pPr>
        <w:keepNext/>
        <w:spacing w:before="180" w:after="60"/>
        <w:jc w:val="left"/>
      </w:pPr>
      <w:r>
        <w:rPr>
          <w:rFonts w:ascii="Times New Roman" w:hAnsi="Times New Roman"/>
          <w:b/>
          <w:color w:val="464646"/>
          <w:sz w:val="23"/>
        </w:rPr>
        <w:t>3. Exposure-Adjusted Risk Index (R)</w:t>
      </w:r>
    </w:p>
    <w:p>
      <w:pPr>
        <w:spacing w:after="120" w:before="0" w:line="276" w:lineRule="auto"/>
        <w:jc w:val="both"/>
      </w:pPr>
      <w:r>
        <w:rPr>
          <w:rFonts w:ascii="Times New Roman" w:hAnsi="Times New Roman"/>
          <w:b w:val="0"/>
          <w:i w:val="0"/>
          <w:color w:val="282828"/>
          <w:sz w:val="24"/>
        </w:rPr>
        <w:t>The Exposure-Adjusted Severity Risk Index $R_j$ expresses the economic injury severity generated per million vehicle-kilometers of travel:</w:t>
      </w:r>
    </w:p>
    <w:p>
      <w:pPr>
        <w:spacing w:after="120" w:before="0" w:line="276" w:lineRule="auto"/>
        <w:jc w:val="center"/>
      </w:pPr>
      <w:r>
        <w:rPr>
          <w:rFonts w:ascii="Times New Roman" w:hAnsi="Times New Roman"/>
          <w:b/>
          <w:i w:val="0"/>
          <w:color w:val="282828"/>
          <w:sz w:val="24"/>
        </w:rPr>
        <w:t>R_j = S_j / E_j = (∑ w_i) / E_j</w:t>
      </w:r>
    </w:p>
    <w:p>
      <w:pPr>
        <w:keepNext/>
        <w:spacing w:before="240" w:after="80"/>
        <w:jc w:val="left"/>
      </w:pPr>
      <w:r>
        <w:rPr>
          <w:rFonts w:ascii="Times New Roman" w:hAnsi="Times New Roman"/>
          <w:b/>
          <w:color w:val="2E74B5"/>
          <w:sz w:val="25"/>
        </w:rPr>
        <w:t>4.3 Statistical Suppression Floor Criteria</w:t>
      </w:r>
    </w:p>
    <w:p>
      <w:pPr>
        <w:spacing w:after="120" w:before="0" w:line="276" w:lineRule="auto"/>
        <w:jc w:val="both"/>
      </w:pPr>
      <w:r>
        <w:rPr>
          <w:rFonts w:ascii="Times New Roman" w:hAnsi="Times New Roman"/>
          <w:b w:val="0"/>
          <w:i w:val="0"/>
          <w:color w:val="282828"/>
          <w:sz w:val="24"/>
        </w:rPr>
        <w:t xml:space="preserve">A critical vulnerability in rate-based normalization is the 'small denominator problem.' When a road segment possesses extremely short length or near-zero traffic throughput, its annual exposure $E_j </w:t>
        <w:tab/>
        <w:t>o 0$. In such cases, a single isolated collision can cause the mathematical quotient $R_j = S_j / E_j$ to explode toward infinity, generating spurious statistical noise and false alarms. To guarantee numerical stability and operational credibility, the framework enforces a dual statistical suppression filter:</w:t>
      </w:r>
    </w:p>
    <w:p>
      <w:pPr>
        <w:spacing w:after="120" w:before="0" w:line="276" w:lineRule="auto"/>
        <w:jc w:val="center"/>
      </w:pPr>
      <w:r>
        <w:rPr>
          <w:rFonts w:ascii="Times New Roman" w:hAnsi="Times New Roman"/>
          <w:b/>
          <w:i w:val="0"/>
          <w:color w:val="282828"/>
          <w:sz w:val="23"/>
        </w:rPr>
        <w:t>A road segment j is withheld from public hazard ranking if:</w:t>
        <w:br/>
        <w:t>N_j &lt; 3   OR   E_j &lt; 0.20 MVKM</w:t>
      </w:r>
    </w:p>
    <w:p>
      <w:pPr>
        <w:spacing w:after="120" w:before="0" w:line="276" w:lineRule="auto"/>
        <w:jc w:val="both"/>
      </w:pPr>
      <w:r>
        <w:rPr>
          <w:rFonts w:ascii="Times New Roman" w:hAnsi="Times New Roman"/>
          <w:b w:val="0"/>
          <w:i w:val="0"/>
          <w:color w:val="282828"/>
          <w:sz w:val="24"/>
        </w:rPr>
        <w:t>Segments failing this threshold are flagged in the data pipeline with `is_suppressed = True` and diverted to a secondary sparse-network audit queue rather than active capital prioritization.</w:t>
      </w:r>
    </w:p>
    <w:p>
      <w:pPr>
        <w:keepNext/>
        <w:spacing w:before="240" w:after="80"/>
        <w:jc w:val="left"/>
      </w:pPr>
      <w:r>
        <w:rPr>
          <w:rFonts w:ascii="Times New Roman" w:hAnsi="Times New Roman"/>
          <w:b/>
          <w:color w:val="2E74B5"/>
          <w:sz w:val="25"/>
        </w:rPr>
        <w:t>4.4 Four-Quadrant Strategic Roadway Classification Matrix</w:t>
      </w:r>
    </w:p>
    <w:p>
      <w:pPr>
        <w:spacing w:after="120" w:before="0" w:line="276" w:lineRule="auto"/>
        <w:jc w:val="both"/>
      </w:pPr>
      <w:r>
        <w:rPr>
          <w:rFonts w:ascii="Times New Roman" w:hAnsi="Times New Roman"/>
          <w:b w:val="0"/>
          <w:i w:val="0"/>
          <w:color w:val="282828"/>
          <w:sz w:val="24"/>
        </w:rPr>
        <w:t>To convert the continuous distributions of incident frequency ($N$) and exposure-adjusted risk ($R$) into actionable engineering interventions, segments are classified using a 2×2 Four-Quadrant Strategic Matrix partitioned by the network median thresholds ($</w:t>
        <w:tab/>
        <w:t>ilde{N}$ and $</w:t>
        <w:tab/>
        <w:t>ilde{R}$):</w:t>
      </w:r>
    </w:p>
    <w:p>
      <w:pPr>
        <w:spacing w:after="120" w:before="0" w:line="276" w:lineRule="auto"/>
        <w:jc w:val="both"/>
      </w:pPr>
      <w:r>
        <w:rPr>
          <w:rFonts w:ascii="Times New Roman" w:hAnsi="Times New Roman"/>
          <w:b w:val="0"/>
          <w:i w:val="0"/>
          <w:color w:val="282828"/>
          <w:sz w:val="22"/>
        </w:rPr>
        <w:t>• Quadrant 1 (Q1: High Frequency - High Severity | Severe Congested): Major arterials and urban ring roads with high traffic throughput and frequent severe crashes. Require comprehensive structural retrofits: grade separation, signal optimization, and speed enforcement.</w:t>
      </w:r>
    </w:p>
    <w:p>
      <w:pPr>
        <w:spacing w:after="120" w:before="0" w:line="276" w:lineRule="auto"/>
        <w:jc w:val="both"/>
      </w:pPr>
      <w:r>
        <w:rPr>
          <w:rFonts w:ascii="Times New Roman" w:hAnsi="Times New Roman"/>
          <w:b w:val="0"/>
          <w:i w:val="0"/>
          <w:color w:val="282828"/>
          <w:sz w:val="22"/>
        </w:rPr>
        <w:t>• Quadrant 2 (Q2: Low Frequency - High Severity | Deadly Traps - PRIMARY FOCUS): Rural curves, unlit single carriageways, and regional links with few total crashes but lethal trauma. Represent the highest return on safety investment: require immediate low-cost high-impact fixes (reflective signage, chevron alignment boards, high-friction resurfacing, and LED street lighting).</w:t>
      </w:r>
    </w:p>
    <w:p>
      <w:pPr>
        <w:spacing w:after="120" w:before="0" w:line="276" w:lineRule="auto"/>
        <w:jc w:val="both"/>
      </w:pPr>
      <w:r>
        <w:rPr>
          <w:rFonts w:ascii="Times New Roman" w:hAnsi="Times New Roman"/>
          <w:b w:val="0"/>
          <w:i w:val="0"/>
          <w:color w:val="282828"/>
          <w:sz w:val="22"/>
        </w:rPr>
        <w:t>• Quadrant 3 (Q3: Low Frequency - Low Severity | Safe Corridors): Standard well-engineered roads carrying low volumes with minimal minor shunts. Require routine preventive maintenance and periodic safety monitoring.</w:t>
      </w:r>
    </w:p>
    <w:p>
      <w:pPr>
        <w:spacing w:after="120" w:before="0" w:line="276" w:lineRule="auto"/>
        <w:jc w:val="both"/>
      </w:pPr>
      <w:r>
        <w:rPr>
          <w:rFonts w:ascii="Times New Roman" w:hAnsi="Times New Roman"/>
          <w:b w:val="0"/>
          <w:i w:val="0"/>
          <w:color w:val="282828"/>
          <w:sz w:val="22"/>
        </w:rPr>
        <w:t>• Quadrant 4 (Q4: High Frequency - Low Severity | Fender-Benders): Heavily congested motorways and dense commercial corridors where minor property-damage shunts dominate. Require traffic incident management, queue warning systems, and access management rather than expensive structural overhauls.</w:t>
      </w:r>
    </w:p>
    <w:p>
      <w:pPr>
        <w:keepNext/>
        <w:spacing w:before="240" w:after="80"/>
        <w:jc w:val="left"/>
      </w:pPr>
      <w:r>
        <w:rPr>
          <w:rFonts w:ascii="Times New Roman" w:hAnsi="Times New Roman"/>
          <w:b/>
          <w:color w:val="2E74B5"/>
          <w:sz w:val="25"/>
        </w:rPr>
        <w:t>4.5 High-Performance Columnar OLAP Engine (DuckDB &amp; Parquet Cubes)</w:t>
      </w:r>
    </w:p>
    <w:p>
      <w:pPr>
        <w:spacing w:after="120" w:before="0" w:line="276" w:lineRule="auto"/>
        <w:jc w:val="both"/>
      </w:pPr>
      <w:r>
        <w:rPr>
          <w:rFonts w:ascii="Times New Roman" w:hAnsi="Times New Roman"/>
          <w:b w:val="0"/>
          <w:i w:val="0"/>
          <w:color w:val="282828"/>
          <w:sz w:val="24"/>
        </w:rPr>
        <w:t>To deliver instantaneous, sub-second visual analytics for end users without expensive cloud computing infrastructure, all processed crash records and segment metrics are persisted in immutable Apache Parquet format and registered in a lightweight embedded DuckDB columnar database. DuckDB's vectorized query execution engine pre-aggregates multi-dimensional cubes:</w:t>
      </w:r>
    </w:p>
    <w:p>
      <w:pPr>
        <w:spacing w:after="120" w:before="0" w:line="276" w:lineRule="auto"/>
        <w:jc w:val="both"/>
      </w:pPr>
      <w:r>
        <w:rPr>
          <w:rFonts w:ascii="Times New Roman" w:hAnsi="Times New Roman"/>
          <w:b w:val="0"/>
          <w:i w:val="0"/>
          <w:color w:val="282828"/>
          <w:sz w:val="21"/>
        </w:rPr>
        <w:t>1. `cube_circadian_hourly.parquet`: 24-hour circadian crash volumes, fatality rates, and vulnerability shares.</w:t>
        <w:br/>
        <w:t>2. `cube_temporal_heatmap.parquet`: 168-cell matrix cross-tabulating Day-of-Week × Hour-of-Day severity.</w:t>
        <w:br/>
        <w:t>3. `cube_environmental_matrix.parquet`: Multi-hazard interactions between weather, surface friction, and light.</w:t>
        <w:br/>
        <w:t>4. `cube_vehicle_vulnerability.parquet`: Primary vehicle categories cross-tabulated across speed limits.</w:t>
        <w:br/>
        <w:t>5. `cube_segments_spatial.parquet` &amp; `.geojson`: Spatial road segment layers with exposure, risk, and 4-quadrants.</w:t>
        <w:br/>
        <w:t>6. `cube_quadrants_summary.parquet`: High-level executive metrics summarized by operational quadrant.</w:t>
        <w:br/>
        <w:t>7. `cube_india_transferability.parquet`: Bengaluru arterial mixed-traffic benchmark dataset.</w:t>
        <w:br/>
        <w:t>8. `cube_ml_risk_weights.json`: Feature importances from a trained Random Forest Hotspot Classifier.</w:t>
      </w:r>
    </w:p>
    <w:p>
      <w:pPr>
        <w:keepNext/>
        <w:spacing w:before="320" w:after="120"/>
        <w:jc w:val="left"/>
      </w:pPr>
      <w:r>
        <w:rPr>
          <w:rFonts w:ascii="Times New Roman" w:hAnsi="Times New Roman"/>
          <w:b/>
          <w:color w:val="1F4E79"/>
          <w:sz w:val="28"/>
        </w:rPr>
        <w:t>5. RESULTS AND DISCUSSION</w:t>
      </w:r>
    </w:p>
    <w:p>
      <w:pPr>
        <w:spacing w:after="120" w:before="0" w:line="276" w:lineRule="auto"/>
        <w:jc w:val="both"/>
      </w:pPr>
      <w:r>
        <w:rPr>
          <w:rFonts w:ascii="Times New Roman" w:hAnsi="Times New Roman"/>
          <w:b w:val="0"/>
          <w:i w:val="0"/>
          <w:color w:val="282828"/>
          <w:sz w:val="24"/>
        </w:rPr>
        <w:t>This section presents the comprehensive empirical results obtained from the exposure-adjusted visual analytics framework applied across 22,000 synthesized crash records and 160 conformed road network segments. The analysis systematically evaluates each Research Question through high-resolution scientific visualizations, structured empirical data tables, and deep transportation engineering interpretations.</w:t>
      </w:r>
    </w:p>
    <w:p>
      <w:pPr>
        <w:keepNext/>
        <w:spacing w:before="240" w:after="80"/>
        <w:jc w:val="left"/>
      </w:pPr>
      <w:r>
        <w:rPr>
          <w:rFonts w:ascii="Times New Roman" w:hAnsi="Times New Roman"/>
          <w:b/>
          <w:color w:val="2E74B5"/>
          <w:sz w:val="25"/>
        </w:rPr>
        <w:t>5.1 Dataset Demographics and Network Exposure Baseline</w:t>
      </w:r>
    </w:p>
    <w:p>
      <w:pPr>
        <w:keepNext/>
        <w:spacing w:before="180" w:after="60"/>
        <w:jc w:val="left"/>
      </w:pPr>
      <w:r>
        <w:rPr>
          <w:rFonts w:ascii="Times New Roman" w:hAnsi="Times New Roman"/>
          <w:b/>
          <w:color w:val="464646"/>
          <w:sz w:val="23"/>
        </w:rPr>
        <w:t>5.1.1 Network Crash Severity Breakdown (Figure 1 &amp; Table 1)</w:t>
      </w:r>
    </w:p>
    <w:p>
      <w:pPr>
        <w:spacing w:after="120" w:before="0" w:line="276" w:lineRule="auto"/>
        <w:jc w:val="both"/>
      </w:pPr>
      <w:r>
        <w:rPr>
          <w:rFonts w:ascii="Times New Roman" w:hAnsi="Times New Roman"/>
          <w:b w:val="0"/>
          <w:i w:val="0"/>
          <w:color w:val="282828"/>
          <w:sz w:val="24"/>
        </w:rPr>
        <w:t>The primary analytical baseline encompasses 22,000 road traffic collision incidents conforming to the UK STATS19 reporting protocol. In alignment with established national reporting criteria, incidents are classified into three mutually exclusive clinical and police severity tiers: Slight, Serious, and Fatal. As illustrated in Figure 1, the overwhelming majority of incidents—16,554 collisions, representing 75.25% of the total network sample—resulted in slight injuries. Serious collisions accounted for 4,609 incidents (20.95%), while fatal crashes comprised 837 incidents (3.80%).</w:t>
      </w:r>
    </w:p>
    <w:p>
      <w:pPr>
        <w:keepNext/>
        <w:spacing w:before="160" w:after="80"/>
        <w:jc w:val="center"/>
      </w:pPr>
      <w:r>
        <w:drawing>
          <wp:inline xmlns:a="http://schemas.openxmlformats.org/drawingml/2006/main" xmlns:pic="http://schemas.openxmlformats.org/drawingml/2006/picture">
            <wp:extent cx="5303520" cy="2532396"/>
            <wp:docPr id="2" name="Picture 2"/>
            <wp:cNvGraphicFramePr>
              <a:graphicFrameLocks noChangeAspect="1"/>
            </wp:cNvGraphicFramePr>
            <a:graphic>
              <a:graphicData uri="http://schemas.openxmlformats.org/drawingml/2006/picture">
                <pic:pic>
                  <pic:nvPicPr>
                    <pic:cNvPr id="0" name="fig01_severity_dist.png"/>
                    <pic:cNvPicPr/>
                  </pic:nvPicPr>
                  <pic:blipFill>
                    <a:blip r:embed="rId11"/>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1: </w:t>
      </w:r>
      <w:r>
        <w:rPr>
          <w:rFonts w:ascii="Times New Roman" w:hAnsi="Times New Roman"/>
          <w:i/>
          <w:color w:val="282828"/>
          <w:sz w:val="19"/>
        </w:rPr>
        <w:t>Overall Crash Severity Distribution &amp; DfT Economic Injury Weights (N = 22,000)</w:t>
      </w:r>
    </w:p>
    <w:p>
      <w:pPr>
        <w:spacing w:after="120" w:before="0" w:line="276" w:lineRule="auto"/>
        <w:jc w:val="both"/>
      </w:pPr>
      <w:r>
        <w:rPr>
          <w:rFonts w:ascii="Times New Roman" w:hAnsi="Times New Roman"/>
          <w:b w:val="0"/>
          <w:i w:val="0"/>
          <w:color w:val="282828"/>
          <w:sz w:val="24"/>
        </w:rPr>
        <w:t>Figure 1 simultaneously juxtaposes raw collision frequencies against the official economic injury weights established by the UK Department for Transport (DfT, 2021). While slight collisions represent over three-quarters of gross incident volume, their individual economic weight is set to w = 1 (£25,000 baseline). Serious injuries receive a tenfold weight multiplier (w = 10, £240,000), while fatal collisions receive a fiftyfold multiplier (w = 50, £2.1 million). When aggregate economic severity scores are computed (Table 1), a dramatic reality emerges: fatal collisions, despite comprising fewer than 4% of total crashes, contribute 41,850 severity points (40.05% of total economic harm), virtually matching the entire slight collision cohort combined (16,554 points, 15.84%). This proves that evaluating traffic safety through unweighted incident counts discards over 84% of the societal cost of road trauma.</w:t>
      </w:r>
    </w:p>
    <w:p>
      <w:pPr>
        <w:keepNext/>
        <w:spacing w:before="160" w:after="80"/>
        <w:jc w:val="left"/>
      </w:pPr>
      <w:r>
        <w:rPr>
          <w:rFonts w:ascii="Times New Roman" w:hAnsi="Times New Roman"/>
          <w:b/>
          <w:color w:val="1F4E79"/>
          <w:sz w:val="19"/>
        </w:rPr>
        <w:t xml:space="preserve">Table 1: </w:t>
      </w:r>
      <w:r>
        <w:rPr>
          <w:rFonts w:ascii="Times New Roman" w:hAnsi="Times New Roman"/>
          <w:i/>
          <w:color w:val="282828"/>
          <w:sz w:val="19"/>
        </w:rPr>
        <w:t>Overall Network Crash Severity Breakdown, Proportions, and DfT Economic Weights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500"/>
        <w:gridCol w:w="1500"/>
        <w:gridCol w:w="1500"/>
        <w:gridCol w:w="1500"/>
        <w:gridCol w:w="1500"/>
        <w:gridCol w:w="1500"/>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Severity Classification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Frequency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Network Share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DfT Injury Weight</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Aggregate Severity Score</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Economic Harm Share (%)</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Slight Injury</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16,554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75.25%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16,554</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15.84%</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Serious Injury</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4,609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20.95%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46,090</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44.11%</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Fatal Collision</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3.80%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50</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41,850</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40.05%</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Total / Network Sum</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104,494</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SEVERITY DISPROPORTION: </w:t>
            </w:r>
            <w:r>
              <w:rPr>
                <w:rFonts w:ascii="Times New Roman" w:hAnsi="Times New Roman"/>
                <w:i/>
                <w:color w:val="282828"/>
                <w:sz w:val="19"/>
              </w:rPr>
              <w:t>Economic Severity Parity: Fatal collisions account for only 3.80% of total incident volume but generate 40.05% of aggregate economic injury harm, completely overshadowing the 75.25% of incidents that are minor slight collisions.</w:t>
            </w:r>
          </w:p>
        </w:tc>
      </w:tr>
    </w:tbl>
    <w:p>
      <w:pPr>
        <w:spacing w:before="0" w:after="80"/>
      </w:pPr>
    </w:p>
    <w:p>
      <w:pPr>
        <w:keepNext/>
        <w:spacing w:before="180" w:after="60"/>
        <w:jc w:val="left"/>
      </w:pPr>
      <w:r>
        <w:rPr>
          <w:rFonts w:ascii="Times New Roman" w:hAnsi="Times New Roman"/>
          <w:b/>
          <w:color w:val="464646"/>
          <w:sz w:val="23"/>
        </w:rPr>
        <w:t>5.1.2 Roadway Hierarchy &amp; Geometric Characteristics (Figure 2 &amp; Table 2)</w:t>
      </w:r>
    </w:p>
    <w:p>
      <w:pPr>
        <w:spacing w:after="120" w:before="0" w:line="276" w:lineRule="auto"/>
        <w:jc w:val="both"/>
      </w:pPr>
      <w:r>
        <w:rPr>
          <w:rFonts w:ascii="Times New Roman" w:hAnsi="Times New Roman"/>
          <w:b w:val="0"/>
          <w:i w:val="0"/>
          <w:color w:val="282828"/>
          <w:sz w:val="24"/>
        </w:rPr>
        <w:t>The synthesized road network encompasses 160 discrete roadway segments modeled after OpenStreetMap (OSM) administrative classifications, representing 647.65 route-kilometers of roadway infrastructure across Greater London and the South East corridor. Figure 2 depicts the distribution of road network hierarchy across the five functional classes: A-Road Single Carriageway (53 segments, 33.1%), A-Road Dual Carriageway (41 segments, 25.6%), Urban Arterials (32 segments, 20.0%), Motorways (20 segments, 12.5%), and B-Road Rural Links (14 segments, 8.8%).</w:t>
      </w:r>
    </w:p>
    <w:p>
      <w:pPr>
        <w:keepNext/>
        <w:spacing w:before="160" w:after="80"/>
        <w:jc w:val="center"/>
      </w:pPr>
      <w:r>
        <w:drawing>
          <wp:inline xmlns:a="http://schemas.openxmlformats.org/drawingml/2006/main" xmlns:pic="http://schemas.openxmlformats.org/drawingml/2006/picture">
            <wp:extent cx="5303520" cy="2345158"/>
            <wp:docPr id="3" name="Picture 3"/>
            <wp:cNvGraphicFramePr>
              <a:graphicFrameLocks noChangeAspect="1"/>
            </wp:cNvGraphicFramePr>
            <a:graphic>
              <a:graphicData uri="http://schemas.openxmlformats.org/drawingml/2006/picture">
                <pic:pic>
                  <pic:nvPicPr>
                    <pic:cNvPr id="0" name="fig02_road_class_dist.png"/>
                    <pic:cNvPicPr/>
                  </pic:nvPicPr>
                  <pic:blipFill>
                    <a:blip r:embed="rId12"/>
                    <a:stretch>
                      <a:fillRect/>
                    </a:stretch>
                  </pic:blipFill>
                  <pic:spPr>
                    <a:xfrm>
                      <a:off x="0" y="0"/>
                      <a:ext cx="5303520" cy="2345158"/>
                    </a:xfrm>
                    <a:prstGeom prst="rect"/>
                  </pic:spPr>
                </pic:pic>
              </a:graphicData>
            </a:graphic>
          </wp:inline>
        </w:drawing>
      </w:r>
    </w:p>
    <w:p>
      <w:pPr>
        <w:spacing w:before="40" w:after="160"/>
        <w:jc w:val="center"/>
      </w:pPr>
      <w:r>
        <w:rPr>
          <w:rFonts w:ascii="Times New Roman" w:hAnsi="Times New Roman"/>
          <w:b/>
          <w:color w:val="1F4E79"/>
          <w:sz w:val="19"/>
        </w:rPr>
        <w:t xml:space="preserve">Figure 2: </w:t>
      </w:r>
      <w:r>
        <w:rPr>
          <w:rFonts w:ascii="Times New Roman" w:hAnsi="Times New Roman"/>
          <w:i/>
          <w:color w:val="282828"/>
          <w:sz w:val="19"/>
        </w:rPr>
        <w:t>Road Network Hierarchy Distribution (OSM Road Classification Breakdown; N = 160 Segments)</w:t>
      </w:r>
    </w:p>
    <w:p>
      <w:pPr>
        <w:spacing w:after="120" w:before="0" w:line="276" w:lineRule="auto"/>
        <w:jc w:val="both"/>
      </w:pPr>
      <w:r>
        <w:rPr>
          <w:rFonts w:ascii="Times New Roman" w:hAnsi="Times New Roman"/>
          <w:b w:val="0"/>
          <w:i w:val="0"/>
          <w:color w:val="282828"/>
          <w:sz w:val="24"/>
        </w:rPr>
        <w:t>Table 2 summarizes the structural and geometric attributes across these functional road classes. Motorways exhibit the highest physical capacity, featuring an average of 6.0 travel lanes and an average segment length of 8.47 km, totaling 169.37 km. A-Road Dual carriageways average 4.85 lanes with a mean length of 5.06 km (207.48 km total). Conversely, B-Road Rural corridors and A-Road Single carriageways are characterized by strict two-lane undivided cross-sections (mean lanes = 2.00) and shorter segment lengths (3.84 km and 2.88 km, respectively), lacking physical median barriers or grade-separated junctions.</w:t>
      </w:r>
    </w:p>
    <w:p>
      <w:pPr>
        <w:keepNext/>
        <w:spacing w:before="160" w:after="80"/>
        <w:jc w:val="left"/>
      </w:pPr>
      <w:r>
        <w:rPr>
          <w:rFonts w:ascii="Times New Roman" w:hAnsi="Times New Roman"/>
          <w:b/>
          <w:color w:val="1F4E79"/>
          <w:sz w:val="19"/>
        </w:rPr>
        <w:t xml:space="preserve">Table 2: </w:t>
      </w:r>
      <w:r>
        <w:rPr>
          <w:rFonts w:ascii="Times New Roman" w:hAnsi="Times New Roman"/>
          <w:i/>
          <w:color w:val="282828"/>
          <w:sz w:val="19"/>
        </w:rPr>
        <w:t>Road Hierarchy Classification, Lane Configuration, and Segment Length Metrics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500"/>
        <w:gridCol w:w="1500"/>
        <w:gridCol w:w="1500"/>
        <w:gridCol w:w="1500"/>
        <w:gridCol w:w="1500"/>
        <w:gridCol w:w="1500"/>
      </w:tblGrid>
      <w:tr>
        <w:tc>
          <w:tcPr>
            <w:tcW w:type="dxa" w:w="2448"/>
            <w:shd w:fill="2B6CB0"/>
            <w:tcMar>
              <w:top w:w="120" w:type="dxa"/>
              <w:bottom w:w="120" w:type="dxa"/>
              <w:left w:w="140" w:type="dxa"/>
              <w:right w:w="140" w:type="dxa"/>
            </w:tcMar>
          </w:tcPr>
          <w:p>
            <w:pPr>
              <w:spacing w:before="0" w:after="0"/>
              <w:jc w:val="center"/>
            </w:pPr>
            <w:r>
              <w:rPr>
                <w:rFonts w:ascii="Times New Roman" w:hAnsi="Times New Roman"/>
                <w:b/>
                <w:color w:val="FFFFFF"/>
                <w:sz w:val="19"/>
              </w:rPr>
              <w:t>Road Classification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Segments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Network Share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Travel Lanes</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Length (km)</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Class Length (km)</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A-Road Single Carriageway</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33.12%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2.00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2.88</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152.76</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A-Road Dual Carriageway</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25.62%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4.85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5.06</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207.48</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Urban Arterial Corridor</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20.00%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3.00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2.01</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64.25</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Motorway (Grade-Separated)</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12.50%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6.00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8.47</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169.37</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B-Road Rural Secondary</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8.75%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2.00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3.84</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53.78</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Total Network Infrastructure</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160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3.68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4.05</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647.65</w:t>
            </w:r>
          </w:p>
        </w:tc>
      </w:tr>
    </w:tbl>
    <w:p>
      <w:pPr>
        <w:spacing w:before="0" w:after="120"/>
      </w:pPr>
    </w:p>
    <w:p>
      <w:pPr>
        <w:keepNext/>
        <w:spacing w:before="180" w:after="60"/>
        <w:jc w:val="left"/>
      </w:pPr>
      <w:r>
        <w:rPr>
          <w:rFonts w:ascii="Times New Roman" w:hAnsi="Times New Roman"/>
          <w:b/>
          <w:color w:val="464646"/>
          <w:sz w:val="23"/>
        </w:rPr>
        <w:t>5.1.3 Traffic Volume Exposure Distributions Across Road Classes (Figure 3 &amp; Table 3)</w:t>
      </w:r>
    </w:p>
    <w:p>
      <w:pPr>
        <w:spacing w:after="120" w:before="0" w:line="276" w:lineRule="auto"/>
        <w:jc w:val="both"/>
      </w:pPr>
      <w:r>
        <w:rPr>
          <w:rFonts w:ascii="Times New Roman" w:hAnsi="Times New Roman"/>
          <w:b w:val="0"/>
          <w:i w:val="0"/>
          <w:color w:val="282828"/>
          <w:sz w:val="24"/>
        </w:rPr>
        <w:t>To establish rigorous baseline exposure metrics, Figure 3 displays the distribution of Annual Average Daily Traffic (AADT) across the five functional roadway classifications. AADT exhibits profound stratification: Motorways carry a median daily volume of 69,079 vehicles/day (ranging from 50,000 to 92,840 vpd). A-Road Dual carriageways carry a median volume of 36,526 vpd, whereas Urban Arterials average 21,810 vpd. In contrast, B-Road Rural corridors carry a median daily volume of just 2,846 vehicles/day (min: 1,229 vpd; max: 6,184 vpd)—a volume nearly 25 times lower than high-volume motorways.</w:t>
      </w:r>
    </w:p>
    <w:p>
      <w:pPr>
        <w:keepNext/>
        <w:spacing w:before="160" w:after="80"/>
        <w:jc w:val="center"/>
      </w:pPr>
      <w:r>
        <w:drawing>
          <wp:inline xmlns:a="http://schemas.openxmlformats.org/drawingml/2006/main" xmlns:pic="http://schemas.openxmlformats.org/drawingml/2006/picture">
            <wp:extent cx="5303520" cy="2438777"/>
            <wp:docPr id="4" name="Picture 4"/>
            <wp:cNvGraphicFramePr>
              <a:graphicFrameLocks noChangeAspect="1"/>
            </wp:cNvGraphicFramePr>
            <a:graphic>
              <a:graphicData uri="http://schemas.openxmlformats.org/drawingml/2006/picture">
                <pic:pic>
                  <pic:nvPicPr>
                    <pic:cNvPr id="0" name="fig03_aadt_distribution.png"/>
                    <pic:cNvPicPr/>
                  </pic:nvPicPr>
                  <pic:blipFill>
                    <a:blip r:embed="rId13"/>
                    <a:stretch>
                      <a:fillRect/>
                    </a:stretch>
                  </pic:blipFill>
                  <pic:spPr>
                    <a:xfrm>
                      <a:off x="0" y="0"/>
                      <a:ext cx="5303520" cy="2438777"/>
                    </a:xfrm>
                    <a:prstGeom prst="rect"/>
                  </pic:spPr>
                </pic:pic>
              </a:graphicData>
            </a:graphic>
          </wp:inline>
        </w:drawing>
      </w:r>
    </w:p>
    <w:p>
      <w:pPr>
        <w:spacing w:before="40" w:after="160"/>
        <w:jc w:val="center"/>
      </w:pPr>
      <w:r>
        <w:rPr>
          <w:rFonts w:ascii="Times New Roman" w:hAnsi="Times New Roman"/>
          <w:b/>
          <w:color w:val="1F4E79"/>
          <w:sz w:val="19"/>
        </w:rPr>
        <w:t xml:space="preserve">Figure 3: </w:t>
      </w:r>
      <w:r>
        <w:rPr>
          <w:rFonts w:ascii="Times New Roman" w:hAnsi="Times New Roman"/>
          <w:i/>
          <w:color w:val="282828"/>
          <w:sz w:val="19"/>
        </w:rPr>
        <w:t>Traffic Volume Exposure Spectrum by Functional Road Class (Annual Average Daily Traffic Distribution)</w:t>
      </w:r>
    </w:p>
    <w:p>
      <w:pPr>
        <w:spacing w:after="120" w:before="0" w:line="276" w:lineRule="auto"/>
        <w:jc w:val="both"/>
      </w:pPr>
      <w:r>
        <w:rPr>
          <w:rFonts w:ascii="Times New Roman" w:hAnsi="Times New Roman"/>
          <w:b w:val="0"/>
          <w:i w:val="0"/>
          <w:color w:val="282828"/>
          <w:sz w:val="24"/>
        </w:rPr>
        <w:t>When daily volume (AADT) is integrated with segment length and annualized ($365$ days), the resulting Annual Road Exposure measured in Million Vehicle-Kilometers (MVKM) highlights the immense disparity in vehicular interactions (Table 3). The 20 motorway segments generate 4,449.00 MVKM of exposure (52.27% of total network travel), averaging 222.45 MVKM per segment. Dual A-Roads contribute 2,683.05 MVKM (31.52%). By contrast, all 14 rural B-roads combined generate a mere 61.96 MVKM of annual exposure (0.73% of total network travel), averaging 4.43 MVKM per segment. This extreme exposure asymmetry demonstrates why unnormalized crash counts are fundamentally incapable of measuring true roadway hazard.</w:t>
      </w:r>
    </w:p>
    <w:p>
      <w:pPr>
        <w:keepNext/>
        <w:spacing w:before="160" w:after="80"/>
        <w:jc w:val="left"/>
      </w:pPr>
      <w:r>
        <w:rPr>
          <w:rFonts w:ascii="Times New Roman" w:hAnsi="Times New Roman"/>
          <w:b/>
          <w:color w:val="1F4E79"/>
          <w:sz w:val="19"/>
        </w:rPr>
        <w:t xml:space="preserve">Table 3: </w:t>
      </w:r>
      <w:r>
        <w:rPr>
          <w:rFonts w:ascii="Times New Roman" w:hAnsi="Times New Roman"/>
          <w:i/>
          <w:color w:val="282828"/>
          <w:sz w:val="19"/>
        </w:rPr>
        <w:t>Traffic Volume Exposure Statistics and Annual Million Vehicle-Kilometers (MVKM) by Road Class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286"/>
        <w:gridCol w:w="1286"/>
        <w:gridCol w:w="1286"/>
        <w:gridCol w:w="1286"/>
        <w:gridCol w:w="1286"/>
        <w:gridCol w:w="1286"/>
        <w:gridCol w:w="1286"/>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Road Hierarchy Class</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Min AADT (vpd)</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Median AADT (vpd)</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Max AADT (vpd)</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Exposure (MVKM)</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Exposure (MVKM)</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Exposure Share (%)</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Motorway</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50,000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69,079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92,840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222.45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4,449.00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52.27%</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A-Road Dual</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22,034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36,526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47,304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65.44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2,683.05</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31.52%</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A-Road Single</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9,078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15,783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23,991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16.74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887.10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10.42%</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Urban Arterial</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14,382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21,810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31,900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16.57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530.28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6.23%</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B-Road Rural</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1,229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2,846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6,184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4.43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61.96</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0.73%</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All Network Segments</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1,229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27,480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92,840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53.20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8,511.39</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r>
    </w:tbl>
    <w:p>
      <w:pPr>
        <w:spacing w:before="0" w:after="120"/>
      </w:pPr>
    </w:p>
    <w:p>
      <w:pPr>
        <w:keepNext/>
        <w:spacing w:before="240" w:after="80"/>
        <w:jc w:val="left"/>
      </w:pPr>
      <w:r>
        <w:rPr>
          <w:rFonts w:ascii="Times New Roman" w:hAnsi="Times New Roman"/>
          <w:b/>
          <w:color w:val="2E74B5"/>
          <w:sz w:val="25"/>
        </w:rPr>
        <w:t>5.2 The Core Severity-Frequency Inversion: Benchmark Case Study &amp; 4-Quadrant Analysis</w:t>
      </w:r>
    </w:p>
    <w:p>
      <w:pPr>
        <w:keepNext/>
        <w:spacing w:before="180" w:after="60"/>
        <w:jc w:val="left"/>
      </w:pPr>
      <w:r>
        <w:rPr>
          <w:rFonts w:ascii="Times New Roman" w:hAnsi="Times New Roman"/>
          <w:b/>
          <w:color w:val="464646"/>
          <w:sz w:val="23"/>
        </w:rPr>
        <w:t>5.2.1 Four-Quadrant Strategic Roadway Classification Matrix (Figure 4 &amp; Table 4)</w:t>
      </w:r>
    </w:p>
    <w:p>
      <w:pPr>
        <w:spacing w:after="120" w:before="0" w:line="276" w:lineRule="auto"/>
        <w:jc w:val="both"/>
      </w:pPr>
      <w:r>
        <w:rPr>
          <w:rFonts w:ascii="Times New Roman" w:hAnsi="Times New Roman"/>
          <w:b w:val="0"/>
          <w:i w:val="0"/>
          <w:color w:val="282828"/>
          <w:sz w:val="24"/>
        </w:rPr>
        <w:t>Figure 4 introduces the foundational Four-Quadrant Strategic Scatter Matrix, which plots Raw Crash Frequency ($N$, horizontal axis) against the Exposure-Adjusted Risk Index ($R = S / E$, vertical axis) across all 160 network segments. Segments are partitioned using network median thresholds: median crash frequency ($</w:t>
        <w:tab/>
        <w:t>ilde{N} = 138$ crashes) and median exposure risk ($</w:t>
        <w:tab/>
        <w:t>ilde{R} = 17.65$ risk/MVKM). This strategic cross-classification delineates four distinct operational road safety profiles:</w:t>
      </w:r>
    </w:p>
    <w:p>
      <w:pPr>
        <w:keepNext/>
        <w:spacing w:before="160" w:after="80"/>
        <w:jc w:val="center"/>
      </w:pPr>
      <w:r>
        <w:drawing>
          <wp:inline xmlns:a="http://schemas.openxmlformats.org/drawingml/2006/main" xmlns:pic="http://schemas.openxmlformats.org/drawingml/2006/picture">
            <wp:extent cx="5486400" cy="2763223"/>
            <wp:docPr id="5" name="Picture 5"/>
            <wp:cNvGraphicFramePr>
              <a:graphicFrameLocks noChangeAspect="1"/>
            </wp:cNvGraphicFramePr>
            <a:graphic>
              <a:graphicData uri="http://schemas.openxmlformats.org/drawingml/2006/picture">
                <pic:pic>
                  <pic:nvPicPr>
                    <pic:cNvPr id="0" name="fig04_quadrant_scatter.png"/>
                    <pic:cNvPicPr/>
                  </pic:nvPicPr>
                  <pic:blipFill>
                    <a:blip r:embed="rId14"/>
                    <a:stretch>
                      <a:fillRect/>
                    </a:stretch>
                  </pic:blipFill>
                  <pic:spPr>
                    <a:xfrm>
                      <a:off x="0" y="0"/>
                      <a:ext cx="5486400" cy="2763223"/>
                    </a:xfrm>
                    <a:prstGeom prst="rect"/>
                  </pic:spPr>
                </pic:pic>
              </a:graphicData>
            </a:graphic>
          </wp:inline>
        </w:drawing>
      </w:r>
    </w:p>
    <w:p>
      <w:pPr>
        <w:spacing w:before="40" w:after="160"/>
        <w:jc w:val="center"/>
      </w:pPr>
      <w:r>
        <w:rPr>
          <w:rFonts w:ascii="Times New Roman" w:hAnsi="Times New Roman"/>
          <w:b/>
          <w:color w:val="1F4E79"/>
          <w:sz w:val="19"/>
        </w:rPr>
        <w:t xml:space="preserve">Figure 4: </w:t>
      </w:r>
      <w:r>
        <w:rPr>
          <w:rFonts w:ascii="Times New Roman" w:hAnsi="Times New Roman"/>
          <w:i/>
          <w:color w:val="282828"/>
          <w:sz w:val="19"/>
        </w:rPr>
        <w:t>Four-Quadrant Analytical Scatter Matrix: Raw Incident Volume vs. Exposure-Adjusted Severity Risk Index</w:t>
      </w:r>
    </w:p>
    <w:p>
      <w:pPr>
        <w:spacing w:after="120" w:before="0" w:line="276" w:lineRule="auto"/>
        <w:jc w:val="both"/>
      </w:pPr>
      <w:r>
        <w:rPr>
          <w:rFonts w:ascii="Times New Roman" w:hAnsi="Times New Roman"/>
          <w:b w:val="0"/>
          <w:i w:val="0"/>
          <w:color w:val="282828"/>
          <w:sz w:val="24"/>
        </w:rPr>
        <w:t>Table 4 summarizes the empirical outcomes across the four quadrants. Quadrant 4 (Q4: High Frequency - Low Severity, 'Fender-Benders') contains 48 segments accumulating 11,398 total crashes (51.8% of all collisions). However, because these segments possess an enormous mean exposure of 130.99 MVKM, their exposure-adjusted risk index is very low (mean R = 10.46). Conversely, Quadrant 2 (Q2: Low Frequency - High Severity, 'Deadly Traps') contains 48 segments accumulating only 3,288 crashes (14.9% of collisions). Yet, due to severe casualty outcomes and low exposure (mean E = 10.52 MVKM), Q2 segments generate a staggering mean risk index of R = 32.74 per MVKM—over three times the risk density of Q4! Under traditional blackspot audits, every single Q2 segment is completely ignored in favor of Q4 roads, directing public safety budgets to the safest segments on the network while leaving lethal traps untreated.</w:t>
      </w:r>
    </w:p>
    <w:p>
      <w:pPr>
        <w:keepNext/>
        <w:spacing w:before="160" w:after="80"/>
        <w:jc w:val="left"/>
      </w:pPr>
      <w:r>
        <w:rPr>
          <w:rFonts w:ascii="Times New Roman" w:hAnsi="Times New Roman"/>
          <w:b/>
          <w:color w:val="1F4E79"/>
          <w:sz w:val="19"/>
        </w:rPr>
        <w:t xml:space="preserve">Table 4: </w:t>
      </w:r>
      <w:r>
        <w:rPr>
          <w:rFonts w:ascii="Times New Roman" w:hAnsi="Times New Roman"/>
          <w:i/>
          <w:color w:val="282828"/>
          <w:sz w:val="19"/>
        </w:rPr>
        <w:t>Four-Quadrant Strategic Roadway Classification Matrix and Aggregate Safety Outcomes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592"/>
            <w:shd w:fill="2B6CB0"/>
            <w:tcMar>
              <w:top w:w="120" w:type="dxa"/>
              <w:bottom w:w="120" w:type="dxa"/>
              <w:left w:w="140" w:type="dxa"/>
              <w:right w:w="140" w:type="dxa"/>
            </w:tcMar>
          </w:tcPr>
          <w:p>
            <w:pPr>
              <w:spacing w:before="0" w:after="0"/>
              <w:jc w:val="center"/>
            </w:pPr>
            <w:r>
              <w:rPr>
                <w:rFonts w:ascii="Times New Roman" w:hAnsi="Times New Roman"/>
                <w:b/>
                <w:color w:val="FFFFFF"/>
                <w:sz w:val="19"/>
              </w:rPr>
              <w:t>Strategic Quadrant Designation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Segments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Crashes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Fatalities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Exposure (MVKM)</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Risk (R)</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Operational Strategy</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color w:val="282828"/>
                <w:sz w:val="18"/>
              </w:rPr>
              <w:t>Q1: Severe Congested (High Freq - High Sev)</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32</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5,359</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244</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1,137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38.34</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24.74</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Major Structural Retrofit</w:t>
            </w:r>
          </w:p>
        </w:tc>
      </w:tr>
      <w:tr>
        <w:tc>
          <w:tcPr>
            <w:tcW w:type="dxa" w:w="2592"/>
            <w:shd w:fill="F7FAFC"/>
            <w:tcMar>
              <w:top w:w="80" w:type="dxa"/>
              <w:bottom w:w="80" w:type="dxa"/>
              <w:left w:w="120" w:type="dxa"/>
              <w:right w:w="120" w:type="dxa"/>
            </w:tcMar>
          </w:tcPr>
          <w:p>
            <w:pPr>
              <w:spacing w:before="0" w:after="0"/>
              <w:jc w:val="left"/>
            </w:pPr>
            <w:r>
              <w:rPr>
                <w:rFonts w:ascii="Times New Roman" w:hAnsi="Times New Roman"/>
                <w:color w:val="282828"/>
                <w:sz w:val="18"/>
              </w:rPr>
              <w:t>Q2: Deadly Traps (Low Freq - High Sev)</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3,288</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100</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599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10.52</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32.74</w:t>
            </w:r>
          </w:p>
        </w:tc>
        <w:tc>
          <w:tcPr>
            <w:tcW w:type="dxa" w:w="1584"/>
            <w:shd w:fill="F7FAFC"/>
            <w:tcMar>
              <w:top w:w="80" w:type="dxa"/>
              <w:bottom w:w="80" w:type="dxa"/>
              <w:left w:w="120" w:type="dxa"/>
              <w:right w:w="120" w:type="dxa"/>
            </w:tcMar>
          </w:tcPr>
          <w:p>
            <w:pPr>
              <w:spacing w:before="0" w:after="0"/>
              <w:jc w:val="center"/>
            </w:pPr>
            <w:r>
              <w:rPr>
                <w:rFonts w:ascii="Times New Roman" w:hAnsi="Times New Roman"/>
                <w:color w:val="282828"/>
                <w:sz w:val="18"/>
              </w:rPr>
              <w:t>Immediate Safety Remediation</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color w:val="282828"/>
                <w:sz w:val="18"/>
              </w:rPr>
              <w:t>Q3: Safe Corridors (Low Freq - Low Sev)</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32</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1,955</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36</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321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18.50</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11.39</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Routine Maintenance</w:t>
            </w:r>
          </w:p>
        </w:tc>
      </w:tr>
      <w:tr>
        <w:tc>
          <w:tcPr>
            <w:tcW w:type="dxa" w:w="2592"/>
            <w:shd w:fill="F7FAFC"/>
            <w:tcMar>
              <w:top w:w="80" w:type="dxa"/>
              <w:bottom w:w="80" w:type="dxa"/>
              <w:left w:w="120" w:type="dxa"/>
              <w:right w:w="120" w:type="dxa"/>
            </w:tcMar>
          </w:tcPr>
          <w:p>
            <w:pPr>
              <w:spacing w:before="0" w:after="0"/>
              <w:jc w:val="left"/>
            </w:pPr>
            <w:r>
              <w:rPr>
                <w:rFonts w:ascii="Times New Roman" w:hAnsi="Times New Roman"/>
                <w:color w:val="282828"/>
                <w:sz w:val="18"/>
              </w:rPr>
              <w:t>Q4: Fender-Benders (High Freq - Low Sev)</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11,398</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457</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2,552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130.99</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10.46</w:t>
            </w:r>
          </w:p>
        </w:tc>
        <w:tc>
          <w:tcPr>
            <w:tcW w:type="dxa" w:w="1584"/>
            <w:shd w:fill="F7FAFC"/>
            <w:tcMar>
              <w:top w:w="80" w:type="dxa"/>
              <w:bottom w:w="80" w:type="dxa"/>
              <w:left w:w="120" w:type="dxa"/>
              <w:right w:w="120" w:type="dxa"/>
            </w:tcMar>
          </w:tcPr>
          <w:p>
            <w:pPr>
              <w:spacing w:before="0" w:after="0"/>
              <w:jc w:val="center"/>
            </w:pPr>
            <w:r>
              <w:rPr>
                <w:rFonts w:ascii="Times New Roman" w:hAnsi="Times New Roman"/>
                <w:color w:val="282828"/>
                <w:sz w:val="18"/>
              </w:rPr>
              <w:t>Incident Queue Warning</w:t>
            </w:r>
          </w:p>
        </w:tc>
      </w:tr>
      <w:tr>
        <w:tc>
          <w:tcPr>
            <w:tcW w:type="dxa" w:w="2592"/>
            <w:shd w:fill="FFFFFF"/>
            <w:tcMar>
              <w:top w:w="80" w:type="dxa"/>
              <w:bottom w:w="80" w:type="dxa"/>
              <w:left w:w="120" w:type="dxa"/>
              <w:right w:w="120" w:type="dxa"/>
            </w:tcMar>
          </w:tcPr>
          <w:p>
            <w:pPr>
              <w:spacing w:before="0" w:after="0"/>
              <w:jc w:val="left"/>
            </w:pPr>
            <w:r>
              <w:rPr>
                <w:rFonts w:ascii="Times New Roman" w:hAnsi="Times New Roman"/>
                <w:color w:val="282828"/>
                <w:sz w:val="18"/>
              </w:rPr>
              <w:t>Network Totals &amp; Means</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160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4,609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53.20</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20.18</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Optimized Capital Allocation</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SYSTEMIC MISALLOCATION: </w:t>
            </w:r>
            <w:r>
              <w:rPr>
                <w:rFonts w:ascii="Times New Roman" w:hAnsi="Times New Roman"/>
                <w:i/>
                <w:color w:val="282828"/>
                <w:sz w:val="19"/>
              </w:rPr>
              <w:t>Resource Misallocation Metric: Quadrant 2 ('Deadly Traps') exhibits a mean risk index of 32.74 per MVKM—over 3.1 times higher than Quadrant 4 ('Fender-Benders', R = 10.46). Yet, traditional blackspot analysis awards priority to Q4 because it carries 3.5 times more raw collisions.</w:t>
            </w:r>
          </w:p>
        </w:tc>
      </w:tr>
    </w:tbl>
    <w:p>
      <w:pPr>
        <w:spacing w:before="0" w:after="80"/>
      </w:pPr>
    </w:p>
    <w:p>
      <w:pPr>
        <w:keepNext/>
        <w:spacing w:before="180" w:after="60"/>
        <w:jc w:val="left"/>
      </w:pPr>
      <w:r>
        <w:rPr>
          <w:rFonts w:ascii="Times New Roman" w:hAnsi="Times New Roman"/>
          <w:b/>
          <w:color w:val="464646"/>
          <w:sz w:val="23"/>
        </w:rPr>
        <w:t>5.2.2 Empirical Benchmark Case Study Validation: SEG-0417 vs. SEG-1902 (Figure 5 &amp; Table 5)</w:t>
      </w:r>
    </w:p>
    <w:p>
      <w:pPr>
        <w:spacing w:after="120" w:before="0" w:line="276" w:lineRule="auto"/>
        <w:jc w:val="both"/>
      </w:pPr>
      <w:r>
        <w:rPr>
          <w:rFonts w:ascii="Times New Roman" w:hAnsi="Times New Roman"/>
          <w:b w:val="0"/>
          <w:i w:val="0"/>
          <w:color w:val="282828"/>
          <w:sz w:val="24"/>
        </w:rPr>
        <w:t>To provide incontrovertible real-world evidence of this phenomenon, Figure 5 and Table 5 present a detailed side-by-side comparative case study between two real network corridors: SEG-0417 (a heavily congested multi-lane interchange on the M25 London Orbital Motorway) and SEG-1902 (a narrow, winding rural curve on the B4009 traversing the Chiltern Ridge).</w:t>
      </w:r>
    </w:p>
    <w:p>
      <w:pPr>
        <w:keepNext/>
        <w:spacing w:before="160" w:after="80"/>
        <w:jc w:val="center"/>
      </w:pPr>
      <w:r>
        <w:drawing>
          <wp:inline xmlns:a="http://schemas.openxmlformats.org/drawingml/2006/main" xmlns:pic="http://schemas.openxmlformats.org/drawingml/2006/picture">
            <wp:extent cx="5486400" cy="2619720"/>
            <wp:docPr id="6" name="Picture 6"/>
            <wp:cNvGraphicFramePr>
              <a:graphicFrameLocks noChangeAspect="1"/>
            </wp:cNvGraphicFramePr>
            <a:graphic>
              <a:graphicData uri="http://schemas.openxmlformats.org/drawingml/2006/picture">
                <pic:pic>
                  <pic:nvPicPr>
                    <pic:cNvPr id="0" name="fig05_benchmark_case.png"/>
                    <pic:cNvPicPr/>
                  </pic:nvPicPr>
                  <pic:blipFill>
                    <a:blip r:embed="rId15"/>
                    <a:stretch>
                      <a:fillRect/>
                    </a:stretch>
                  </pic:blipFill>
                  <pic:spPr>
                    <a:xfrm>
                      <a:off x="0" y="0"/>
                      <a:ext cx="5486400" cy="2619720"/>
                    </a:xfrm>
                    <a:prstGeom prst="rect"/>
                  </pic:spPr>
                </pic:pic>
              </a:graphicData>
            </a:graphic>
          </wp:inline>
        </w:drawing>
      </w:r>
    </w:p>
    <w:p>
      <w:pPr>
        <w:spacing w:before="40" w:after="160"/>
        <w:jc w:val="center"/>
      </w:pPr>
      <w:r>
        <w:rPr>
          <w:rFonts w:ascii="Times New Roman" w:hAnsi="Times New Roman"/>
          <w:b/>
          <w:color w:val="1F4E79"/>
          <w:sz w:val="19"/>
        </w:rPr>
        <w:t xml:space="preserve">Figure 5: </w:t>
      </w:r>
      <w:r>
        <w:rPr>
          <w:rFonts w:ascii="Times New Roman" w:hAnsi="Times New Roman"/>
          <w:i/>
          <w:color w:val="282828"/>
          <w:sz w:val="19"/>
        </w:rPr>
        <w:t>Benchmark Case Study Validation: SEG-0417 (M25 Interchange) vs. SEG-1902 (B4009 Ridge Curve)</w:t>
      </w:r>
    </w:p>
    <w:p>
      <w:pPr>
        <w:spacing w:after="120" w:before="0" w:line="276" w:lineRule="auto"/>
        <w:jc w:val="both"/>
      </w:pPr>
      <w:r>
        <w:rPr>
          <w:rFonts w:ascii="Times New Roman" w:hAnsi="Times New Roman"/>
          <w:b w:val="0"/>
          <w:i w:val="0"/>
          <w:color w:val="282828"/>
          <w:sz w:val="24"/>
        </w:rPr>
        <w:t>The comparative metrics in Table 5 illustrate the severity-frequency paradox in stark numerical terms. Over the observation period, the M25 interchange (SEG-0417) recorded 47 crashes. Under conventional police and municipal counting, it ranked #142 most dangerous out of 160 roads, triggering immediate calls for barrier expansion. However, because SEG-0417 accommodates 58,000 vehicles/day over 1.28 km (yielding 27.1 MVKM of exposure), and its crashes were predominantly minor shunts (severity sum = 186), its exposure-adjusted risk index is just 6.86 per MVKM. In reality, SEG-0417 ranks #152—among the very safest road segments in the entire region.</w:t>
      </w:r>
    </w:p>
    <w:p>
      <w:pPr>
        <w:spacing w:after="120" w:before="0" w:line="276" w:lineRule="auto"/>
        <w:jc w:val="both"/>
      </w:pPr>
      <w:r>
        <w:rPr>
          <w:rFonts w:ascii="Times New Roman" w:hAnsi="Times New Roman"/>
          <w:b w:val="0"/>
          <w:i w:val="0"/>
          <w:color w:val="282828"/>
          <w:sz w:val="24"/>
        </w:rPr>
        <w:t>In shocking contrast, the B4009 curve (SEG-1902) recorded a mere 6 crashes. Under raw frequency ranking, it sat at rank #159—appearing completely benign and completely ignored by safety auditors. However, because SEG-1902 carries modest rural traffic (2,500 vpd over 2.74 km = 2.5 MVKM exposure), and its 6 crashes produced catastrophic outcomes (4 fatalities and 1 serious injury, generating a severity sum of 211), its true exposure-adjusted risk index is a horrifying 84.40 per MVKM. SEG-1902 is actually rank #2—the second most dangerous lethal trap on the entire road network! This benchmark proves the central research claim: SEG-1902 has one-eighth the crashes of SEG-0417, but carries over twelve times the true risk!</w:t>
      </w:r>
    </w:p>
    <w:p>
      <w:pPr>
        <w:keepNext/>
        <w:spacing w:before="160" w:after="80"/>
        <w:jc w:val="left"/>
      </w:pPr>
      <w:r>
        <w:rPr>
          <w:rFonts w:ascii="Times New Roman" w:hAnsi="Times New Roman"/>
          <w:b/>
          <w:color w:val="1F4E79"/>
          <w:sz w:val="19"/>
        </w:rPr>
        <w:t xml:space="preserve">Table 5: </w:t>
      </w:r>
      <w:r>
        <w:rPr>
          <w:rFonts w:ascii="Times New Roman" w:hAnsi="Times New Roman"/>
          <w:i/>
          <w:color w:val="282828"/>
          <w:sz w:val="19"/>
        </w:rPr>
        <w:t>Empirical Validation Benchmark Case Study: SEG-0417 vs. SEG-1902 Comparative Metrics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800"/>
        <w:gridCol w:w="1800"/>
        <w:gridCol w:w="1800"/>
        <w:gridCol w:w="1800"/>
        <w:gridCol w:w="1800"/>
      </w:tblGrid>
      <w:tr>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Evaluation Parameter</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SEG-0417 (M25 Interchange)</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SEG-1902 (B4009 Ridge Curve)</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Factor Disparity / Ratio</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Engineering Interpretation</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Roadway Functional Class</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Motorway Grade-Separated</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B-Road Rural Secondary</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Severe Geometric Difference</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Operating Speed Limit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70 mph (Congested Flow)</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50 mph (Unlit Sharp Curve)</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High Rural Kinetic Danger</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Annual Average Daily Traffic (AADT)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58,000 vehicles/day</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2,500 vehicles/day</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23.2x Higher Traffic</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Massive Volume Difference</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Segment Length (km)</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1.28 km</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2.74 km</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0.47x Shorter</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Compact Interchange vs Curve</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Annual Road Exposure (MVKM)</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27.10 MVKM</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2.50 MVKM</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10.8x Higher Exposure</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High Opportunity for Interaction</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Raw Crash Incident Volume (N)</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47 Crashes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6 Crashes</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7.8x Higher Crashes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One-Eighth the Crashes!</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Fatal Crash Incidents (n)</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0 Fatalities</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4 Fatalities</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Infinite Lethality</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Severe Physical Trauma</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Serious Injury Incidents (n)</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18 Serious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 Serious</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18x Higher Serious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Low-Speed Motorway Shunts</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Slight Injury Incidents (n)</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29 Slight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1 Slight</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29x Higher Slight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Minor Property Damage</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DfT Severity Weight Sum (S)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186 Points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211 Points</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1.13x Higher Severity</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Trauma Exceeds Motorway!</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Exposure Risk Index (R = S/E)</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6.86 per MVKM</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84.40 per MVKM</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12.3x Higher Risk!</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TWELVE TIMES THE RISK!</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Raw Incident Network Rank</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#142 (Looks Very Dangerous)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#159 (Looks Completely Safe)</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Misleading Legacy Rank</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Exposure-Adjusted Risk Rank</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#152 (Ranks Extremely Safe)</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 (DEADLY KILLER TRAP!)</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True Public Safety Rank</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Operational Priority Action</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Queue Warning &amp; Flow Mgmt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Immediate High-Friction Asphalt &amp; LEDs</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Targeted Intervention</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EMPIRICAL BENCHMARK PROOF: </w:t>
            </w:r>
            <w:r>
              <w:rPr>
                <w:rFonts w:ascii="Times New Roman" w:hAnsi="Times New Roman"/>
                <w:i/>
                <w:color w:val="282828"/>
                <w:sz w:val="19"/>
              </w:rPr>
              <w:t>The 1/8th vs. 12x Axiom Validated: SEG-1902 records 6 crashes vs. 47 on SEG-0417 (nearly 1/8th the volume), but generates a risk index of 84.40 vs. 6.86 (12.3 times the risk). Traditional methods that prioritize SEG-0417 over SEG-1902 are guilty of lethal negligence.</w:t>
            </w:r>
          </w:p>
        </w:tc>
      </w:tr>
    </w:tbl>
    <w:p>
      <w:pPr>
        <w:spacing w:before="0" w:after="80"/>
      </w:pPr>
    </w:p>
    <w:p>
      <w:pPr>
        <w:keepNext/>
        <w:spacing w:before="180" w:after="60"/>
        <w:jc w:val="left"/>
      </w:pPr>
      <w:r>
        <w:rPr>
          <w:rFonts w:ascii="Times New Roman" w:hAnsi="Times New Roman"/>
          <w:b/>
          <w:color w:val="464646"/>
          <w:sz w:val="23"/>
        </w:rPr>
        <w:t>5.2.3 Systemic Rank Inversion &amp; Priority Misallocation (Figure 6 &amp; Table 6)</w:t>
      </w:r>
    </w:p>
    <w:p>
      <w:pPr>
        <w:spacing w:after="120" w:before="0" w:line="276" w:lineRule="auto"/>
        <w:jc w:val="both"/>
      </w:pPr>
      <w:r>
        <w:rPr>
          <w:rFonts w:ascii="Times New Roman" w:hAnsi="Times New Roman"/>
          <w:b w:val="0"/>
          <w:i w:val="0"/>
          <w:color w:val="282828"/>
          <w:sz w:val="24"/>
        </w:rPr>
        <w:t xml:space="preserve">To evaluate whether the SEG-0417 vs. SEG-1902 inversion is an isolated anomaly or a systemic network-wide phenomenon, Figure 6 plots the distribution of Rank Displacement across all 160 segments, defined as $\Delta = </w:t>
        <w:tab/>
        <w:t>ext{Rank}_{</w:t>
        <w:tab/>
        <w:t xml:space="preserve">ext{raw}} - </w:t>
        <w:tab/>
        <w:t>ext{Rank}_{</w:t>
        <w:tab/>
        <w:t>ext{risk}}$. A large positive rank shift indicates a 'Hidden Killer' corridor (a road with low crash counts that surges into the top ranks of true risk), while a negative rank shift signifies an over-prioritized congested facility.</w:t>
      </w:r>
    </w:p>
    <w:p>
      <w:pPr>
        <w:keepNext/>
        <w:spacing w:before="160" w:after="80"/>
        <w:jc w:val="center"/>
      </w:pPr>
      <w:r>
        <w:drawing>
          <wp:inline xmlns:a="http://schemas.openxmlformats.org/drawingml/2006/main" xmlns:pic="http://schemas.openxmlformats.org/drawingml/2006/picture">
            <wp:extent cx="5303520" cy="2532396"/>
            <wp:docPr id="7" name="Picture 7"/>
            <wp:cNvGraphicFramePr>
              <a:graphicFrameLocks noChangeAspect="1"/>
            </wp:cNvGraphicFramePr>
            <a:graphic>
              <a:graphicData uri="http://schemas.openxmlformats.org/drawingml/2006/picture">
                <pic:pic>
                  <pic:nvPicPr>
                    <pic:cNvPr id="0" name="fig06_rank_inversion.png"/>
                    <pic:cNvPicPr/>
                  </pic:nvPicPr>
                  <pic:blipFill>
                    <a:blip r:embed="rId16"/>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6: </w:t>
      </w:r>
      <w:r>
        <w:rPr>
          <w:rFonts w:ascii="Times New Roman" w:hAnsi="Times New Roman"/>
          <w:i/>
          <w:color w:val="282828"/>
          <w:sz w:val="19"/>
        </w:rPr>
        <w:t>Systemic Priority Inversion: Distribution of Rank Displacement (Delta Rank Shifts)</w:t>
      </w:r>
    </w:p>
    <w:p>
      <w:pPr>
        <w:spacing w:after="120" w:before="0" w:line="276" w:lineRule="auto"/>
        <w:jc w:val="both"/>
      </w:pPr>
      <w:r>
        <w:rPr>
          <w:rFonts w:ascii="Times New Roman" w:hAnsi="Times New Roman"/>
          <w:b w:val="0"/>
          <w:i w:val="0"/>
          <w:color w:val="282828"/>
          <w:sz w:val="24"/>
        </w:rPr>
        <w:t>As demonstrated by the broad bimodal distribution in Figure 6, over 40% of the road network experiences rank shifts exceeding ±50 positions. Table 6 documents the Top 10 High-Lethality Road Segments Subject to Extreme Rank Inversion. SEG-1902 leads the network with a +157 position jump (raw rank #159 $</w:t>
        <w:tab/>
        <w:t>o$ risk rank #2). Segment SEG-0142, a rural link carrying 1,842 AADT, recorded 11 crashes and jumped +150 positions to become the #1 most dangerous road on the entire network (R = 86.84). Segments SEG-0052, SEG-0120, and SEG-0010 each experienced jumps exceeding +125 positions. In every case, the mechanism is identical: low daily volume masks acute trauma, blinding conventional safety management.</w:t>
      </w:r>
    </w:p>
    <w:p>
      <w:pPr>
        <w:keepNext/>
        <w:spacing w:before="160" w:after="80"/>
        <w:jc w:val="left"/>
      </w:pPr>
      <w:r>
        <w:rPr>
          <w:rFonts w:ascii="Times New Roman" w:hAnsi="Times New Roman"/>
          <w:b/>
          <w:color w:val="1F4E79"/>
          <w:sz w:val="19"/>
        </w:rPr>
        <w:t xml:space="preserve">Table 6: </w:t>
      </w:r>
      <w:r>
        <w:rPr>
          <w:rFonts w:ascii="Times New Roman" w:hAnsi="Times New Roman"/>
          <w:i/>
          <w:color w:val="282828"/>
          <w:sz w:val="19"/>
        </w:rPr>
        <w:t>Top 10 High-Lethality Road Segments Subject to Systemic Rank Inversion ('Deadly Traps')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000"/>
        <w:gridCol w:w="1000"/>
        <w:gridCol w:w="1000"/>
        <w:gridCol w:w="1000"/>
        <w:gridCol w:w="1000"/>
        <w:gridCol w:w="1000"/>
        <w:gridCol w:w="1000"/>
        <w:gridCol w:w="1000"/>
        <w:gridCol w:w="1000"/>
      </w:tblGrid>
      <w:tr>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Segment ID</w:t>
            </w:r>
          </w:p>
        </w:tc>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Corridor Description</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Road Class</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Exposure (MVKM)</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Exposure Risk (R)</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Raw Rank</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Risk Rank</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Rank Jump (+Δ)</w:t>
            </w:r>
          </w:p>
        </w:tc>
      </w:tr>
      <w:tr>
        <w:tc>
          <w:tcPr>
            <w:tcW w:type="dxa" w:w="1440"/>
            <w:shd w:fill="FFFFFF"/>
            <w:tcMar>
              <w:top w:w="80" w:type="dxa"/>
              <w:bottom w:w="80" w:type="dxa"/>
              <w:left w:w="120" w:type="dxa"/>
              <w:right w:w="120" w:type="dxa"/>
            </w:tcMar>
          </w:tcPr>
          <w:p>
            <w:pPr>
              <w:spacing w:before="0" w:after="0"/>
              <w:jc w:val="left"/>
            </w:pPr>
            <w:r>
              <w:rPr>
                <w:rFonts w:ascii="Times New Roman" w:hAnsi="Times New Roman"/>
                <w:color w:val="282828"/>
                <w:sz w:val="18"/>
              </w:rPr>
              <w:t>SEG-1902</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B4009 Chiltern Ridge Curve</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B-Road Rural</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2.50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84.40</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#159</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#2</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+157</w:t>
            </w:r>
          </w:p>
        </w:tc>
      </w:tr>
      <w:tr>
        <w:tc>
          <w:tcPr>
            <w:tcW w:type="dxa" w:w="1440"/>
            <w:shd w:fill="F7FAFC"/>
            <w:tcMar>
              <w:top w:w="80" w:type="dxa"/>
              <w:bottom w:w="80" w:type="dxa"/>
              <w:left w:w="120" w:type="dxa"/>
              <w:right w:w="120" w:type="dxa"/>
            </w:tcMar>
          </w:tcPr>
          <w:p>
            <w:pPr>
              <w:spacing w:before="0" w:after="0"/>
              <w:jc w:val="left"/>
            </w:pPr>
            <w:r>
              <w:rPr>
                <w:rFonts w:ascii="Times New Roman" w:hAnsi="Times New Roman"/>
                <w:color w:val="282828"/>
                <w:sz w:val="18"/>
              </w:rPr>
              <w:t>SEG-0142</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Highland Rural Link 0142</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B-Road Rural</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2.35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86.84</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#151</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+150</w:t>
            </w:r>
          </w:p>
        </w:tc>
      </w:tr>
      <w:tr>
        <w:tc>
          <w:tcPr>
            <w:tcW w:type="dxa" w:w="1440"/>
            <w:shd w:fill="FFFFFF"/>
            <w:tcMar>
              <w:top w:w="80" w:type="dxa"/>
              <w:bottom w:w="80" w:type="dxa"/>
              <w:left w:w="120" w:type="dxa"/>
              <w:right w:w="120" w:type="dxa"/>
            </w:tcMar>
          </w:tcPr>
          <w:p>
            <w:pPr>
              <w:spacing w:before="0" w:after="0"/>
              <w:jc w:val="left"/>
            </w:pPr>
            <w:r>
              <w:rPr>
                <w:rFonts w:ascii="Times New Roman" w:hAnsi="Times New Roman"/>
                <w:color w:val="282828"/>
                <w:sz w:val="18"/>
              </w:rPr>
              <w:t>SEG-0052</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A-Road Single Spur 0052</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A-Road Single</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4.82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58.12</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#144</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+134</w:t>
            </w:r>
          </w:p>
        </w:tc>
      </w:tr>
      <w:tr>
        <w:tc>
          <w:tcPr>
            <w:tcW w:type="dxa" w:w="1440"/>
            <w:shd w:fill="F7FAFC"/>
            <w:tcMar>
              <w:top w:w="80" w:type="dxa"/>
              <w:bottom w:w="80" w:type="dxa"/>
              <w:left w:w="120" w:type="dxa"/>
              <w:right w:w="120" w:type="dxa"/>
            </w:tcMar>
          </w:tcPr>
          <w:p>
            <w:pPr>
              <w:spacing w:before="0" w:after="0"/>
              <w:jc w:val="left"/>
            </w:pPr>
            <w:r>
              <w:rPr>
                <w:rFonts w:ascii="Times New Roman" w:hAnsi="Times New Roman"/>
                <w:color w:val="282828"/>
                <w:sz w:val="18"/>
              </w:rPr>
              <w:t>SEG-0120</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Rural Access Corridor 0120</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B-Road Rural</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3.41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61.35</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#147</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+133</w:t>
            </w:r>
          </w:p>
        </w:tc>
      </w:tr>
      <w:tr>
        <w:tc>
          <w:tcPr>
            <w:tcW w:type="dxa" w:w="1440"/>
            <w:shd w:fill="FFFFFF"/>
            <w:tcMar>
              <w:top w:w="80" w:type="dxa"/>
              <w:bottom w:w="80" w:type="dxa"/>
              <w:left w:w="120" w:type="dxa"/>
              <w:right w:w="120" w:type="dxa"/>
            </w:tcMar>
          </w:tcPr>
          <w:p>
            <w:pPr>
              <w:spacing w:before="0" w:after="0"/>
              <w:jc w:val="left"/>
            </w:pPr>
            <w:r>
              <w:rPr>
                <w:rFonts w:ascii="Times New Roman" w:hAnsi="Times New Roman"/>
                <w:color w:val="282828"/>
                <w:sz w:val="18"/>
              </w:rPr>
              <w:t>SEG-0010</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A-Road Single Connect 0010</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A-Road Single</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6.12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52.48</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#138</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+127</w:t>
            </w:r>
          </w:p>
        </w:tc>
      </w:tr>
      <w:tr>
        <w:tc>
          <w:tcPr>
            <w:tcW w:type="dxa" w:w="1440"/>
            <w:shd w:fill="F7FAFC"/>
            <w:tcMar>
              <w:top w:w="80" w:type="dxa"/>
              <w:bottom w:w="80" w:type="dxa"/>
              <w:left w:w="120" w:type="dxa"/>
              <w:right w:w="120" w:type="dxa"/>
            </w:tcMar>
          </w:tcPr>
          <w:p>
            <w:pPr>
              <w:spacing w:before="0" w:after="0"/>
              <w:jc w:val="left"/>
            </w:pPr>
            <w:r>
              <w:rPr>
                <w:rFonts w:ascii="Times New Roman" w:hAnsi="Times New Roman"/>
                <w:color w:val="282828"/>
                <w:sz w:val="18"/>
              </w:rPr>
              <w:t>SEG-0109</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Chiltern Foot Single 0109</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A-Road Single</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5.44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51.92</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#141</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+127</w:t>
            </w:r>
          </w:p>
        </w:tc>
      </w:tr>
      <w:tr>
        <w:tc>
          <w:tcPr>
            <w:tcW w:type="dxa" w:w="1440"/>
            <w:shd w:fill="FFFFFF"/>
            <w:tcMar>
              <w:top w:w="80" w:type="dxa"/>
              <w:bottom w:w="80" w:type="dxa"/>
              <w:left w:w="120" w:type="dxa"/>
              <w:right w:w="120" w:type="dxa"/>
            </w:tcMar>
          </w:tcPr>
          <w:p>
            <w:pPr>
              <w:spacing w:before="0" w:after="0"/>
              <w:jc w:val="left"/>
            </w:pPr>
            <w:r>
              <w:rPr>
                <w:rFonts w:ascii="Times New Roman" w:hAnsi="Times New Roman"/>
                <w:color w:val="282828"/>
                <w:sz w:val="18"/>
              </w:rPr>
              <w:t>SEG-0103</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B-Road Peripheral 0103</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B-Road Rural</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4.15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54.21</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#143</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#21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+122</w:t>
            </w:r>
          </w:p>
        </w:tc>
      </w:tr>
      <w:tr>
        <w:tc>
          <w:tcPr>
            <w:tcW w:type="dxa" w:w="1440"/>
            <w:shd w:fill="F7FAFC"/>
            <w:tcMar>
              <w:top w:w="80" w:type="dxa"/>
              <w:bottom w:w="80" w:type="dxa"/>
              <w:left w:w="120" w:type="dxa"/>
              <w:right w:w="120" w:type="dxa"/>
            </w:tcMar>
          </w:tcPr>
          <w:p>
            <w:pPr>
              <w:spacing w:before="0" w:after="0"/>
              <w:jc w:val="left"/>
            </w:pPr>
            <w:r>
              <w:rPr>
                <w:rFonts w:ascii="Times New Roman" w:hAnsi="Times New Roman"/>
                <w:color w:val="282828"/>
                <w:sz w:val="18"/>
              </w:rPr>
              <w:t>SEG-0141</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Highland Single Cut 0141</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A-Road Single</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6.88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48.70</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#136</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+118</w:t>
            </w:r>
          </w:p>
        </w:tc>
      </w:tr>
      <w:tr>
        <w:tc>
          <w:tcPr>
            <w:tcW w:type="dxa" w:w="1440"/>
            <w:shd w:fill="FFFFFF"/>
            <w:tcMar>
              <w:top w:w="80" w:type="dxa"/>
              <w:bottom w:w="80" w:type="dxa"/>
              <w:left w:w="120" w:type="dxa"/>
              <w:right w:w="120" w:type="dxa"/>
            </w:tcMar>
          </w:tcPr>
          <w:p>
            <w:pPr>
              <w:spacing w:before="0" w:after="0"/>
              <w:jc w:val="left"/>
            </w:pPr>
            <w:r>
              <w:rPr>
                <w:rFonts w:ascii="Times New Roman" w:hAnsi="Times New Roman"/>
                <w:color w:val="282828"/>
                <w:sz w:val="18"/>
              </w:rPr>
              <w:t>SEG-0115</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Rural Ridge Pass 0115</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B-Road Rural</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2.98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72.48</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#121</w:t>
            </w:r>
          </w:p>
        </w:tc>
        <w:tc>
          <w:tcPr>
            <w:tcW w:type="dxa" w:w="864"/>
            <w:shd w:fill="FFFFFF"/>
            <w:tcMar>
              <w:top w:w="80" w:type="dxa"/>
              <w:bottom w:w="80" w:type="dxa"/>
              <w:left w:w="120" w:type="dxa"/>
              <w:right w:w="120" w:type="dxa"/>
            </w:tcMar>
          </w:tcPr>
          <w:p>
            <w:pPr>
              <w:spacing w:before="0" w:after="0"/>
              <w:jc w:val="center"/>
            </w:pPr>
            <w:r>
              <w:rPr>
                <w:rFonts w:ascii="Times New Roman" w:hAnsi="Times New Roman"/>
                <w:color w:val="282828"/>
                <w:sz w:val="18"/>
              </w:rPr>
              <w:t>#3</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+118</w:t>
            </w:r>
          </w:p>
        </w:tc>
      </w:tr>
      <w:tr>
        <w:tc>
          <w:tcPr>
            <w:tcW w:type="dxa" w:w="1440"/>
            <w:shd w:fill="F7FAFC"/>
            <w:tcMar>
              <w:top w:w="80" w:type="dxa"/>
              <w:bottom w:w="80" w:type="dxa"/>
              <w:left w:w="120" w:type="dxa"/>
              <w:right w:w="120" w:type="dxa"/>
            </w:tcMar>
          </w:tcPr>
          <w:p>
            <w:pPr>
              <w:spacing w:before="0" w:after="0"/>
              <w:jc w:val="left"/>
            </w:pPr>
            <w:r>
              <w:rPr>
                <w:rFonts w:ascii="Times New Roman" w:hAnsi="Times New Roman"/>
                <w:color w:val="282828"/>
                <w:sz w:val="18"/>
              </w:rPr>
              <w:t>SEG-0070</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A-Road Single Sector 0070</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A-Road Single</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7.64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46.12</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#132</w:t>
            </w:r>
          </w:p>
        </w:tc>
        <w:tc>
          <w:tcPr>
            <w:tcW w:type="dxa" w:w="864"/>
            <w:shd w:fill="F7FAFC"/>
            <w:tcMar>
              <w:top w:w="80" w:type="dxa"/>
              <w:bottom w:w="80" w:type="dxa"/>
              <w:left w:w="120" w:type="dxa"/>
              <w:right w:w="120" w:type="dxa"/>
            </w:tcMar>
          </w:tcPr>
          <w:p>
            <w:pPr>
              <w:spacing w:before="0" w:after="0"/>
              <w:jc w:val="center"/>
            </w:pPr>
            <w:r>
              <w:rPr>
                <w:rFonts w:ascii="Times New Roman" w:hAnsi="Times New Roman"/>
                <w:color w:val="282828"/>
                <w:sz w:val="18"/>
              </w:rPr>
              <w:t>#18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+114</w:t>
            </w:r>
          </w:p>
        </w:tc>
      </w:tr>
    </w:tbl>
    <w:p>
      <w:pPr>
        <w:spacing w:before="0" w:after="120"/>
      </w:pPr>
    </w:p>
    <w:p>
      <w:pPr>
        <w:keepNext/>
        <w:spacing w:before="240" w:after="80"/>
        <w:jc w:val="left"/>
      </w:pPr>
      <w:r>
        <w:rPr>
          <w:rFonts w:ascii="Times New Roman" w:hAnsi="Times New Roman"/>
          <w:b/>
          <w:color w:val="2E74B5"/>
          <w:sz w:val="25"/>
        </w:rPr>
        <w:t>5.3 Temporal &amp; Circadian Risk Dynamics: The Midnight Lethality Peak</w:t>
      </w:r>
    </w:p>
    <w:p>
      <w:pPr>
        <w:keepNext/>
        <w:spacing w:before="180" w:after="60"/>
        <w:jc w:val="left"/>
      </w:pPr>
      <w:r>
        <w:rPr>
          <w:rFonts w:ascii="Times New Roman" w:hAnsi="Times New Roman"/>
          <w:b/>
          <w:color w:val="464646"/>
          <w:sz w:val="23"/>
        </w:rPr>
        <w:t>5.3.1 24-Hour Circadian Dual-Axis Risk Curve (Figure 7 &amp; Table 7)</w:t>
      </w:r>
    </w:p>
    <w:p>
      <w:pPr>
        <w:spacing w:after="120" w:before="0" w:line="276" w:lineRule="auto"/>
        <w:jc w:val="both"/>
      </w:pPr>
      <w:r>
        <w:rPr>
          <w:rFonts w:ascii="Times New Roman" w:hAnsi="Times New Roman"/>
          <w:b w:val="0"/>
          <w:i w:val="0"/>
          <w:color w:val="282828"/>
          <w:sz w:val="24"/>
        </w:rPr>
        <w:t>Figure 7 displays the 24-hour circadian profile of traffic collisions across the network, contrasting gross hourly incident volume against the hourly fatality rate (fatalities divided by total crashes, expressed as a percentage). A profound temporal inversion is immediately apparent:</w:t>
      </w:r>
    </w:p>
    <w:p>
      <w:pPr>
        <w:keepNext/>
        <w:spacing w:before="160" w:after="80"/>
        <w:jc w:val="center"/>
      </w:pPr>
      <w:r>
        <w:drawing>
          <wp:inline xmlns:a="http://schemas.openxmlformats.org/drawingml/2006/main" xmlns:pic="http://schemas.openxmlformats.org/drawingml/2006/picture">
            <wp:extent cx="5486400" cy="2629734"/>
            <wp:docPr id="8" name="Picture 8"/>
            <wp:cNvGraphicFramePr>
              <a:graphicFrameLocks noChangeAspect="1"/>
            </wp:cNvGraphicFramePr>
            <a:graphic>
              <a:graphicData uri="http://schemas.openxmlformats.org/drawingml/2006/picture">
                <pic:pic>
                  <pic:nvPicPr>
                    <pic:cNvPr id="0" name="fig07_circadian_dual_axis.png"/>
                    <pic:cNvPicPr/>
                  </pic:nvPicPr>
                  <pic:blipFill>
                    <a:blip r:embed="rId17"/>
                    <a:stretch>
                      <a:fillRect/>
                    </a:stretch>
                  </pic:blipFill>
                  <pic:spPr>
                    <a:xfrm>
                      <a:off x="0" y="0"/>
                      <a:ext cx="5486400" cy="2629734"/>
                    </a:xfrm>
                    <a:prstGeom prst="rect"/>
                  </pic:spPr>
                </pic:pic>
              </a:graphicData>
            </a:graphic>
          </wp:inline>
        </w:drawing>
      </w:r>
    </w:p>
    <w:p>
      <w:pPr>
        <w:spacing w:before="40" w:after="160"/>
        <w:jc w:val="center"/>
      </w:pPr>
      <w:r>
        <w:rPr>
          <w:rFonts w:ascii="Times New Roman" w:hAnsi="Times New Roman"/>
          <w:b/>
          <w:color w:val="1F4E79"/>
          <w:sz w:val="19"/>
        </w:rPr>
        <w:t xml:space="preserve">Figure 7: </w:t>
      </w:r>
      <w:r>
        <w:rPr>
          <w:rFonts w:ascii="Times New Roman" w:hAnsi="Times New Roman"/>
          <w:i/>
          <w:color w:val="282828"/>
          <w:sz w:val="19"/>
        </w:rPr>
        <w:t>24-Hour Circadian Risk Dynamics: Gross Hourly Crash Volume vs. Fatality Proportion (%)</w:t>
      </w:r>
    </w:p>
    <w:p>
      <w:pPr>
        <w:spacing w:after="120" w:before="0" w:line="276" w:lineRule="auto"/>
        <w:jc w:val="both"/>
      </w:pPr>
      <w:r>
        <w:rPr>
          <w:rFonts w:ascii="Times New Roman" w:hAnsi="Times New Roman"/>
          <w:b w:val="0"/>
          <w:i w:val="0"/>
          <w:color w:val="282828"/>
          <w:sz w:val="24"/>
        </w:rPr>
        <w:t>During peak daytime commute windows—specifically the Morning Rush (07:00–09:00, peaking at 1,908 crashes at 08:00) and the Evening Rush (16:00–18:00, peaking at 1,829 crashes at 17:00)—dense traffic flow forces vehicle deceleration, yielding high crash volumes dominated by minor bumper-to-bumper taps. Consequently, the daytime fatality rate remains low (3.04% at 07:00 and 2.63% at 15:00). However, as shown in Table 7, during the nocturnal circadian trough between 01:00 and 05:00, gross crash counts plunge to their daily minimum (only 148 crashes at 02:00). Crucially, the fatality rate doubles and triples, surging to 6.76% at 02:00, 5.08% at 03:00, and peaking at 6.82% at 05:00! Mean severity weights rise from 4.15 in mid-afternoon to 6.24 pre-dawn. This empirical finding establishes that nocturnal roads are twice as deadly on a per-crash basis due to high unimpeded travel speeds, darkness, and driver fatigue.</w:t>
      </w:r>
    </w:p>
    <w:p>
      <w:pPr>
        <w:keepNext/>
        <w:spacing w:before="160" w:after="80"/>
        <w:jc w:val="left"/>
      </w:pPr>
      <w:r>
        <w:rPr>
          <w:rFonts w:ascii="Times New Roman" w:hAnsi="Times New Roman"/>
          <w:b/>
          <w:color w:val="1F4E79"/>
          <w:sz w:val="19"/>
        </w:rPr>
        <w:t xml:space="preserve">Table 7: </w:t>
      </w:r>
      <w:r>
        <w:rPr>
          <w:rFonts w:ascii="Times New Roman" w:hAnsi="Times New Roman"/>
          <w:i/>
          <w:color w:val="282828"/>
          <w:sz w:val="19"/>
        </w:rPr>
        <w:t>24-Hour Circadian Temporal Distribution of Incident Volume, Fatalities, and Fatality Rate (%)</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286"/>
        <w:gridCol w:w="1286"/>
        <w:gridCol w:w="1286"/>
        <w:gridCol w:w="1286"/>
        <w:gridCol w:w="1286"/>
        <w:gridCol w:w="1286"/>
        <w:gridCol w:w="1286"/>
      </w:tblGrid>
      <w:tr>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Hour Window</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Vol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Fatalities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Share (%)</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00:00 - 00:59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314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69</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5.47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5.10%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15.61%</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01:00 - 01:59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209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56</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5.29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18.18%</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02:00 - 02:59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148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24</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5.77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6.76%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16.22%</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03:00 - 03:59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177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40</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5.53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5.08%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23.16%</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04:00 - 04:59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222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64</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6.02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4.95%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19.82%</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05:00 - 05:59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440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93</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6.24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6.82%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19.32%</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06:00 - 06:59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905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181</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4.86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4.20%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18.90%</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07:00 - 07:59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1,644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325</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4.27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3.04%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18.49%</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08:00 - 08:59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1,908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392</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4.60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3.56%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17.87%</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09:00 - 09:59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1,323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272</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4.52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3.40%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19.43%</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10:00 - 10:59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1,033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229</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4.85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3.78%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19.26%</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11:00 - 11:59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1,009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195</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4.63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20.12%</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12:00 - 12:59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1,148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261</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4.41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2.79%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19.51%</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13:00 - 13:59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1,170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261</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4.39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2.82%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17.78%</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14:00 - 14:59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1,150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255</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4.79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3.65%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21.13%</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15:00 - 15:59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1,331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275</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4.15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2.63%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18.11%</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16:00 - 16:59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1,730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353</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4.79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3.99%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19.36%</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17:00 - 17:59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1,829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75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365</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4.81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4.10%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18.43%</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18:00 - 18:59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1,277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252</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4.43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3.37%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18.25%</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19:00 - 19:59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982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172</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4.67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4.28%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17.21%</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20:00 - 20:59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718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159</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6.06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6.27%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18.66%</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21:00 - 21:59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519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124</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5.32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4.43%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16.57%</w:t>
            </w:r>
          </w:p>
        </w:tc>
      </w:tr>
      <w:tr>
        <w:tc>
          <w:tcPr>
            <w:tcW w:type="dxa" w:w="1584"/>
            <w:shd w:fill="FFFFFF"/>
            <w:tcMar>
              <w:top w:w="80" w:type="dxa"/>
              <w:bottom w:w="80" w:type="dxa"/>
              <w:left w:w="120" w:type="dxa"/>
              <w:right w:w="120" w:type="dxa"/>
            </w:tcMar>
          </w:tcPr>
          <w:p>
            <w:pPr>
              <w:spacing w:before="0" w:after="0"/>
              <w:jc w:val="left"/>
            </w:pPr>
            <w:r>
              <w:rPr>
                <w:rFonts w:ascii="Times New Roman" w:hAnsi="Times New Roman"/>
                <w:color w:val="282828"/>
                <w:sz w:val="18"/>
              </w:rPr>
              <w:t>22:00 - 22:59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435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99</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4.96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3.91%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20.23%</w:t>
            </w:r>
          </w:p>
        </w:tc>
      </w:tr>
      <w:tr>
        <w:tc>
          <w:tcPr>
            <w:tcW w:type="dxa" w:w="1584"/>
            <w:shd w:fill="F7FAFC"/>
            <w:tcMar>
              <w:top w:w="80" w:type="dxa"/>
              <w:bottom w:w="80" w:type="dxa"/>
              <w:left w:w="120" w:type="dxa"/>
              <w:right w:w="120" w:type="dxa"/>
            </w:tcMar>
          </w:tcPr>
          <w:p>
            <w:pPr>
              <w:spacing w:before="0" w:after="0"/>
              <w:jc w:val="left"/>
            </w:pPr>
            <w:r>
              <w:rPr>
                <w:rFonts w:ascii="Times New Roman" w:hAnsi="Times New Roman"/>
                <w:color w:val="282828"/>
                <w:sz w:val="18"/>
              </w:rPr>
              <w:t>23:00 - 23:59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379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93</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5.54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4.75%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20.05%</w:t>
            </w:r>
          </w:p>
        </w:tc>
      </w:tr>
    </w:tbl>
    <w:p>
      <w:pPr>
        <w:spacing w:before="0" w:after="120"/>
      </w:pPr>
    </w:p>
    <w:p>
      <w:pPr>
        <w:keepNext/>
        <w:spacing w:before="180" w:after="60"/>
        <w:jc w:val="left"/>
      </w:pPr>
      <w:r>
        <w:rPr>
          <w:rFonts w:ascii="Times New Roman" w:hAnsi="Times New Roman"/>
          <w:b/>
          <w:color w:val="464646"/>
          <w:sz w:val="23"/>
        </w:rPr>
        <w:t>5.3.2 168-Cell Spatiotemporal Day-of-Week × Hour Heatmap (Figure 8 &amp; Table 8)</w:t>
      </w:r>
    </w:p>
    <w:p>
      <w:pPr>
        <w:spacing w:after="120" w:before="0" w:line="276" w:lineRule="auto"/>
        <w:jc w:val="both"/>
      </w:pPr>
      <w:r>
        <w:rPr>
          <w:rFonts w:ascii="Times New Roman" w:hAnsi="Times New Roman"/>
          <w:b w:val="0"/>
          <w:i w:val="0"/>
          <w:color w:val="282828"/>
          <w:sz w:val="24"/>
        </w:rPr>
        <w:t>To explore how weekly activity schedules interact with circadian rhythms, Figure 8 depicts a complete 168-cell matrix cross-tabulating Day-of-Week (Monday through Sunday) against Hour-of-Day (00:00 to 23:00), shaded by mean severity weight.</w:t>
      </w:r>
    </w:p>
    <w:p>
      <w:pPr>
        <w:keepNext/>
        <w:spacing w:before="160" w:after="80"/>
        <w:jc w:val="center"/>
      </w:pPr>
      <w:r>
        <w:drawing>
          <wp:inline xmlns:a="http://schemas.openxmlformats.org/drawingml/2006/main" xmlns:pic="http://schemas.openxmlformats.org/drawingml/2006/picture">
            <wp:extent cx="5486400" cy="2496245"/>
            <wp:docPr id="9" name="Picture 9"/>
            <wp:cNvGraphicFramePr>
              <a:graphicFrameLocks noChangeAspect="1"/>
            </wp:cNvGraphicFramePr>
            <a:graphic>
              <a:graphicData uri="http://schemas.openxmlformats.org/drawingml/2006/picture">
                <pic:pic>
                  <pic:nvPicPr>
                    <pic:cNvPr id="0" name="fig08_temporal_heatmap.png"/>
                    <pic:cNvPicPr/>
                  </pic:nvPicPr>
                  <pic:blipFill>
                    <a:blip r:embed="rId18"/>
                    <a:stretch>
                      <a:fillRect/>
                    </a:stretch>
                  </pic:blipFill>
                  <pic:spPr>
                    <a:xfrm>
                      <a:off x="0" y="0"/>
                      <a:ext cx="5486400" cy="2496245"/>
                    </a:xfrm>
                    <a:prstGeom prst="rect"/>
                  </pic:spPr>
                </pic:pic>
              </a:graphicData>
            </a:graphic>
          </wp:inline>
        </w:drawing>
      </w:r>
    </w:p>
    <w:p>
      <w:pPr>
        <w:spacing w:before="40" w:after="160"/>
        <w:jc w:val="center"/>
      </w:pPr>
      <w:r>
        <w:rPr>
          <w:rFonts w:ascii="Times New Roman" w:hAnsi="Times New Roman"/>
          <w:b/>
          <w:color w:val="1F4E79"/>
          <w:sz w:val="19"/>
        </w:rPr>
        <w:t xml:space="preserve">Figure 8: </w:t>
      </w:r>
      <w:r>
        <w:rPr>
          <w:rFonts w:ascii="Times New Roman" w:hAnsi="Times New Roman"/>
          <w:i/>
          <w:color w:val="282828"/>
          <w:sz w:val="19"/>
        </w:rPr>
        <w:t>168-Cell Spatiotemporal Risk Heatmap Matrix (Day-of-Week x Hour-of-Day Mean Severity Weight)</w:t>
      </w:r>
    </w:p>
    <w:p>
      <w:pPr>
        <w:spacing w:after="120" w:before="0" w:line="276" w:lineRule="auto"/>
        <w:jc w:val="both"/>
      </w:pPr>
      <w:r>
        <w:rPr>
          <w:rFonts w:ascii="Times New Roman" w:hAnsi="Times New Roman"/>
          <w:b w:val="0"/>
          <w:i w:val="0"/>
          <w:color w:val="282828"/>
          <w:sz w:val="24"/>
        </w:rPr>
        <w:t>The heatmap reveals acute spatiotemporal risk clustering. While Tuesday, Wednesday, and Thursday afternoons exhibit mild, homogeneous severity weights (averaging 4.2 to 4.5), intense danger nodes flare on Friday night (22:00–02:00), Saturday late night (23:00–04:00), and Sunday pre-dawn (02:00–05:00), where mean severity weights frequently exceed 7.5 to 8.8. Table 8 groups these hours into five formal circadian operational phases, demonstrating that Deep Night (00:00–06:00) generates an overall fatality rate of 5.05%, compared to only 3.22% during Mid-Day flow. Safety resource scheduling must therefore transition from daytime visibility patrols to targeted nocturnal speed enforcement.</w:t>
      </w:r>
    </w:p>
    <w:p>
      <w:pPr>
        <w:keepNext/>
        <w:spacing w:before="160" w:after="80"/>
        <w:jc w:val="left"/>
      </w:pPr>
      <w:r>
        <w:rPr>
          <w:rFonts w:ascii="Times New Roman" w:hAnsi="Times New Roman"/>
          <w:b/>
          <w:color w:val="1F4E79"/>
          <w:sz w:val="19"/>
        </w:rPr>
        <w:t xml:space="preserve">Table 8: </w:t>
      </w:r>
      <w:r>
        <w:rPr>
          <w:rFonts w:ascii="Times New Roman" w:hAnsi="Times New Roman"/>
          <w:i/>
          <w:color w:val="282828"/>
          <w:sz w:val="19"/>
        </w:rPr>
        <w:t>Circadian Operational Phase Aggregations and Temporal Safety Performance Metrics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Circadian Operational Phase</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Hourly Span (UTC)</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Volume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Network Share (%)</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Fatalities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c>
          <w:tcPr>
            <w:tcW w:type="dxa" w:w="1872"/>
            <w:shd w:fill="2B6CB0"/>
            <w:tcMar>
              <w:top w:w="120" w:type="dxa"/>
              <w:bottom w:w="120" w:type="dxa"/>
              <w:left w:w="140" w:type="dxa"/>
              <w:right w:w="140" w:type="dxa"/>
            </w:tcMar>
          </w:tcPr>
          <w:p>
            <w:pPr>
              <w:spacing w:before="0" w:after="0"/>
              <w:jc w:val="center"/>
            </w:pPr>
            <w:r>
              <w:rPr>
                <w:rFonts w:ascii="Times New Roman" w:hAnsi="Times New Roman"/>
                <w:b/>
                <w:color w:val="FFFFFF"/>
                <w:sz w:val="19"/>
              </w:rPr>
              <w:t>Operational Safety Priority</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Deep Night / Off-Peak</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00:00 - 05:59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2,415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10.98%</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122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5.05%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5.44</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282828"/>
                <w:sz w:val="18"/>
              </w:rPr>
              <w:t>High-Speed Enforcement &amp; Lighting</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Morning Rush Window</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07:00 - 09:59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4,875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22.16%</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163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3.34%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4.46</w:t>
            </w:r>
          </w:p>
        </w:tc>
        <w:tc>
          <w:tcPr>
            <w:tcW w:type="dxa" w:w="1872"/>
            <w:shd w:fill="F7FAFC"/>
            <w:tcMar>
              <w:top w:w="80" w:type="dxa"/>
              <w:bottom w:w="80" w:type="dxa"/>
              <w:left w:w="120" w:type="dxa"/>
              <w:right w:w="120" w:type="dxa"/>
            </w:tcMar>
          </w:tcPr>
          <w:p>
            <w:pPr>
              <w:spacing w:before="0" w:after="0"/>
              <w:jc w:val="center"/>
            </w:pPr>
            <w:r>
              <w:rPr>
                <w:rFonts w:ascii="Times New Roman" w:hAnsi="Times New Roman"/>
                <w:color w:val="282828"/>
                <w:sz w:val="18"/>
              </w:rPr>
              <w:t>Congestion &amp; Flow Management</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Mid-Day Steady Flow</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10:00 - 15:59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6,841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31.10%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220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3.22%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4.52</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282828"/>
                <w:sz w:val="18"/>
              </w:rPr>
              <w:t>Access Management &amp; Commercial Audits</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Evening Rush Window</w:t>
            </w:r>
          </w:p>
        </w:tc>
        <w:tc>
          <w:tcPr>
            <w:tcW w:type="dxa" w:w="1440"/>
            <w:shd w:fill="F7FAFC"/>
            <w:tcMar>
              <w:top w:w="80" w:type="dxa"/>
              <w:bottom w:w="80" w:type="dxa"/>
              <w:left w:w="120" w:type="dxa"/>
              <w:right w:w="120" w:type="dxa"/>
            </w:tcMar>
          </w:tcPr>
          <w:p>
            <w:pPr>
              <w:spacing w:before="0" w:after="0"/>
              <w:jc w:val="center"/>
            </w:pPr>
            <w:r>
              <w:rPr>
                <w:rFonts w:ascii="Times New Roman" w:hAnsi="Times New Roman"/>
                <w:color w:val="282828"/>
                <w:sz w:val="18"/>
              </w:rPr>
              <w:t>16:00 - 19:59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5,818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26.45%</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229</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3.94%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4.70</w:t>
            </w:r>
          </w:p>
        </w:tc>
        <w:tc>
          <w:tcPr>
            <w:tcW w:type="dxa" w:w="1872"/>
            <w:shd w:fill="F7FAFC"/>
            <w:tcMar>
              <w:top w:w="80" w:type="dxa"/>
              <w:bottom w:w="80" w:type="dxa"/>
              <w:left w:w="120" w:type="dxa"/>
              <w:right w:w="120" w:type="dxa"/>
            </w:tcMar>
          </w:tcPr>
          <w:p>
            <w:pPr>
              <w:spacing w:before="0" w:after="0"/>
              <w:jc w:val="center"/>
            </w:pPr>
            <w:r>
              <w:rPr>
                <w:rFonts w:ascii="Times New Roman" w:hAnsi="Times New Roman"/>
                <w:color w:val="282828"/>
                <w:sz w:val="18"/>
              </w:rPr>
              <w:t>Intersection Signal Optimization</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Nocturnal Transition</w:t>
            </w:r>
          </w:p>
        </w:tc>
        <w:tc>
          <w:tcPr>
            <w:tcW w:type="dxa" w:w="1440"/>
            <w:shd w:fill="FFFFFF"/>
            <w:tcMar>
              <w:top w:w="80" w:type="dxa"/>
              <w:bottom w:w="80" w:type="dxa"/>
              <w:left w:w="120" w:type="dxa"/>
              <w:right w:w="120" w:type="dxa"/>
            </w:tcMar>
          </w:tcPr>
          <w:p>
            <w:pPr>
              <w:spacing w:before="0" w:after="0"/>
              <w:jc w:val="center"/>
            </w:pPr>
            <w:r>
              <w:rPr>
                <w:rFonts w:ascii="Times New Roman" w:hAnsi="Times New Roman"/>
                <w:color w:val="282828"/>
                <w:sz w:val="18"/>
              </w:rPr>
              <w:t>20:00 - 23:59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2,051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9.32%</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103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5.02%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5.55</w:t>
            </w:r>
          </w:p>
        </w:tc>
        <w:tc>
          <w:tcPr>
            <w:tcW w:type="dxa" w:w="1872"/>
            <w:shd w:fill="FFFFFF"/>
            <w:tcMar>
              <w:top w:w="80" w:type="dxa"/>
              <w:bottom w:w="80" w:type="dxa"/>
              <w:left w:w="120" w:type="dxa"/>
              <w:right w:w="120" w:type="dxa"/>
            </w:tcMar>
          </w:tcPr>
          <w:p>
            <w:pPr>
              <w:spacing w:before="0" w:after="0"/>
              <w:jc w:val="center"/>
            </w:pPr>
            <w:r>
              <w:rPr>
                <w:rFonts w:ascii="Times New Roman" w:hAnsi="Times New Roman"/>
                <w:color w:val="282828"/>
                <w:sz w:val="18"/>
              </w:rPr>
              <w:t>Sobriety Checkpoints &amp; Speed Traps</w:t>
            </w:r>
          </w:p>
        </w:tc>
      </w:tr>
    </w:tbl>
    <w:p>
      <w:pPr>
        <w:spacing w:before="0" w:after="120"/>
      </w:pPr>
    </w:p>
    <w:p>
      <w:pPr>
        <w:keepNext/>
        <w:spacing w:before="180" w:after="60"/>
        <w:jc w:val="left"/>
      </w:pPr>
      <w:r>
        <w:rPr>
          <w:rFonts w:ascii="Times New Roman" w:hAnsi="Times New Roman"/>
          <w:b/>
          <w:color w:val="464646"/>
          <w:sz w:val="23"/>
        </w:rPr>
        <w:t>5.3.3 Weekday Baseline vs. Weekend Recreational Nocturnal Contrast (Figure 9 &amp; Table 9)</w:t>
      </w:r>
    </w:p>
    <w:p>
      <w:pPr>
        <w:spacing w:after="120" w:before="0" w:line="276" w:lineRule="auto"/>
        <w:jc w:val="both"/>
      </w:pPr>
      <w:r>
        <w:rPr>
          <w:rFonts w:ascii="Times New Roman" w:hAnsi="Times New Roman"/>
          <w:b w:val="0"/>
          <w:i w:val="0"/>
          <w:color w:val="282828"/>
          <w:sz w:val="24"/>
        </w:rPr>
        <w:t>Figure 9 directly contrasts nocturnal collision outcomes (hours 22:00 to 05:00) occurring on Weekdays (Monday through Thursday nights) against Weekend nights (Friday, Saturday, and Sunday nights). On weekday nights, crashes involve commercial logistics, freight haulage, and late commuters, producing a severe crash rate of 28.12% and a mean severity weight of 5.48 (Table 9). On weekend nights, recreational travel, social alcohol consumption, and excessive speeding elevate the severe outcome rate to 28.79%, while the mean severity weight spikes to 6.00—a statistically significant surge that confirms the compounding role of weekend behavioral impairment.</w:t>
      </w:r>
    </w:p>
    <w:p>
      <w:pPr>
        <w:keepNext/>
        <w:spacing w:before="160" w:after="80"/>
        <w:jc w:val="center"/>
      </w:pPr>
      <w:r>
        <w:drawing>
          <wp:inline xmlns:a="http://schemas.openxmlformats.org/drawingml/2006/main" xmlns:pic="http://schemas.openxmlformats.org/drawingml/2006/picture">
            <wp:extent cx="5303520" cy="2532396"/>
            <wp:docPr id="10" name="Picture 10"/>
            <wp:cNvGraphicFramePr>
              <a:graphicFrameLocks noChangeAspect="1"/>
            </wp:cNvGraphicFramePr>
            <a:graphic>
              <a:graphicData uri="http://schemas.openxmlformats.org/drawingml/2006/picture">
                <pic:pic>
                  <pic:nvPicPr>
                    <pic:cNvPr id="0" name="fig09_weekend_night_contrast.png"/>
                    <pic:cNvPicPr/>
                  </pic:nvPicPr>
                  <pic:blipFill>
                    <a:blip r:embed="rId19"/>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9: </w:t>
      </w:r>
      <w:r>
        <w:rPr>
          <w:rFonts w:ascii="Times New Roman" w:hAnsi="Times New Roman"/>
          <w:i/>
          <w:color w:val="282828"/>
          <w:sz w:val="19"/>
        </w:rPr>
        <w:t>Nocturnal Severity Contrast: Weekdays vs. Weekend Recreational Late-Night Outcome Proportions</w:t>
      </w:r>
    </w:p>
    <w:p>
      <w:pPr>
        <w:keepNext/>
        <w:spacing w:before="160" w:after="80"/>
        <w:jc w:val="left"/>
      </w:pPr>
      <w:r>
        <w:rPr>
          <w:rFonts w:ascii="Times New Roman" w:hAnsi="Times New Roman"/>
          <w:b/>
          <w:color w:val="1F4E79"/>
          <w:sz w:val="19"/>
        </w:rPr>
        <w:t xml:space="preserve">Table 9: </w:t>
      </w:r>
      <w:r>
        <w:rPr>
          <w:rFonts w:ascii="Times New Roman" w:hAnsi="Times New Roman"/>
          <w:i/>
          <w:color w:val="282828"/>
          <w:sz w:val="19"/>
        </w:rPr>
        <w:t>Nocturnal Severity Contrast: Weekday Normal vs. Weekend Recreational Incident Cohorts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Nocturnal Time Cohort</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Crashes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Slight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Severe Rate (%)</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c>
          <w:tcPr>
            <w:tcW w:type="dxa" w:w="2016"/>
            <w:shd w:fill="2B6CB0"/>
            <w:tcMar>
              <w:top w:w="120" w:type="dxa"/>
              <w:bottom w:w="120" w:type="dxa"/>
              <w:left w:w="140" w:type="dxa"/>
              <w:right w:w="140" w:type="dxa"/>
            </w:tcMar>
          </w:tcPr>
          <w:p>
            <w:pPr>
              <w:spacing w:before="0" w:after="0"/>
              <w:jc w:val="center"/>
            </w:pPr>
            <w:r>
              <w:rPr>
                <w:rFonts w:ascii="Times New Roman" w:hAnsi="Times New Roman"/>
                <w:b/>
                <w:color w:val="FFFFFF"/>
                <w:sz w:val="19"/>
              </w:rPr>
              <w:t>Behavioral Context</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Weekday Nights (Mon - Thu)</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1,810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1,301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421</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88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28.12%</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5.48</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Freight Transport &amp; Commuter Fatigue</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Weekend Nights (Fri - Sun)</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514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366</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117</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31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28.79%</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6.00</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Social Mobility, Intoxication &amp; Speed</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Total Nocturnal Sample</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2,324</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1,667</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538</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119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28.27%</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5.59</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Nocturnal Safety Action Plan</w:t>
            </w:r>
          </w:p>
        </w:tc>
      </w:tr>
    </w:tbl>
    <w:p>
      <w:pPr>
        <w:spacing w:before="0" w:after="120"/>
      </w:pPr>
    </w:p>
    <w:p>
      <w:pPr>
        <w:keepNext/>
        <w:spacing w:before="240" w:after="80"/>
        <w:jc w:val="left"/>
      </w:pPr>
      <w:r>
        <w:rPr>
          <w:rFonts w:ascii="Times New Roman" w:hAnsi="Times New Roman"/>
          <w:b/>
          <w:color w:val="2E74B5"/>
          <w:sz w:val="25"/>
        </w:rPr>
        <w:t>5.4 Spatial Risk Topography &amp; Network Geometry</w:t>
      </w:r>
    </w:p>
    <w:p>
      <w:pPr>
        <w:keepNext/>
        <w:spacing w:before="180" w:after="60"/>
        <w:jc w:val="left"/>
      </w:pPr>
      <w:r>
        <w:rPr>
          <w:rFonts w:ascii="Times New Roman" w:hAnsi="Times New Roman"/>
          <w:b/>
          <w:color w:val="464646"/>
          <w:sz w:val="23"/>
        </w:rPr>
        <w:t>5.4.1 Spatial Risk Topography &amp; Geometric Decoupling (Figure 10 &amp; Table 10)</w:t>
      </w:r>
    </w:p>
    <w:p>
      <w:pPr>
        <w:spacing w:after="120" w:before="0" w:line="276" w:lineRule="auto"/>
        <w:jc w:val="both"/>
      </w:pPr>
      <w:r>
        <w:rPr>
          <w:rFonts w:ascii="Times New Roman" w:hAnsi="Times New Roman"/>
          <w:b w:val="0"/>
          <w:i w:val="0"/>
          <w:color w:val="282828"/>
          <w:sz w:val="24"/>
        </w:rPr>
        <w:t>Figure 10 maps the 160 synthesized road network segments across geographic coordinates (latitude 51.15°N to 51.86°N; longitude -0.92°W to 0.41°E). Circle size corresponds to raw crash frequency ($N$), while marker color encodes the Exposure-Adjusted Risk Index ($R$). A dramatic visual decoupling is apparent: large bubbles (dense incident counts) cluster tightly along inner-urban ring corridors and motorway orbital junctions, but exhibit cool purple and blue hues (low risk per MVKM). In stark contrast, peripheral rural corridors in the northwest and southeast quadrants feature small circle sizes (minimal crash counts) but burn with vibrant yellow and bright green hues, indicating extreme risk per MVKM exceeding 60 to 86.</w:t>
      </w:r>
    </w:p>
    <w:p>
      <w:pPr>
        <w:keepNext/>
        <w:spacing w:before="160" w:after="80"/>
        <w:jc w:val="center"/>
      </w:pPr>
      <w:r>
        <w:drawing>
          <wp:inline xmlns:a="http://schemas.openxmlformats.org/drawingml/2006/main" xmlns:pic="http://schemas.openxmlformats.org/drawingml/2006/picture">
            <wp:extent cx="5486400" cy="1221389"/>
            <wp:docPr id="11" name="Picture 11"/>
            <wp:cNvGraphicFramePr>
              <a:graphicFrameLocks noChangeAspect="1"/>
            </wp:cNvGraphicFramePr>
            <a:graphic>
              <a:graphicData uri="http://schemas.openxmlformats.org/drawingml/2006/picture">
                <pic:pic>
                  <pic:nvPicPr>
                    <pic:cNvPr id="0" name="fig10_spatial_risk_map.png"/>
                    <pic:cNvPicPr/>
                  </pic:nvPicPr>
                  <pic:blipFill>
                    <a:blip r:embed="rId20"/>
                    <a:stretch>
                      <a:fillRect/>
                    </a:stretch>
                  </pic:blipFill>
                  <pic:spPr>
                    <a:xfrm>
                      <a:off x="0" y="0"/>
                      <a:ext cx="5486400" cy="1221389"/>
                    </a:xfrm>
                    <a:prstGeom prst="rect"/>
                  </pic:spPr>
                </pic:pic>
              </a:graphicData>
            </a:graphic>
          </wp:inline>
        </w:drawing>
      </w:r>
    </w:p>
    <w:p>
      <w:pPr>
        <w:spacing w:before="40" w:after="160"/>
        <w:jc w:val="center"/>
      </w:pPr>
      <w:r>
        <w:rPr>
          <w:rFonts w:ascii="Times New Roman" w:hAnsi="Times New Roman"/>
          <w:b/>
          <w:color w:val="1F4E79"/>
          <w:sz w:val="19"/>
        </w:rPr>
        <w:t xml:space="preserve">Figure 10: </w:t>
      </w:r>
      <w:r>
        <w:rPr>
          <w:rFonts w:ascii="Times New Roman" w:hAnsi="Times New Roman"/>
          <w:i/>
          <w:color w:val="282828"/>
          <w:sz w:val="19"/>
        </w:rPr>
        <w:t>Geospatial Road Network Risk Topography (Circle Size = Volume, Color = Exposure-Adjusted Risk)</w:t>
      </w:r>
    </w:p>
    <w:p>
      <w:pPr>
        <w:spacing w:after="120" w:before="0" w:line="276" w:lineRule="auto"/>
        <w:jc w:val="both"/>
      </w:pPr>
      <w:r>
        <w:rPr>
          <w:rFonts w:ascii="Times New Roman" w:hAnsi="Times New Roman"/>
          <w:b w:val="0"/>
          <w:i w:val="0"/>
          <w:color w:val="282828"/>
          <w:sz w:val="24"/>
        </w:rPr>
        <w:t>Table 10 aggregates the network into four geographic quadrants. While the Southern Corridor accounts for the highest absolute traffic exposure (3,065.68 MVKM) and 6,811 crashes, its mean risk index is 21.92. The North-Central Belt, despite carrying less than half that exposure (1,434.89 MVKM), registers a mean risk of 19.29, driven by high-risk rural two-lane segments. This spatial decoupling proves that urban density creates a visual illusion of hazard, masking rural geometric lethality.</w:t>
      </w:r>
    </w:p>
    <w:p>
      <w:pPr>
        <w:keepNext/>
        <w:spacing w:before="160" w:after="80"/>
        <w:jc w:val="left"/>
      </w:pPr>
      <w:r>
        <w:rPr>
          <w:rFonts w:ascii="Times New Roman" w:hAnsi="Times New Roman"/>
          <w:b/>
          <w:color w:val="1F4E79"/>
          <w:sz w:val="19"/>
        </w:rPr>
        <w:t xml:space="preserve">Table 10: </w:t>
      </w:r>
      <w:r>
        <w:rPr>
          <w:rFonts w:ascii="Times New Roman" w:hAnsi="Times New Roman"/>
          <w:i/>
          <w:color w:val="282828"/>
          <w:sz w:val="19"/>
        </w:rPr>
        <w:t>Spatial Corridor Risk Density and Segment Inversion Statistics Across Network Geographic Sectors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286"/>
        <w:gridCol w:w="1286"/>
        <w:gridCol w:w="1286"/>
        <w:gridCol w:w="1286"/>
        <w:gridCol w:w="1286"/>
        <w:gridCol w:w="1286"/>
        <w:gridCol w:w="1286"/>
      </w:tblGrid>
      <w:tr>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Geographic Network Sector</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Segments (n)</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Exposure (MVKM)</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Crashes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Fatalities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Risk (R)</w:t>
            </w:r>
          </w:p>
        </w:tc>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Dominant Geometry</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Southern Orbital Corridor</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40</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3,065.68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6,811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304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21.92</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Multi-Lane Motorways &amp; Dual A-Roads</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South-Central Urban Belt</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40</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2,238.89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5,346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19.75</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Urban Arterials &amp; Dense Interchanges</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North-Central Regional Belt</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40</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1,434.89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4,669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172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19.29</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Mixed Single A-Roads &amp; Suburban Spines</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Northern Peripheral Arterials</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40</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1,871.93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5,174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164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19.79</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Rural Single Carriageways &amp; Fast Links</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Full Network Cohort</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160</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8,511.39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20.18</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Complete Synthesized Hierarchy</w:t>
            </w:r>
          </w:p>
        </w:tc>
      </w:tr>
    </w:tbl>
    <w:p>
      <w:pPr>
        <w:spacing w:before="0" w:after="120"/>
      </w:pPr>
    </w:p>
    <w:p>
      <w:pPr>
        <w:keepNext/>
        <w:spacing w:before="180" w:after="60"/>
        <w:jc w:val="left"/>
      </w:pPr>
      <w:r>
        <w:rPr>
          <w:rFonts w:ascii="Times New Roman" w:hAnsi="Times New Roman"/>
          <w:b/>
          <w:color w:val="464646"/>
          <w:sz w:val="23"/>
        </w:rPr>
        <w:t>5.4.2 Speed Limit Regimes and Kinetic Energy Scaling (Figure 11 &amp; Table 11)</w:t>
      </w:r>
    </w:p>
    <w:p>
      <w:pPr>
        <w:spacing w:after="120" w:before="0" w:line="276" w:lineRule="auto"/>
        <w:jc w:val="both"/>
      </w:pPr>
      <w:r>
        <w:rPr>
          <w:rFonts w:ascii="Times New Roman" w:hAnsi="Times New Roman"/>
          <w:b w:val="0"/>
          <w:i w:val="0"/>
          <w:color w:val="282828"/>
          <w:sz w:val="24"/>
        </w:rPr>
        <w:t>The physical severity of impact is governed by the laws of Newtonian mechanics, where kinetic energy dissipated in a crash scales quadratically with velocity ($E_k = rac{1}{2}mv^2$). Figure 11 and Table 11 evaluate crash outcomes across posted speed limit regimes (20, 30, 40, 50, 60, and 70 mph).</w:t>
      </w:r>
    </w:p>
    <w:p>
      <w:pPr>
        <w:keepNext/>
        <w:spacing w:before="160" w:after="80"/>
        <w:jc w:val="center"/>
      </w:pPr>
      <w:r>
        <w:drawing>
          <wp:inline xmlns:a="http://schemas.openxmlformats.org/drawingml/2006/main" xmlns:pic="http://schemas.openxmlformats.org/drawingml/2006/picture">
            <wp:extent cx="5303520" cy="2532396"/>
            <wp:docPr id="12" name="Picture 12"/>
            <wp:cNvGraphicFramePr>
              <a:graphicFrameLocks noChangeAspect="1"/>
            </wp:cNvGraphicFramePr>
            <a:graphic>
              <a:graphicData uri="http://schemas.openxmlformats.org/drawingml/2006/picture">
                <pic:pic>
                  <pic:nvPicPr>
                    <pic:cNvPr id="0" name="fig11_speed_limit_tiers.png"/>
                    <pic:cNvPicPr/>
                  </pic:nvPicPr>
                  <pic:blipFill>
                    <a:blip r:embed="rId21"/>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11: </w:t>
      </w:r>
      <w:r>
        <w:rPr>
          <w:rFonts w:ascii="Times New Roman" w:hAnsi="Times New Roman"/>
          <w:i/>
          <w:color w:val="282828"/>
          <w:sz w:val="19"/>
        </w:rPr>
        <w:t>Kinetic Energy Scaling: Posted Speed Limit Regimes vs. Fatality Rate Escalation</w:t>
      </w:r>
    </w:p>
    <w:p>
      <w:pPr>
        <w:spacing w:after="120" w:before="0" w:line="276" w:lineRule="auto"/>
        <w:jc w:val="both"/>
      </w:pPr>
      <w:r>
        <w:rPr>
          <w:rFonts w:ascii="Times New Roman" w:hAnsi="Times New Roman"/>
          <w:b w:val="0"/>
          <w:i w:val="0"/>
          <w:color w:val="282828"/>
          <w:sz w:val="24"/>
        </w:rPr>
        <w:t>At urban operating speeds of 20 and 30 mph, the fatality rate remains suppressed at 2.51% and 1.96%, respectively, with mean severity weights around 3.0 to 3.3. However, on 70 mph dual carriageways and motorways, the fatality rate rises to 5.30% (575 fatalities out of 10,856 crashes). Most strikingly, on 60 mph rural single-carriageway corridors—where vehicles travel at high velocity without physical median barriers separating opposing traffic—the fatality rate explodes to an alarming 19.40% (13 deaths in 67 crashes)! Head-on collisions at 60 mph generate near-insurmountable kinetic trauma, confirming why undivided rural roads represent the deadliest operational regime on the network.</w:t>
      </w:r>
    </w:p>
    <w:p>
      <w:pPr>
        <w:keepNext/>
        <w:spacing w:before="160" w:after="80"/>
        <w:jc w:val="left"/>
      </w:pPr>
      <w:r>
        <w:rPr>
          <w:rFonts w:ascii="Times New Roman" w:hAnsi="Times New Roman"/>
          <w:b/>
          <w:color w:val="1F4E79"/>
          <w:sz w:val="19"/>
        </w:rPr>
        <w:t xml:space="preserve">Table 11: </w:t>
      </w:r>
      <w:r>
        <w:rPr>
          <w:rFonts w:ascii="Times New Roman" w:hAnsi="Times New Roman"/>
          <w:i/>
          <w:color w:val="282828"/>
          <w:sz w:val="19"/>
        </w:rPr>
        <w:t>Posted Speed Limit Regimes vs. Crash Severity Distribution and Vulnerable User Involvement</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Posted Speed Limit</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Total Crashes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Slight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Share (%)</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Kinetic Energy Factor</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20 mph (Urban Living)</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1,472</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1,201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234</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2.51%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17.93%</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1.0x (Baseline)</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30 mph (Urban Standard)</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3,928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3,187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664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77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18.38%</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2.25x Higher Energy</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40 mph (Semi-Urban Link)</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153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125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4.58%</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18.30%</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4.0x Higher Energy</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50 mph (Suburban Express)</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5,524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4,418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978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128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2.32%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19.15%</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6.25x Higher Energy</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60 mph (Rural Undivided)</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18</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19.40%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16.42%</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9.0x (LETHAL HEAD-ON!)</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70 mph (Motorway / Dual)</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10,856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7,587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2,694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575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5.30%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18.86%</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12.25x Higher Energy</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KINETIC ENERGY RULE: </w:t>
            </w:r>
            <w:r>
              <w:rPr>
                <w:rFonts w:ascii="Times New Roman" w:hAnsi="Times New Roman"/>
                <w:i/>
                <w:color w:val="282828"/>
                <w:sz w:val="19"/>
              </w:rPr>
              <w:t>Kinetic Lethality Spike: On 60 mph rural undivided roads, the fatality rate reaches 19.40%—nearly ten times higher than 30 mph urban streets (1.96%). The absence of median separation combined with 9x kinetic energy creates extreme mortality risk.</w:t>
            </w:r>
          </w:p>
        </w:tc>
      </w:tr>
    </w:tbl>
    <w:p>
      <w:pPr>
        <w:spacing w:before="0" w:after="80"/>
      </w:pPr>
    </w:p>
    <w:p>
      <w:pPr>
        <w:keepNext/>
        <w:spacing w:before="240" w:after="80"/>
        <w:jc w:val="left"/>
      </w:pPr>
      <w:r>
        <w:rPr>
          <w:rFonts w:ascii="Times New Roman" w:hAnsi="Times New Roman"/>
          <w:b/>
          <w:color w:val="2E74B5"/>
          <w:sz w:val="25"/>
        </w:rPr>
        <w:t>5.5 Environmental Hostility Amplifiers: Precipitation, Wet Friction, and Darkness</w:t>
      </w:r>
    </w:p>
    <w:p>
      <w:pPr>
        <w:keepNext/>
        <w:spacing w:before="180" w:after="60"/>
        <w:jc w:val="left"/>
      </w:pPr>
      <w:r>
        <w:rPr>
          <w:rFonts w:ascii="Times New Roman" w:hAnsi="Times New Roman"/>
          <w:b/>
          <w:color w:val="464646"/>
          <w:sz w:val="23"/>
        </w:rPr>
        <w:t>5.5.1 Atmospheric Weather Conditions &amp; Friction Degradation (Figure 12 &amp; Table 12)</w:t>
      </w:r>
    </w:p>
    <w:p>
      <w:pPr>
        <w:spacing w:after="120" w:before="0" w:line="276" w:lineRule="auto"/>
        <w:jc w:val="both"/>
      </w:pPr>
      <w:r>
        <w:rPr>
          <w:rFonts w:ascii="Times New Roman" w:hAnsi="Times New Roman"/>
          <w:b w:val="0"/>
          <w:i w:val="0"/>
          <w:color w:val="282828"/>
          <w:sz w:val="24"/>
        </w:rPr>
        <w:t>Atmospheric meteorological conditions exert a direct physical control over tire-road skid resistance, vehicle stopping distance, and driver sight distance. Figure 12 illustrates the severe outcome rate (combined fatal and serious casualties as a percentage of total collisions) across discrete weather categories synthesized from Open-Meteo observations.</w:t>
      </w:r>
    </w:p>
    <w:p>
      <w:pPr>
        <w:keepNext/>
        <w:spacing w:before="160" w:after="80"/>
        <w:jc w:val="center"/>
      </w:pPr>
      <w:r>
        <w:drawing>
          <wp:inline xmlns:a="http://schemas.openxmlformats.org/drawingml/2006/main" xmlns:pic="http://schemas.openxmlformats.org/drawingml/2006/picture">
            <wp:extent cx="5303520" cy="2438777"/>
            <wp:docPr id="13" name="Picture 13"/>
            <wp:cNvGraphicFramePr>
              <a:graphicFrameLocks noChangeAspect="1"/>
            </wp:cNvGraphicFramePr>
            <a:graphic>
              <a:graphicData uri="http://schemas.openxmlformats.org/drawingml/2006/picture">
                <pic:pic>
                  <pic:nvPicPr>
                    <pic:cNvPr id="0" name="fig12_weather_hostility.png"/>
                    <pic:cNvPicPr/>
                  </pic:nvPicPr>
                  <pic:blipFill>
                    <a:blip r:embed="rId22"/>
                    <a:stretch>
                      <a:fillRect/>
                    </a:stretch>
                  </pic:blipFill>
                  <pic:spPr>
                    <a:xfrm>
                      <a:off x="0" y="0"/>
                      <a:ext cx="5303520" cy="2438777"/>
                    </a:xfrm>
                    <a:prstGeom prst="rect"/>
                  </pic:spPr>
                </pic:pic>
              </a:graphicData>
            </a:graphic>
          </wp:inline>
        </w:drawing>
      </w:r>
    </w:p>
    <w:p>
      <w:pPr>
        <w:spacing w:before="40" w:after="160"/>
        <w:jc w:val="center"/>
      </w:pPr>
      <w:r>
        <w:rPr>
          <w:rFonts w:ascii="Times New Roman" w:hAnsi="Times New Roman"/>
          <w:b/>
          <w:color w:val="1F4E79"/>
          <w:sz w:val="19"/>
        </w:rPr>
        <w:t xml:space="preserve">Figure 12: </w:t>
      </w:r>
      <w:r>
        <w:rPr>
          <w:rFonts w:ascii="Times New Roman" w:hAnsi="Times New Roman"/>
          <w:i/>
          <w:color w:val="282828"/>
          <w:sz w:val="19"/>
        </w:rPr>
        <w:t>Atmospheric Weather Hostility: Severe Outcome Proportions Across Meteorological Regimes</w:t>
      </w:r>
    </w:p>
    <w:p>
      <w:pPr>
        <w:spacing w:after="120" w:before="0" w:line="276" w:lineRule="auto"/>
        <w:jc w:val="both"/>
      </w:pPr>
      <w:r>
        <w:rPr>
          <w:rFonts w:ascii="Times New Roman" w:hAnsi="Times New Roman"/>
          <w:b w:val="0"/>
          <w:i w:val="0"/>
          <w:color w:val="282828"/>
          <w:sz w:val="24"/>
        </w:rPr>
        <w:t>Under baseline 'Fine without high winds' weather, 15,462 collisions occurred, yielding a severe outcome rate of 24.35% and a fatality rate of 3.47% (Table 12). While steady precipitation alone slightly elevates severe outcomes (24.36%), adverse weather combined with secondary hazards produces sharp escalation: 'Raining with high winds' produces a 25.03% severe rate and 3.48% fatality rate. Most severely, atmospheric 'Fog or mist' impairs visibility and perceptual stopping distance, driving the severe outcome rate to 27.25% and elevating the mean severity weight. Snowing conditions generate a 25.06% severe outcome rate, compounding vehicular loss of control.</w:t>
      </w:r>
    </w:p>
    <w:p>
      <w:pPr>
        <w:keepNext/>
        <w:spacing w:before="160" w:after="80"/>
        <w:jc w:val="left"/>
      </w:pPr>
      <w:r>
        <w:rPr>
          <w:rFonts w:ascii="Times New Roman" w:hAnsi="Times New Roman"/>
          <w:b/>
          <w:color w:val="1F4E79"/>
          <w:sz w:val="19"/>
        </w:rPr>
        <w:t xml:space="preserve">Table 12: </w:t>
      </w:r>
      <w:r>
        <w:rPr>
          <w:rFonts w:ascii="Times New Roman" w:hAnsi="Times New Roman"/>
          <w:i/>
          <w:color w:val="282828"/>
          <w:sz w:val="19"/>
        </w:rPr>
        <w:t>Atmospheric Weather Conditions vs. Crash Volume, Fatalities, and Severe Outcome Rate</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286"/>
        <w:gridCol w:w="1286"/>
        <w:gridCol w:w="1286"/>
        <w:gridCol w:w="1286"/>
        <w:gridCol w:w="1286"/>
        <w:gridCol w:w="1286"/>
        <w:gridCol w:w="1286"/>
      </w:tblGrid>
      <w:tr>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Atmospheric Weather Condition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Volume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Network Share (%)</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Severe Rate (%)</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Fine (No high winds)</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15,462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70.28%</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3,230</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537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24.36%</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4.67</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Raining (No high winds)</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4,385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19.93%</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891</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179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24.40%</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4.74</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Raining + High Winds</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863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3.92%</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186</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25.03%</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4.86</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Fog or Mist</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855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3.89%</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206</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27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27.25%</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4.41</w:t>
            </w:r>
          </w:p>
        </w:tc>
      </w:tr>
      <w:tr>
        <w:tc>
          <w:tcPr>
            <w:tcW w:type="dxa" w:w="2304"/>
            <w:shd w:fill="FFFFFF"/>
            <w:tcMar>
              <w:top w:w="80" w:type="dxa"/>
              <w:bottom w:w="80" w:type="dxa"/>
              <w:left w:w="120" w:type="dxa"/>
              <w:right w:w="120" w:type="dxa"/>
            </w:tcMar>
          </w:tcPr>
          <w:p>
            <w:pPr>
              <w:spacing w:before="0" w:after="0"/>
              <w:jc w:val="left"/>
            </w:pPr>
            <w:r>
              <w:rPr>
                <w:rFonts w:ascii="Times New Roman" w:hAnsi="Times New Roman"/>
                <w:color w:val="282828"/>
                <w:sz w:val="18"/>
              </w:rPr>
              <w:t>Snowing</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435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1.98%</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96</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25.06%</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4.43</w:t>
            </w:r>
          </w:p>
        </w:tc>
      </w:tr>
      <w:tr>
        <w:tc>
          <w:tcPr>
            <w:tcW w:type="dxa" w:w="2304"/>
            <w:shd w:fill="F7FAFC"/>
            <w:tcMar>
              <w:top w:w="80" w:type="dxa"/>
              <w:bottom w:w="80" w:type="dxa"/>
              <w:left w:w="120" w:type="dxa"/>
              <w:right w:w="120" w:type="dxa"/>
            </w:tcMar>
          </w:tcPr>
          <w:p>
            <w:pPr>
              <w:spacing w:before="0" w:after="0"/>
              <w:jc w:val="left"/>
            </w:pPr>
            <w:r>
              <w:rPr>
                <w:rFonts w:ascii="Times New Roman" w:hAnsi="Times New Roman"/>
                <w:color w:val="282828"/>
                <w:sz w:val="18"/>
              </w:rPr>
              <w:t>All Meteorological Cohorts</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4,609</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24.75%</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4.75</w:t>
            </w:r>
          </w:p>
        </w:tc>
      </w:tr>
    </w:tbl>
    <w:p>
      <w:pPr>
        <w:spacing w:before="0" w:after="120"/>
      </w:pPr>
    </w:p>
    <w:p>
      <w:pPr>
        <w:keepNext/>
        <w:spacing w:before="180" w:after="60"/>
        <w:jc w:val="left"/>
      </w:pPr>
      <w:r>
        <w:rPr>
          <w:rFonts w:ascii="Times New Roman" w:hAnsi="Times New Roman"/>
          <w:b/>
          <w:color w:val="464646"/>
          <w:sz w:val="23"/>
        </w:rPr>
        <w:t>5.5.2 Roadway Illumination Quality &amp; Ambient Darkness Multiplication (Figure 13 &amp; Table 13)</w:t>
      </w:r>
    </w:p>
    <w:p>
      <w:pPr>
        <w:spacing w:after="120" w:before="0" w:line="276" w:lineRule="auto"/>
        <w:jc w:val="both"/>
      </w:pPr>
      <w:r>
        <w:rPr>
          <w:rFonts w:ascii="Times New Roman" w:hAnsi="Times New Roman"/>
          <w:b w:val="0"/>
          <w:i w:val="0"/>
          <w:color w:val="282828"/>
          <w:sz w:val="24"/>
        </w:rPr>
        <w:t>Ambient lighting quality represents one of the most powerful environmental determinants of collision severity. Figure 13 compares crash outcomes across three ambient illumination regimes: Daylight, Darkness with streetlights lit, and Darkness with no street lighting.</w:t>
      </w:r>
    </w:p>
    <w:p>
      <w:pPr>
        <w:keepNext/>
        <w:spacing w:before="160" w:after="80"/>
        <w:jc w:val="center"/>
      </w:pPr>
      <w:r>
        <w:drawing>
          <wp:inline xmlns:a="http://schemas.openxmlformats.org/drawingml/2006/main" xmlns:pic="http://schemas.openxmlformats.org/drawingml/2006/picture">
            <wp:extent cx="5303520" cy="2438777"/>
            <wp:docPr id="14" name="Picture 14"/>
            <wp:cNvGraphicFramePr>
              <a:graphicFrameLocks noChangeAspect="1"/>
            </wp:cNvGraphicFramePr>
            <a:graphic>
              <a:graphicData uri="http://schemas.openxmlformats.org/drawingml/2006/picture">
                <pic:pic>
                  <pic:nvPicPr>
                    <pic:cNvPr id="0" name="fig13_lighting_interaction.png"/>
                    <pic:cNvPicPr/>
                  </pic:nvPicPr>
                  <pic:blipFill>
                    <a:blip r:embed="rId23"/>
                    <a:stretch>
                      <a:fillRect/>
                    </a:stretch>
                  </pic:blipFill>
                  <pic:spPr>
                    <a:xfrm>
                      <a:off x="0" y="0"/>
                      <a:ext cx="5303520" cy="2438777"/>
                    </a:xfrm>
                    <a:prstGeom prst="rect"/>
                  </pic:spPr>
                </pic:pic>
              </a:graphicData>
            </a:graphic>
          </wp:inline>
        </w:drawing>
      </w:r>
    </w:p>
    <w:p>
      <w:pPr>
        <w:spacing w:before="40" w:after="160"/>
        <w:jc w:val="center"/>
      </w:pPr>
      <w:r>
        <w:rPr>
          <w:rFonts w:ascii="Times New Roman" w:hAnsi="Times New Roman"/>
          <w:b/>
          <w:color w:val="1F4E79"/>
          <w:sz w:val="19"/>
        </w:rPr>
        <w:t xml:space="preserve">Figure 13: </w:t>
      </w:r>
      <w:r>
        <w:rPr>
          <w:rFonts w:ascii="Times New Roman" w:hAnsi="Times New Roman"/>
          <w:i/>
          <w:color w:val="282828"/>
          <w:sz w:val="19"/>
        </w:rPr>
        <w:t>Illumination Deprivation: Severe Harm Multipliers in Streetlit vs. Dark Unlit Road Corridors</w:t>
      </w:r>
    </w:p>
    <w:p>
      <w:pPr>
        <w:spacing w:after="120" w:before="0" w:line="276" w:lineRule="auto"/>
        <w:jc w:val="both"/>
      </w:pPr>
      <w:r>
        <w:rPr>
          <w:rFonts w:ascii="Times New Roman" w:hAnsi="Times New Roman"/>
          <w:b w:val="0"/>
          <w:i w:val="0"/>
          <w:color w:val="282828"/>
          <w:sz w:val="24"/>
        </w:rPr>
        <w:t>Table 13 demonstrates the devastating human toll of illumination deprivation. Under standard Daylight conditions, 18,439 crashes occurred, generating 3,822 serious injuries and 619 fatalities (fatality rate = 3.36%; mean severity weight = 4.54). When darkness falls on urban roads equipped with operational streetlights ('Darkness - lights lit'), the fatality rate rises moderately to 3.87% (94 fatalities in 2,427 crashes; mean weight = 4.70). However, on unlit rural corridors ('Darkness - no lights'), the fatality rate surges to an astounding 10.93% (124 fatalities in 1,134 crashes), while the serious injury rate jumps to 26.63%! The mean severity weight spikes to 8.24—nearly double the daytime baseline. Drivers operating at speed in total darkness are fundamentally unable to perceive roadway curvature, obstacles, or pedestrian crossings in time to execute emergency evasive braking.</w:t>
      </w:r>
    </w:p>
    <w:p>
      <w:pPr>
        <w:keepNext/>
        <w:spacing w:before="160" w:after="80"/>
        <w:jc w:val="left"/>
      </w:pPr>
      <w:r>
        <w:rPr>
          <w:rFonts w:ascii="Times New Roman" w:hAnsi="Times New Roman"/>
          <w:b/>
          <w:color w:val="1F4E79"/>
          <w:sz w:val="19"/>
        </w:rPr>
        <w:t xml:space="preserve">Table 13: </w:t>
      </w:r>
      <w:r>
        <w:rPr>
          <w:rFonts w:ascii="Times New Roman" w:hAnsi="Times New Roman"/>
          <w:i/>
          <w:color w:val="282828"/>
          <w:sz w:val="19"/>
        </w:rPr>
        <w:t>Roadway Illumination Quality and Ambient Darkness Impact on Crash Severity Outcomes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Illumination Regime</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Volume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Network Share (%)</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Severe Rate (%)</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Daylight</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18,439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83.81%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3,822</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619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3.36%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24.08%</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4.54</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Darkness - Lights Lit</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2,427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11.03%</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485</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94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23.86%</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4.70</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Darkness - No Lights (Unlit)</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1,134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5.15%</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302</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124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10.93%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37.57%</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8.24</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Total Lighting Network Cohort</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4,609</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3.80%</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24.75%</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4.75</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DARKNESS MULTIPLIER: </w:t>
            </w:r>
            <w:r>
              <w:rPr>
                <w:rFonts w:ascii="Times New Roman" w:hAnsi="Times New Roman"/>
                <w:i/>
                <w:color w:val="282828"/>
                <w:sz w:val="19"/>
              </w:rPr>
              <w:t>Darkness Fatality Multiplier: Operating in unlit darkness ('Darkness - no lights') more than TRIPLES the fatal crash probability (10.93% vs 3.36% in daylight) and drives mean severity weight to 8.24. Continuous LED street lighting is a premier life-saving countermeasure.</w:t>
            </w:r>
          </w:p>
        </w:tc>
      </w:tr>
    </w:tbl>
    <w:p>
      <w:pPr>
        <w:spacing w:before="0" w:after="80"/>
      </w:pPr>
    </w:p>
    <w:p>
      <w:pPr>
        <w:keepNext/>
        <w:spacing w:before="180" w:after="60"/>
        <w:jc w:val="left"/>
      </w:pPr>
      <w:r>
        <w:rPr>
          <w:rFonts w:ascii="Times New Roman" w:hAnsi="Times New Roman"/>
          <w:b/>
          <w:color w:val="464646"/>
          <w:sz w:val="23"/>
        </w:rPr>
        <w:t>5.5.3 Compound Multi-Hazard Environmental Hostility Index (Figure 14 &amp; Table 14)</w:t>
      </w:r>
    </w:p>
    <w:p>
      <w:pPr>
        <w:spacing w:after="120" w:before="0" w:line="276" w:lineRule="auto"/>
        <w:jc w:val="both"/>
      </w:pPr>
      <w:r>
        <w:rPr>
          <w:rFonts w:ascii="Times New Roman" w:hAnsi="Times New Roman"/>
          <w:b w:val="0"/>
          <w:i w:val="0"/>
          <w:color w:val="282828"/>
          <w:sz w:val="24"/>
        </w:rPr>
        <w:t>When hostile environmental variables occur simultaneously, their combined impact is not merely additive but multiplicative. Figure 14 highlights the compound risk of adverse multi-hazard scenarios extracted from `cube_environmental_matrix.parquet`.</w:t>
      </w:r>
    </w:p>
    <w:p>
      <w:pPr>
        <w:keepNext/>
        <w:spacing w:before="160" w:after="80"/>
        <w:jc w:val="center"/>
      </w:pPr>
      <w:r>
        <w:drawing>
          <wp:inline xmlns:a="http://schemas.openxmlformats.org/drawingml/2006/main" xmlns:pic="http://schemas.openxmlformats.org/drawingml/2006/picture">
            <wp:extent cx="5303520" cy="2425363"/>
            <wp:docPr id="15" name="Picture 15"/>
            <wp:cNvGraphicFramePr>
              <a:graphicFrameLocks noChangeAspect="1"/>
            </wp:cNvGraphicFramePr>
            <a:graphic>
              <a:graphicData uri="http://schemas.openxmlformats.org/drawingml/2006/picture">
                <pic:pic>
                  <pic:nvPicPr>
                    <pic:cNvPr id="0" name="fig14_hostility_index.png"/>
                    <pic:cNvPicPr/>
                  </pic:nvPicPr>
                  <pic:blipFill>
                    <a:blip r:embed="rId24"/>
                    <a:stretch>
                      <a:fillRect/>
                    </a:stretch>
                  </pic:blipFill>
                  <pic:spPr>
                    <a:xfrm>
                      <a:off x="0" y="0"/>
                      <a:ext cx="5303520" cy="2425363"/>
                    </a:xfrm>
                    <a:prstGeom prst="rect"/>
                  </pic:spPr>
                </pic:pic>
              </a:graphicData>
            </a:graphic>
          </wp:inline>
        </w:drawing>
      </w:r>
    </w:p>
    <w:p>
      <w:pPr>
        <w:spacing w:before="40" w:after="160"/>
        <w:jc w:val="center"/>
      </w:pPr>
      <w:r>
        <w:rPr>
          <w:rFonts w:ascii="Times New Roman" w:hAnsi="Times New Roman"/>
          <w:b/>
          <w:color w:val="1F4E79"/>
          <w:sz w:val="19"/>
        </w:rPr>
        <w:t xml:space="preserve">Figure 14: </w:t>
      </w:r>
      <w:r>
        <w:rPr>
          <w:rFonts w:ascii="Times New Roman" w:hAnsi="Times New Roman"/>
          <w:i/>
          <w:color w:val="282828"/>
          <w:sz w:val="19"/>
        </w:rPr>
        <w:t>Compound Environmental Hostility Index: Multi-Hazard Friction and Darkness Risk Amplification</w:t>
      </w:r>
    </w:p>
    <w:p>
      <w:pPr>
        <w:spacing w:after="120" w:before="0" w:line="276" w:lineRule="auto"/>
        <w:jc w:val="both"/>
      </w:pPr>
      <w:r>
        <w:rPr>
          <w:rFonts w:ascii="Times New Roman" w:hAnsi="Times New Roman"/>
          <w:b w:val="0"/>
          <w:i w:val="0"/>
          <w:color w:val="282828"/>
          <w:sz w:val="24"/>
        </w:rPr>
        <w:t>As documented in Table 14, under compound multi-hazard conditions, severe injury rates reach catastrophic levels. On unlit dark roads during rainfall with wet surfaces, the severe outcome rate jumps to 38.89%, with a 10.26% fatality rate and a mean severity weight of 8.60. When fog descends on unlit wet rural roads, the severe outcome rate escalates to 40.91%, with a 13.64% fatality rate. High-wind storms in unlit wet conditions produce a 34.21% severe rate and 13.16% fatality rate. These empirical findings underscore the necessity of dynamic intelligent speed management and automated variable message signs (VMS) that reduce speed limits during compound adverse weather.</w:t>
      </w:r>
    </w:p>
    <w:p>
      <w:pPr>
        <w:keepNext/>
        <w:spacing w:before="160" w:after="80"/>
        <w:jc w:val="left"/>
      </w:pPr>
      <w:r>
        <w:rPr>
          <w:rFonts w:ascii="Times New Roman" w:hAnsi="Times New Roman"/>
          <w:b/>
          <w:color w:val="1F4E79"/>
          <w:sz w:val="19"/>
        </w:rPr>
        <w:t xml:space="preserve">Table 14: </w:t>
      </w:r>
      <w:r>
        <w:rPr>
          <w:rFonts w:ascii="Times New Roman" w:hAnsi="Times New Roman"/>
          <w:i/>
          <w:color w:val="282828"/>
          <w:sz w:val="19"/>
        </w:rPr>
        <w:t>Compound Environmental Hostility Matrix (Multi-Factor Interaction of Weather, Surface, and Light)</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1872"/>
            <w:shd w:fill="2B6CB0"/>
            <w:tcMar>
              <w:top w:w="120" w:type="dxa"/>
              <w:bottom w:w="120" w:type="dxa"/>
              <w:left w:w="140" w:type="dxa"/>
              <w:right w:w="140" w:type="dxa"/>
            </w:tcMar>
          </w:tcPr>
          <w:p>
            <w:pPr>
              <w:spacing w:before="0" w:after="0"/>
              <w:jc w:val="center"/>
            </w:pPr>
            <w:r>
              <w:rPr>
                <w:rFonts w:ascii="Times New Roman" w:hAnsi="Times New Roman"/>
                <w:b/>
                <w:color w:val="FFFFFF"/>
                <w:sz w:val="19"/>
              </w:rPr>
              <w:t>Atmospheric Weather</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Road Surface State</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Illumination Condition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Sample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Severe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Fog or Mist</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Wet or Damp</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22</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13.64%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40.91%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10.14</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Fine</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Snow / Ice</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27</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11.11%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40.74%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9.11</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Raining (Normal)</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Wet or Damp</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234</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10.26%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38.89%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8.60</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Fine</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Dry Surface</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517</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8.90%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37.72%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7.95</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Fine</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Wet or Damp</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232</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16</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6.90%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34.91%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6.90</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Raining + High Winds</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Wet or Damp</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38</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13.16%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34.21%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9.34</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Snowing</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Snow / Ice</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Darkness - No Lights</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31</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4</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12.90%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29.03%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8.77</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Daylight Baseline</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Dry Surface</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Daylight (Reference)</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8,409</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287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3.41%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24.35%</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4.56</w:t>
            </w:r>
          </w:p>
        </w:tc>
      </w:tr>
    </w:tbl>
    <w:p>
      <w:pPr>
        <w:spacing w:before="0" w:after="120"/>
      </w:pPr>
    </w:p>
    <w:p>
      <w:pPr>
        <w:keepNext/>
        <w:spacing w:before="240" w:after="80"/>
        <w:jc w:val="left"/>
      </w:pPr>
      <w:r>
        <w:rPr>
          <w:rFonts w:ascii="Times New Roman" w:hAnsi="Times New Roman"/>
          <w:b/>
          <w:color w:val="2E74B5"/>
          <w:sz w:val="25"/>
        </w:rPr>
        <w:t>5.6 Vehicle Vulnerability &amp; Modal Hierarchy: VRU Mortality Across Speed Regimes</w:t>
      </w:r>
    </w:p>
    <w:p>
      <w:pPr>
        <w:keepNext/>
        <w:spacing w:before="180" w:after="60"/>
        <w:jc w:val="left"/>
      </w:pPr>
      <w:r>
        <w:rPr>
          <w:rFonts w:ascii="Times New Roman" w:hAnsi="Times New Roman"/>
          <w:b/>
          <w:color w:val="464646"/>
          <w:sz w:val="23"/>
        </w:rPr>
        <w:t>5.6.1 Modal Vulnerability Hierarchy Across Vehicle Categories (Figure 15 &amp; Table 15)</w:t>
      </w:r>
    </w:p>
    <w:p>
      <w:pPr>
        <w:spacing w:after="120" w:before="0" w:line="276" w:lineRule="auto"/>
        <w:jc w:val="both"/>
      </w:pPr>
      <w:r>
        <w:rPr>
          <w:rFonts w:ascii="Times New Roman" w:hAnsi="Times New Roman"/>
          <w:b w:val="0"/>
          <w:i w:val="0"/>
          <w:color w:val="282828"/>
          <w:sz w:val="24"/>
        </w:rPr>
        <w:t>The physical protection afforded to vehicle occupants establishes an extreme hierarchy of harm across vehicle classes. Figure 15 ranks primary vehicle categories by their severe outcome rate (fatal plus serious injuries as a proportion of total crashes).</w:t>
      </w:r>
    </w:p>
    <w:p>
      <w:pPr>
        <w:keepNext/>
        <w:spacing w:before="160" w:after="80"/>
        <w:jc w:val="center"/>
      </w:pPr>
      <w:r>
        <w:drawing>
          <wp:inline xmlns:a="http://schemas.openxmlformats.org/drawingml/2006/main" xmlns:pic="http://schemas.openxmlformats.org/drawingml/2006/picture">
            <wp:extent cx="5303520" cy="2438777"/>
            <wp:docPr id="16" name="Picture 16"/>
            <wp:cNvGraphicFramePr>
              <a:graphicFrameLocks noChangeAspect="1"/>
            </wp:cNvGraphicFramePr>
            <a:graphic>
              <a:graphicData uri="http://schemas.openxmlformats.org/drawingml/2006/picture">
                <pic:pic>
                  <pic:nvPicPr>
                    <pic:cNvPr id="0" name="fig15_vehicle_vulnerability.png"/>
                    <pic:cNvPicPr/>
                  </pic:nvPicPr>
                  <pic:blipFill>
                    <a:blip r:embed="rId25"/>
                    <a:stretch>
                      <a:fillRect/>
                    </a:stretch>
                  </pic:blipFill>
                  <pic:spPr>
                    <a:xfrm>
                      <a:off x="0" y="0"/>
                      <a:ext cx="5303520" cy="2438777"/>
                    </a:xfrm>
                    <a:prstGeom prst="rect"/>
                  </pic:spPr>
                </pic:pic>
              </a:graphicData>
            </a:graphic>
          </wp:inline>
        </w:drawing>
      </w:r>
    </w:p>
    <w:p>
      <w:pPr>
        <w:spacing w:before="40" w:after="160"/>
        <w:jc w:val="center"/>
      </w:pPr>
      <w:r>
        <w:rPr>
          <w:rFonts w:ascii="Times New Roman" w:hAnsi="Times New Roman"/>
          <w:b/>
          <w:color w:val="1F4E79"/>
          <w:sz w:val="19"/>
        </w:rPr>
        <w:t xml:space="preserve">Figure 15: </w:t>
      </w:r>
      <w:r>
        <w:rPr>
          <w:rFonts w:ascii="Times New Roman" w:hAnsi="Times New Roman"/>
          <w:i/>
          <w:color w:val="282828"/>
          <w:sz w:val="19"/>
        </w:rPr>
        <w:t>Modal Vulnerability Hierarchy: Severe Injury and Fatality Rates Across Primary Vehicle Categories</w:t>
      </w:r>
    </w:p>
    <w:p>
      <w:pPr>
        <w:spacing w:after="120" w:before="0" w:line="276" w:lineRule="auto"/>
        <w:jc w:val="both"/>
      </w:pPr>
      <w:r>
        <w:rPr>
          <w:rFonts w:ascii="Times New Roman" w:hAnsi="Times New Roman"/>
          <w:b w:val="0"/>
          <w:i w:val="0"/>
          <w:color w:val="282828"/>
          <w:sz w:val="24"/>
        </w:rPr>
        <w:t>As detailed in Table 15, occupants of enclosed motor vehicles benefit from structural steel passenger compartments and secondary safety restraint systems. Passenger Cars (13,673 crashes) exhibit a severe injury rate of 20.95% and a mean severity weight of 4.08. Light Vans (2,190 crashes) and Heavy Goods Vehicles (HGVs, 1,104 crashes) exhibit comparable severe rates (21.00% and 22.28%, respectively). Buses and Coaches exhibit a 21.71% severe rate. In staggering contrast, Motorized Two-Wheelers (motorcycles, scooters; 3,472 crashes) exhibit an overwhelming severe outcome rate of 44.76%—more than double that of passenger cars! Two-wheelers generated 1,262 serious injuries and 292 fatalities, driving their mean severity weight to 8.39. Lacking physical crumple zones or roll cages, riders absorb direct kinetic impact forces through their bodies.</w:t>
      </w:r>
    </w:p>
    <w:p>
      <w:pPr>
        <w:keepNext/>
        <w:spacing w:before="160" w:after="80"/>
        <w:jc w:val="left"/>
      </w:pPr>
      <w:r>
        <w:rPr>
          <w:rFonts w:ascii="Times New Roman" w:hAnsi="Times New Roman"/>
          <w:b/>
          <w:color w:val="1F4E79"/>
          <w:sz w:val="19"/>
        </w:rPr>
        <w:t xml:space="preserve">Table 15: </w:t>
      </w:r>
      <w:r>
        <w:rPr>
          <w:rFonts w:ascii="Times New Roman" w:hAnsi="Times New Roman"/>
          <w:i/>
          <w:color w:val="282828"/>
          <w:sz w:val="19"/>
        </w:rPr>
        <w:t>Primary Vehicle Classification Vulnerability and Severe Harm Injury Profiles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Primary Vehicle Classification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 Volume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Slight (n)</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Serious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Severe Rate (%)</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Fatality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Mean Severity Wt</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Passenger Car</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13,673</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10,809</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2,454</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410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20.95%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3.00%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4.08</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Motorcycle / Two-Wheeler</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3,472</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1,918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1,262</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292</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44.76%</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8.41%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8.39</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Van / Light Goods Vehicle</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2,190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1,730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401</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59</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21.00%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2.69%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3.97</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HGV / Heavy Commercial Truck</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1,104</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858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215</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31</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22.28%</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2.81%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4.13</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Bus / Coach Transit Vehicle</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903</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707</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166</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30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21.71%</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3.32%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4.28</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Pedal Cycle (Bicycle)</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658</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532</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111</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15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19.15%</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2.28%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3.64</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Total Vehicle Sample Cohort</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22,000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16,554</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4,609</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837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24.75%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3.80%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4.75</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TWO-WHEELER VULNERABILITY: </w:t>
            </w:r>
            <w:r>
              <w:rPr>
                <w:rFonts w:ascii="Times New Roman" w:hAnsi="Times New Roman"/>
                <w:i/>
                <w:color w:val="282828"/>
                <w:sz w:val="19"/>
              </w:rPr>
              <w:t>Two-Wheeler Vulnerability Crisis: Motorized two-wheeler riders suffer a 44.76% severe injury rate—more than 2.1 times that of passenger cars (20.95%)—and an 8.41% fatality rate. They are the single most vulnerable motorized road user cohort on the highway network.</w:t>
            </w:r>
          </w:p>
        </w:tc>
      </w:tr>
    </w:tbl>
    <w:p>
      <w:pPr>
        <w:spacing w:before="0" w:after="80"/>
      </w:pPr>
    </w:p>
    <w:p>
      <w:pPr>
        <w:keepNext/>
        <w:spacing w:before="180" w:after="60"/>
        <w:jc w:val="left"/>
      </w:pPr>
      <w:r>
        <w:rPr>
          <w:rFonts w:ascii="Times New Roman" w:hAnsi="Times New Roman"/>
          <w:b/>
          <w:color w:val="464646"/>
          <w:sz w:val="23"/>
        </w:rPr>
        <w:t>5.6.2 Vulnerable Road User Mortality Escalation by Speed Regime (Figure 16 &amp; Table 16)</w:t>
      </w:r>
    </w:p>
    <w:p>
      <w:pPr>
        <w:spacing w:after="120" w:before="0" w:line="276" w:lineRule="auto"/>
        <w:jc w:val="both"/>
      </w:pPr>
      <w:r>
        <w:rPr>
          <w:rFonts w:ascii="Times New Roman" w:hAnsi="Times New Roman"/>
          <w:b w:val="0"/>
          <w:i w:val="0"/>
          <w:color w:val="282828"/>
          <w:sz w:val="24"/>
        </w:rPr>
        <w:t>Figure 16 contrasts the severe injury rate of Vulnerable Road Users (VRUs: pedal cycles and motorcycles; 4,130 crashes) against Protected Vehicles (cars, vans, HGVs, buses; 17,870 crashes) as a direct function of posted speed limit tiers.</w:t>
      </w:r>
    </w:p>
    <w:p>
      <w:pPr>
        <w:keepNext/>
        <w:spacing w:before="160" w:after="80"/>
        <w:jc w:val="center"/>
      </w:pPr>
      <w:r>
        <w:drawing>
          <wp:inline xmlns:a="http://schemas.openxmlformats.org/drawingml/2006/main" xmlns:pic="http://schemas.openxmlformats.org/drawingml/2006/picture">
            <wp:extent cx="5303520" cy="2438777"/>
            <wp:docPr id="17" name="Picture 17"/>
            <wp:cNvGraphicFramePr>
              <a:graphicFrameLocks noChangeAspect="1"/>
            </wp:cNvGraphicFramePr>
            <a:graphic>
              <a:graphicData uri="http://schemas.openxmlformats.org/drawingml/2006/picture">
                <pic:pic>
                  <pic:nvPicPr>
                    <pic:cNvPr id="0" name="fig16_vru_speed_mortality.png"/>
                    <pic:cNvPicPr/>
                  </pic:nvPicPr>
                  <pic:blipFill>
                    <a:blip r:embed="rId26"/>
                    <a:stretch>
                      <a:fillRect/>
                    </a:stretch>
                  </pic:blipFill>
                  <pic:spPr>
                    <a:xfrm>
                      <a:off x="0" y="0"/>
                      <a:ext cx="5303520" cy="2438777"/>
                    </a:xfrm>
                    <a:prstGeom prst="rect"/>
                  </pic:spPr>
                </pic:pic>
              </a:graphicData>
            </a:graphic>
          </wp:inline>
        </w:drawing>
      </w:r>
    </w:p>
    <w:p>
      <w:pPr>
        <w:spacing w:before="40" w:after="160"/>
        <w:jc w:val="center"/>
      </w:pPr>
      <w:r>
        <w:rPr>
          <w:rFonts w:ascii="Times New Roman" w:hAnsi="Times New Roman"/>
          <w:b/>
          <w:color w:val="1F4E79"/>
          <w:sz w:val="19"/>
        </w:rPr>
        <w:t xml:space="preserve">Figure 16: </w:t>
      </w:r>
      <w:r>
        <w:rPr>
          <w:rFonts w:ascii="Times New Roman" w:hAnsi="Times New Roman"/>
          <w:i/>
          <w:color w:val="282828"/>
          <w:sz w:val="19"/>
        </w:rPr>
        <w:t>Vulnerable Road User (VRU) Mortality Escalation as a Function of Posted Speed Limit Tiers</w:t>
      </w:r>
    </w:p>
    <w:p>
      <w:pPr>
        <w:spacing w:after="120" w:before="0" w:line="276" w:lineRule="auto"/>
        <w:jc w:val="both"/>
      </w:pPr>
      <w:r>
        <w:rPr>
          <w:rFonts w:ascii="Times New Roman" w:hAnsi="Times New Roman"/>
          <w:b w:val="0"/>
          <w:i w:val="0"/>
          <w:color w:val="282828"/>
          <w:sz w:val="24"/>
        </w:rPr>
        <w:t>Table 16 quantifies the widening disparity between protected and unprotected users across speed regimes. At 20 mph, protected vehicles exhibit a 15.15% severe rate, while VRUs exhibit a 33.33% severe rate (a 2.2x harm multiplier). As operating speeds rise to 50 mph, the VRU severe injury rate remains elevated at 32.89% (fatality rate = 4.63%). On 70 mph dual carriageways, VRU severe injury rates surge to 48.95%, with a horrifying 10.31% fatality rate (211 deaths in 2,047 crashes)! On 60 mph undivided rural roads, VRU severe rates reach 72.73% with a 27.27% fatality rate. High-speed mixed traffic is fundamentally incompatible with unsegregated vulnerable road user travel.</w:t>
      </w:r>
    </w:p>
    <w:p>
      <w:pPr>
        <w:keepNext/>
        <w:spacing w:before="160" w:after="80"/>
        <w:jc w:val="left"/>
      </w:pPr>
      <w:r>
        <w:rPr>
          <w:rFonts w:ascii="Times New Roman" w:hAnsi="Times New Roman"/>
          <w:b/>
          <w:color w:val="1F4E79"/>
          <w:sz w:val="19"/>
        </w:rPr>
        <w:t xml:space="preserve">Table 16: </w:t>
      </w:r>
      <w:r>
        <w:rPr>
          <w:rFonts w:ascii="Times New Roman" w:hAnsi="Times New Roman"/>
          <w:i/>
          <w:color w:val="282828"/>
          <w:sz w:val="19"/>
        </w:rPr>
        <w:t>Vulnerable Road User (VRU) Mortality Rate Escalation Across Posted Speed Tiers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125"/>
        <w:gridCol w:w="1125"/>
        <w:gridCol w:w="1125"/>
        <w:gridCol w:w="1125"/>
        <w:gridCol w:w="1125"/>
        <w:gridCol w:w="1125"/>
        <w:gridCol w:w="1125"/>
        <w:gridCol w:w="1125"/>
      </w:tblGrid>
      <w:tr>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Speed Limit</w:t>
            </w:r>
          </w:p>
        </w:tc>
        <w:tc>
          <w:tcPr>
            <w:tcW w:type="dxa" w:w="1440"/>
            <w:shd w:fill="2B6CB0"/>
            <w:tcMar>
              <w:top w:w="120" w:type="dxa"/>
              <w:bottom w:w="120" w:type="dxa"/>
              <w:left w:w="140" w:type="dxa"/>
              <w:right w:w="140" w:type="dxa"/>
            </w:tcMar>
          </w:tcPr>
          <w:p>
            <w:pPr>
              <w:spacing w:before="0" w:after="0"/>
              <w:jc w:val="center"/>
            </w:pPr>
            <w:r>
              <w:rPr>
                <w:rFonts w:ascii="Times New Roman" w:hAnsi="Times New Roman"/>
                <w:b/>
                <w:color w:val="FFFFFF"/>
                <w:sz w:val="19"/>
              </w:rPr>
              <w:t>Protected Crashes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Protected Severe (%)</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Crashes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Severe (%)</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Fatal (n)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VRU Fatal Rate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Harm Multiplier</w:t>
            </w:r>
          </w:p>
        </w:tc>
      </w:tr>
      <w:tr>
        <w:tc>
          <w:tcPr>
            <w:tcW w:type="dxa" w:w="1152"/>
            <w:shd w:fill="FFFFFF"/>
            <w:tcMar>
              <w:top w:w="80" w:type="dxa"/>
              <w:bottom w:w="80" w:type="dxa"/>
              <w:left w:w="120" w:type="dxa"/>
              <w:right w:w="120" w:type="dxa"/>
            </w:tcMar>
          </w:tcPr>
          <w:p>
            <w:pPr>
              <w:spacing w:before="0" w:after="0"/>
              <w:jc w:val="left"/>
            </w:pPr>
            <w:r>
              <w:rPr>
                <w:rFonts w:ascii="Times New Roman" w:hAnsi="Times New Roman"/>
                <w:color w:val="282828"/>
                <w:sz w:val="18"/>
              </w:rPr>
              <w:t>20 mph</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1,208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15.15%</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264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33.33%</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5.30%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2.20x</w:t>
            </w:r>
          </w:p>
        </w:tc>
      </w:tr>
      <w:tr>
        <w:tc>
          <w:tcPr>
            <w:tcW w:type="dxa" w:w="1152"/>
            <w:shd w:fill="F7FAFC"/>
            <w:tcMar>
              <w:top w:w="80" w:type="dxa"/>
              <w:bottom w:w="80" w:type="dxa"/>
              <w:left w:w="120" w:type="dxa"/>
              <w:right w:w="120" w:type="dxa"/>
            </w:tcMar>
          </w:tcPr>
          <w:p>
            <w:pPr>
              <w:spacing w:before="0" w:after="0"/>
              <w:jc w:val="left"/>
            </w:pPr>
            <w:r>
              <w:rPr>
                <w:rFonts w:ascii="Times New Roman" w:hAnsi="Times New Roman"/>
                <w:color w:val="282828"/>
                <w:sz w:val="18"/>
              </w:rPr>
              <w:t>30 mph</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3,206</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16.13%</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722</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31.02%</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3.88%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1.92x</w:t>
            </w:r>
          </w:p>
        </w:tc>
      </w:tr>
      <w:tr>
        <w:tc>
          <w:tcPr>
            <w:tcW w:type="dxa" w:w="1152"/>
            <w:shd w:fill="FFFFFF"/>
            <w:tcMar>
              <w:top w:w="80" w:type="dxa"/>
              <w:bottom w:w="80" w:type="dxa"/>
              <w:left w:w="120" w:type="dxa"/>
              <w:right w:w="120" w:type="dxa"/>
            </w:tcMar>
          </w:tcPr>
          <w:p>
            <w:pPr>
              <w:spacing w:before="0" w:after="0"/>
              <w:jc w:val="left"/>
            </w:pPr>
            <w:r>
              <w:rPr>
                <w:rFonts w:ascii="Times New Roman" w:hAnsi="Times New Roman"/>
                <w:color w:val="282828"/>
                <w:sz w:val="18"/>
              </w:rPr>
              <w:t>40 mph</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125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14.40%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35.71%</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7.14%</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2.48x</w:t>
            </w:r>
          </w:p>
        </w:tc>
      </w:tr>
      <w:tr>
        <w:tc>
          <w:tcPr>
            <w:tcW w:type="dxa" w:w="1152"/>
            <w:shd w:fill="F7FAFC"/>
            <w:tcMar>
              <w:top w:w="80" w:type="dxa"/>
              <w:bottom w:w="80" w:type="dxa"/>
              <w:left w:w="120" w:type="dxa"/>
              <w:right w:w="120" w:type="dxa"/>
            </w:tcMar>
          </w:tcPr>
          <w:p>
            <w:pPr>
              <w:spacing w:before="0" w:after="0"/>
              <w:jc w:val="left"/>
            </w:pPr>
            <w:r>
              <w:rPr>
                <w:rFonts w:ascii="Times New Roman" w:hAnsi="Times New Roman"/>
                <w:color w:val="282828"/>
                <w:sz w:val="18"/>
              </w:rPr>
              <w:t>50 mph</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4,466</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16.97%</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1,058</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32.89%</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49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4.63%</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1.94x</w:t>
            </w:r>
          </w:p>
        </w:tc>
      </w:tr>
      <w:tr>
        <w:tc>
          <w:tcPr>
            <w:tcW w:type="dxa" w:w="1152"/>
            <w:shd w:fill="FFFFFF"/>
            <w:tcMar>
              <w:top w:w="80" w:type="dxa"/>
              <w:bottom w:w="80" w:type="dxa"/>
              <w:left w:w="120" w:type="dxa"/>
              <w:right w:w="120" w:type="dxa"/>
            </w:tcMar>
          </w:tcPr>
          <w:p>
            <w:pPr>
              <w:spacing w:before="0" w:after="0"/>
              <w:jc w:val="left"/>
            </w:pPr>
            <w:r>
              <w:rPr>
                <w:rFonts w:ascii="Times New Roman" w:hAnsi="Times New Roman"/>
                <w:color w:val="282828"/>
                <w:sz w:val="18"/>
              </w:rPr>
              <w:t>60 mph</w:t>
            </w:r>
          </w:p>
        </w:tc>
        <w:tc>
          <w:tcPr>
            <w:tcW w:type="dxa" w:w="1440"/>
            <w:shd w:fill="FFFFFF"/>
            <w:tcMar>
              <w:top w:w="80" w:type="dxa"/>
              <w:bottom w:w="80" w:type="dxa"/>
              <w:left w:w="120" w:type="dxa"/>
              <w:right w:w="120" w:type="dxa"/>
            </w:tcMar>
          </w:tcPr>
          <w:p>
            <w:pPr>
              <w:spacing w:before="0" w:after="0"/>
              <w:jc w:val="right"/>
            </w:pPr>
            <w:r>
              <w:rPr>
                <w:rFonts w:ascii="Times New Roman" w:hAnsi="Times New Roman"/>
                <w:color w:val="282828"/>
                <w:sz w:val="18"/>
              </w:rPr>
              <w:t>56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41.07%</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11</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72.73%</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3</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27.27%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1.77x (LETHAL)</w:t>
            </w:r>
          </w:p>
        </w:tc>
      </w:tr>
      <w:tr>
        <w:tc>
          <w:tcPr>
            <w:tcW w:type="dxa" w:w="1152"/>
            <w:shd w:fill="F7FAFC"/>
            <w:tcMar>
              <w:top w:w="80" w:type="dxa"/>
              <w:bottom w:w="80" w:type="dxa"/>
              <w:left w:w="120" w:type="dxa"/>
              <w:right w:w="120" w:type="dxa"/>
            </w:tcMar>
          </w:tcPr>
          <w:p>
            <w:pPr>
              <w:spacing w:before="0" w:after="0"/>
              <w:jc w:val="left"/>
            </w:pPr>
            <w:r>
              <w:rPr>
                <w:rFonts w:ascii="Times New Roman" w:hAnsi="Times New Roman"/>
                <w:color w:val="282828"/>
                <w:sz w:val="18"/>
              </w:rPr>
              <w:t>70 mph</w:t>
            </w:r>
          </w:p>
        </w:tc>
        <w:tc>
          <w:tcPr>
            <w:tcW w:type="dxa" w:w="1440"/>
            <w:shd w:fill="F7FAFC"/>
            <w:tcMar>
              <w:top w:w="80" w:type="dxa"/>
              <w:bottom w:w="80" w:type="dxa"/>
              <w:left w:w="120" w:type="dxa"/>
              <w:right w:w="120" w:type="dxa"/>
            </w:tcMar>
          </w:tcPr>
          <w:p>
            <w:pPr>
              <w:spacing w:before="0" w:after="0"/>
              <w:jc w:val="right"/>
            </w:pPr>
            <w:r>
              <w:rPr>
                <w:rFonts w:ascii="Times New Roman" w:hAnsi="Times New Roman"/>
                <w:color w:val="282828"/>
                <w:sz w:val="18"/>
              </w:rPr>
              <w:t>8,809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25.74%</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2,047</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48.95%</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211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10.31%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1.90x</w:t>
            </w:r>
          </w:p>
        </w:tc>
      </w:tr>
    </w:tbl>
    <w:p>
      <w:pPr>
        <w:spacing w:before="0" w:after="120"/>
      </w:pPr>
    </w:p>
    <w:p>
      <w:pPr>
        <w:keepNext/>
        <w:spacing w:before="240" w:after="80"/>
        <w:jc w:val="left"/>
      </w:pPr>
      <w:r>
        <w:rPr>
          <w:rFonts w:ascii="Times New Roman" w:hAnsi="Times New Roman"/>
          <w:b/>
          <w:color w:val="2E74B5"/>
          <w:sz w:val="25"/>
        </w:rPr>
        <w:t>5.7 Machine Learning Severity Attribution &amp; Targeted Policy Simulation</w:t>
      </w:r>
    </w:p>
    <w:p>
      <w:pPr>
        <w:keepNext/>
        <w:spacing w:before="180" w:after="60"/>
        <w:jc w:val="left"/>
      </w:pPr>
      <w:r>
        <w:rPr>
          <w:rFonts w:ascii="Times New Roman" w:hAnsi="Times New Roman"/>
          <w:b/>
          <w:color w:val="464646"/>
          <w:sz w:val="23"/>
        </w:rPr>
        <w:t>5.7.1 Random Forest Feature Importance Spectrum (Figure 17 &amp; Table 17)</w:t>
      </w:r>
    </w:p>
    <w:p>
      <w:pPr>
        <w:spacing w:after="120" w:before="0" w:line="276" w:lineRule="auto"/>
        <w:jc w:val="both"/>
      </w:pPr>
      <w:r>
        <w:rPr>
          <w:rFonts w:ascii="Times New Roman" w:hAnsi="Times New Roman"/>
          <w:b w:val="0"/>
          <w:i w:val="0"/>
          <w:color w:val="282828"/>
          <w:sz w:val="24"/>
        </w:rPr>
        <w:t>To objectively isolate the primary drivers of collision severity and eliminate human confirmation bias, an ensemble Random Forest Hotspot Severity Classifier was trained on the 22,000 crash records. The target variable was binary collision severity (Severe = Fatal + Serious, comprising 24.75% of samples; Non-Severe = Slight). Figure 17 ranks the top ten predictor features by Gini impurity feature importance.</w:t>
      </w:r>
    </w:p>
    <w:p>
      <w:pPr>
        <w:keepNext/>
        <w:spacing w:before="160" w:after="80"/>
        <w:jc w:val="center"/>
      </w:pPr>
      <w:r>
        <w:drawing>
          <wp:inline xmlns:a="http://schemas.openxmlformats.org/drawingml/2006/main" xmlns:pic="http://schemas.openxmlformats.org/drawingml/2006/picture">
            <wp:extent cx="5303520" cy="2532396"/>
            <wp:docPr id="18" name="Picture 18"/>
            <wp:cNvGraphicFramePr>
              <a:graphicFrameLocks noChangeAspect="1"/>
            </wp:cNvGraphicFramePr>
            <a:graphic>
              <a:graphicData uri="http://schemas.openxmlformats.org/drawingml/2006/picture">
                <pic:pic>
                  <pic:nvPicPr>
                    <pic:cNvPr id="0" name="fig17_ml_feature_importance.png"/>
                    <pic:cNvPicPr/>
                  </pic:nvPicPr>
                  <pic:blipFill>
                    <a:blip r:embed="rId27"/>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17: </w:t>
      </w:r>
      <w:r>
        <w:rPr>
          <w:rFonts w:ascii="Times New Roman" w:hAnsi="Times New Roman"/>
          <w:i/>
          <w:color w:val="282828"/>
          <w:sz w:val="19"/>
        </w:rPr>
        <w:t>Predictive Severity Attribution: Random Forest Feature Importance Spectrum (Gini Impurity Metric)</w:t>
      </w:r>
    </w:p>
    <w:p>
      <w:pPr>
        <w:spacing w:after="120" w:before="0" w:line="276" w:lineRule="auto"/>
        <w:jc w:val="both"/>
      </w:pPr>
      <w:r>
        <w:rPr>
          <w:rFonts w:ascii="Times New Roman" w:hAnsi="Times New Roman"/>
          <w:b w:val="0"/>
          <w:i w:val="0"/>
          <w:color w:val="282828"/>
          <w:sz w:val="24"/>
        </w:rPr>
        <w:t>As detailed in Table 17, `is_vulnerable_user` emerges as the single most dominant predictor of crash severity, capturing 36.95% of total predictive power. Annual Average Daily Traffic (`aadt`) ranks second at 15.29%, reflecting how traffic volume dictates operational friction and speed regimes. Posted speed limit (`speed_limit_mph`) captures 12.19%, while segment length (`length_km`) contributes 10.89%. Ambient illumination quality (`is_dark_unlit`) ranks fifth with 6.62% importance, followed by lane count (`lanes`, 5.36%), adverse weather (`is_adverse_weather`, 3.46%), and wet pavement (`is_wet_surface`, 3.44%). These machine-learned weights confirm that physical user vulnerability, kinetic speed, and darkness dictate whether a collision produces slight bruises or catastrophic death.</w:t>
      </w:r>
    </w:p>
    <w:p>
      <w:pPr>
        <w:keepNext/>
        <w:spacing w:before="160" w:after="80"/>
        <w:jc w:val="left"/>
      </w:pPr>
      <w:r>
        <w:rPr>
          <w:rFonts w:ascii="Times New Roman" w:hAnsi="Times New Roman"/>
          <w:b/>
          <w:color w:val="1F4E79"/>
          <w:sz w:val="19"/>
        </w:rPr>
        <w:t xml:space="preserve">Table 17: </w:t>
      </w:r>
      <w:r>
        <w:rPr>
          <w:rFonts w:ascii="Times New Roman" w:hAnsi="Times New Roman"/>
          <w:i/>
          <w:color w:val="282828"/>
          <w:sz w:val="19"/>
        </w:rPr>
        <w:t>Random Forest Severity Attribution: Top Predictor Features and Gini Impurity Weights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500"/>
        <w:gridCol w:w="1500"/>
        <w:gridCol w:w="1500"/>
        <w:gridCol w:w="1500"/>
        <w:gridCol w:w="1500"/>
        <w:gridCol w:w="1500"/>
      </w:tblGrid>
      <w:tr>
        <w:tc>
          <w:tcPr>
            <w:tcW w:type="dxa" w:w="720"/>
            <w:shd w:fill="2B6CB0"/>
            <w:tcMar>
              <w:top w:w="120" w:type="dxa"/>
              <w:bottom w:w="120" w:type="dxa"/>
              <w:left w:w="140" w:type="dxa"/>
              <w:right w:w="140" w:type="dxa"/>
            </w:tcMar>
          </w:tcPr>
          <w:p>
            <w:pPr>
              <w:spacing w:before="0" w:after="0"/>
              <w:jc w:val="center"/>
            </w:pPr>
            <w:r>
              <w:rPr>
                <w:rFonts w:ascii="Times New Roman" w:hAnsi="Times New Roman"/>
                <w:b/>
                <w:color w:val="FFFFFF"/>
                <w:sz w:val="19"/>
              </w:rPr>
              <w:t>Rank</w:t>
            </w:r>
          </w:p>
        </w:tc>
        <w:tc>
          <w:tcPr>
            <w:tcW w:type="dxa" w:w="2016"/>
            <w:shd w:fill="2B6CB0"/>
            <w:tcMar>
              <w:top w:w="120" w:type="dxa"/>
              <w:bottom w:w="120" w:type="dxa"/>
              <w:left w:w="140" w:type="dxa"/>
              <w:right w:w="140" w:type="dxa"/>
            </w:tcMar>
          </w:tcPr>
          <w:p>
            <w:pPr>
              <w:spacing w:before="0" w:after="0"/>
              <w:jc w:val="center"/>
            </w:pPr>
            <w:r>
              <w:rPr>
                <w:rFonts w:ascii="Times New Roman" w:hAnsi="Times New Roman"/>
                <w:b/>
                <w:color w:val="FFFFFF"/>
                <w:sz w:val="19"/>
              </w:rPr>
              <w:t>Predictor Feature Name</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Variable Domain</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Gini Importance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Cumulative Weight (%)</w:t>
            </w:r>
          </w:p>
        </w:tc>
        <w:tc>
          <w:tcPr>
            <w:tcW w:type="dxa" w:w="2736"/>
            <w:shd w:fill="2B6CB0"/>
            <w:tcMar>
              <w:top w:w="120" w:type="dxa"/>
              <w:bottom w:w="120" w:type="dxa"/>
              <w:left w:w="140" w:type="dxa"/>
              <w:right w:w="140" w:type="dxa"/>
            </w:tcMar>
          </w:tcPr>
          <w:p>
            <w:pPr>
              <w:spacing w:before="0" w:after="0"/>
              <w:jc w:val="center"/>
            </w:pPr>
            <w:r>
              <w:rPr>
                <w:rFonts w:ascii="Times New Roman" w:hAnsi="Times New Roman"/>
                <w:b/>
                <w:color w:val="FFFFFF"/>
                <w:sz w:val="19"/>
              </w:rPr>
              <w:t>Engineering Mechanism</w:t>
            </w:r>
          </w:p>
        </w:tc>
      </w:tr>
      <w:tr>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#1</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is_vulnerable_user</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Vehicle / Modal Type</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36.95%</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36.95%</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Absence of protective steel cage &amp; crumple zones</w:t>
            </w:r>
          </w:p>
        </w:tc>
      </w:tr>
      <w:tr>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#2</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aadt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Traffic Volume Exposure</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15.29%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52.24%</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Governs congestion, headways, and operational speed</w:t>
            </w:r>
          </w:p>
        </w:tc>
      </w:tr>
      <w:tr>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#3</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speed_limit_mph</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Kinetic Energy Regime</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12.19%</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64.43%</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Quadratic impact energy dissipation (1/2 mv^2)</w:t>
            </w:r>
          </w:p>
        </w:tc>
      </w:tr>
      <w:tr>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#4</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length_km</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Road Geometry / Scale</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10.89%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75.32%</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Exposure opportunity window and alignment variance</w:t>
            </w:r>
          </w:p>
        </w:tc>
      </w:tr>
      <w:tr>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#5</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is_dark_unlit</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Illumination Quality</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6.62%</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81.94%</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Sight distance limitation and late hazard perception</w:t>
            </w:r>
          </w:p>
        </w:tc>
      </w:tr>
      <w:tr>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#6</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lanes</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Cross-Section Capacity</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5.36%</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87.30%</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Lane changing friction and conflict point density</w:t>
            </w:r>
          </w:p>
        </w:tc>
      </w:tr>
      <w:tr>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#7</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is_adverse_weather</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Meteorological Hostility</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3.46%</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90.76%</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Precipitation, wind shear, and reduced visibility</w:t>
            </w:r>
          </w:p>
        </w:tc>
      </w:tr>
      <w:tr>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#8</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is_wet_surface</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Pavement Friction State</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3.44%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94.20%</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Loss of skid resistance and hydroplaning risk</w:t>
            </w:r>
          </w:p>
        </w:tc>
      </w:tr>
      <w:tr>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#9</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is_weekend</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Temporal / Behavioral</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3.30%</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97.50%</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Recreational travel, intoxication, and fatigue</w:t>
            </w:r>
          </w:p>
        </w:tc>
      </w:tr>
      <w:tr>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#10</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is_night</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Circadian Operational</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2.51%</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100.00%</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Nocturnal alertness decline and speeding</w:t>
            </w:r>
          </w:p>
        </w:tc>
      </w:tr>
    </w:tbl>
    <w:p>
      <w:pPr>
        <w:spacing w:before="0" w:after="120"/>
      </w:pPr>
    </w:p>
    <w:p>
      <w:pPr>
        <w:keepNext/>
        <w:spacing w:before="180" w:after="60"/>
        <w:jc w:val="left"/>
      </w:pPr>
      <w:r>
        <w:rPr>
          <w:rFonts w:ascii="Times New Roman" w:hAnsi="Times New Roman"/>
          <w:b/>
          <w:color w:val="464646"/>
          <w:sz w:val="23"/>
        </w:rPr>
        <w:t>5.7.2 Classification Model Performance &amp; Confusion Matrix Validation (Figure 18 &amp; Table 18)</w:t>
      </w:r>
    </w:p>
    <w:p>
      <w:pPr>
        <w:spacing w:after="120" w:before="0" w:line="276" w:lineRule="auto"/>
        <w:jc w:val="both"/>
      </w:pPr>
      <w:r>
        <w:rPr>
          <w:rFonts w:ascii="Times New Roman" w:hAnsi="Times New Roman"/>
          <w:b w:val="0"/>
          <w:i w:val="0"/>
          <w:color w:val="282828"/>
          <w:sz w:val="24"/>
        </w:rPr>
        <w:t>Figure 18 and Table 18 report the classification performance and confusion matrix of the Random Forest model evaluated across an independent 20% test holdout (4,400 samples) balanced against the 24.75% severe outcome prior.</w:t>
      </w:r>
    </w:p>
    <w:p>
      <w:pPr>
        <w:keepNext/>
        <w:spacing w:before="160" w:after="80"/>
        <w:jc w:val="center"/>
      </w:pPr>
      <w:r>
        <w:drawing>
          <wp:inline xmlns:a="http://schemas.openxmlformats.org/drawingml/2006/main" xmlns:pic="http://schemas.openxmlformats.org/drawingml/2006/picture">
            <wp:extent cx="5486400" cy="2522872"/>
            <wp:docPr id="19" name="Picture 19"/>
            <wp:cNvGraphicFramePr>
              <a:graphicFrameLocks noChangeAspect="1"/>
            </wp:cNvGraphicFramePr>
            <a:graphic>
              <a:graphicData uri="http://schemas.openxmlformats.org/drawingml/2006/picture">
                <pic:pic>
                  <pic:nvPicPr>
                    <pic:cNvPr id="0" name="fig18_ml_performance.png"/>
                    <pic:cNvPicPr/>
                  </pic:nvPicPr>
                  <pic:blipFill>
                    <a:blip r:embed="rId28"/>
                    <a:stretch>
                      <a:fillRect/>
                    </a:stretch>
                  </pic:blipFill>
                  <pic:spPr>
                    <a:xfrm>
                      <a:off x="0" y="0"/>
                      <a:ext cx="5486400" cy="2522872"/>
                    </a:xfrm>
                    <a:prstGeom prst="rect"/>
                  </pic:spPr>
                </pic:pic>
              </a:graphicData>
            </a:graphic>
          </wp:inline>
        </w:drawing>
      </w:r>
    </w:p>
    <w:p>
      <w:pPr>
        <w:spacing w:before="40" w:after="160"/>
        <w:jc w:val="center"/>
      </w:pPr>
      <w:r>
        <w:rPr>
          <w:rFonts w:ascii="Times New Roman" w:hAnsi="Times New Roman"/>
          <w:b/>
          <w:color w:val="1F4E79"/>
          <w:sz w:val="19"/>
        </w:rPr>
        <w:t xml:space="preserve">Figure 18: </w:t>
      </w:r>
      <w:r>
        <w:rPr>
          <w:rFonts w:ascii="Times New Roman" w:hAnsi="Times New Roman"/>
          <w:i/>
          <w:color w:val="282828"/>
          <w:sz w:val="19"/>
        </w:rPr>
        <w:t>Hotspot Classifier Validation: Confusion Matrix Heatmap and Standard Classification Metrics</w:t>
      </w:r>
    </w:p>
    <w:p>
      <w:pPr>
        <w:spacing w:after="120" w:before="0" w:line="276" w:lineRule="auto"/>
        <w:jc w:val="both"/>
      </w:pPr>
      <w:r>
        <w:rPr>
          <w:rFonts w:ascii="Times New Roman" w:hAnsi="Times New Roman"/>
          <w:b w:val="0"/>
          <w:i w:val="0"/>
          <w:color w:val="282828"/>
          <w:sz w:val="24"/>
        </w:rPr>
        <w:t>The classifier achieves an Overall Accuracy of 87.12% with strong discriminatory power. Precision for the severe injury class reaches 74.52%, while Recall (Sensitivity) achieves 72.80%, ensuring that nearly three-quarters of all true fatal and serious crashes are proactively flagged by the algorithm. Specificity for non-severe crashes reaches 91.82%, minimizing false alarms. The Area Under the Receiver Operating Characteristic Curve (ROC-AUC) attains an exceptional 0.884, confirming that the learned feature weights provide a robust mathematical foundation for countermeasure policy simulation.</w:t>
      </w:r>
    </w:p>
    <w:p>
      <w:pPr>
        <w:keepNext/>
        <w:spacing w:before="160" w:after="80"/>
        <w:jc w:val="left"/>
      </w:pPr>
      <w:r>
        <w:rPr>
          <w:rFonts w:ascii="Times New Roman" w:hAnsi="Times New Roman"/>
          <w:b/>
          <w:color w:val="1F4E79"/>
          <w:sz w:val="19"/>
        </w:rPr>
        <w:t xml:space="preserve">Table 18: </w:t>
      </w:r>
      <w:r>
        <w:rPr>
          <w:rFonts w:ascii="Times New Roman" w:hAnsi="Times New Roman"/>
          <w:i/>
          <w:color w:val="282828"/>
          <w:sz w:val="19"/>
        </w:rPr>
        <w:t>Hotspot Classifier Performance Metrics (Accuracy, Precision, Recall, F1-Score, ROC-AUC)</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800"/>
        <w:gridCol w:w="1800"/>
        <w:gridCol w:w="1800"/>
        <w:gridCol w:w="1800"/>
        <w:gridCol w:w="1800"/>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Validation Metric</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Mathematical Formulation</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Model Value (%)</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Industry Benchmark</w:t>
            </w:r>
          </w:p>
        </w:tc>
        <w:tc>
          <w:tcPr>
            <w:tcW w:type="dxa" w:w="2592"/>
            <w:shd w:fill="2B6CB0"/>
            <w:tcMar>
              <w:top w:w="120" w:type="dxa"/>
              <w:bottom w:w="120" w:type="dxa"/>
              <w:left w:w="140" w:type="dxa"/>
              <w:right w:w="140" w:type="dxa"/>
            </w:tcMar>
          </w:tcPr>
          <w:p>
            <w:pPr>
              <w:spacing w:before="0" w:after="0"/>
              <w:jc w:val="center"/>
            </w:pPr>
            <w:r>
              <w:rPr>
                <w:rFonts w:ascii="Times New Roman" w:hAnsi="Times New Roman"/>
                <w:b/>
                <w:color w:val="FFFFFF"/>
                <w:sz w:val="19"/>
              </w:rPr>
              <w:t>Operational Safety Utility</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Overall Accuracy</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(TP + TN) / (P + N)</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87.12%</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&gt; 80.0%</w:t>
            </w:r>
          </w:p>
        </w:tc>
        <w:tc>
          <w:tcPr>
            <w:tcW w:type="dxa" w:w="2592"/>
            <w:shd w:fill="FFFFFF"/>
            <w:tcMar>
              <w:top w:w="80" w:type="dxa"/>
              <w:bottom w:w="80" w:type="dxa"/>
              <w:left w:w="120" w:type="dxa"/>
              <w:right w:w="120" w:type="dxa"/>
            </w:tcMar>
          </w:tcPr>
          <w:p>
            <w:pPr>
              <w:spacing w:before="0" w:after="0"/>
              <w:jc w:val="center"/>
            </w:pPr>
            <w:r>
              <w:rPr>
                <w:rFonts w:ascii="Times New Roman" w:hAnsi="Times New Roman"/>
                <w:color w:val="282828"/>
                <w:sz w:val="18"/>
              </w:rPr>
              <w:t>Reliable total network classification</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Severe Class Precision</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TP / (TP + FP)</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74.52%</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&gt; 70.0%</w:t>
            </w:r>
          </w:p>
        </w:tc>
        <w:tc>
          <w:tcPr>
            <w:tcW w:type="dxa" w:w="2592"/>
            <w:shd w:fill="F7FAFC"/>
            <w:tcMar>
              <w:top w:w="80" w:type="dxa"/>
              <w:bottom w:w="80" w:type="dxa"/>
              <w:left w:w="120" w:type="dxa"/>
              <w:right w:w="120" w:type="dxa"/>
            </w:tcMar>
          </w:tcPr>
          <w:p>
            <w:pPr>
              <w:spacing w:before="0" w:after="0"/>
              <w:jc w:val="center"/>
            </w:pPr>
            <w:r>
              <w:rPr>
                <w:rFonts w:ascii="Times New Roman" w:hAnsi="Times New Roman"/>
                <w:color w:val="282828"/>
                <w:sz w:val="18"/>
              </w:rPr>
              <w:t>Ensures capital is not wasted on false alarms</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Severe Class Recall</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TP / (TP + FN)</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72.80%</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&gt; 70.0%</w:t>
            </w:r>
          </w:p>
        </w:tc>
        <w:tc>
          <w:tcPr>
            <w:tcW w:type="dxa" w:w="2592"/>
            <w:shd w:fill="FFFFFF"/>
            <w:tcMar>
              <w:top w:w="80" w:type="dxa"/>
              <w:bottom w:w="80" w:type="dxa"/>
              <w:left w:w="120" w:type="dxa"/>
              <w:right w:w="120" w:type="dxa"/>
            </w:tcMar>
          </w:tcPr>
          <w:p>
            <w:pPr>
              <w:spacing w:before="0" w:after="0"/>
              <w:jc w:val="center"/>
            </w:pPr>
            <w:r>
              <w:rPr>
                <w:rFonts w:ascii="Times New Roman" w:hAnsi="Times New Roman"/>
                <w:color w:val="282828"/>
                <w:sz w:val="18"/>
              </w:rPr>
              <w:t>Captures 73% of all true life-threatening crashes</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Non-Severe Specificity</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TN / (TN + FP)</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91.82%</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&gt; 85.0%</w:t>
            </w:r>
          </w:p>
        </w:tc>
        <w:tc>
          <w:tcPr>
            <w:tcW w:type="dxa" w:w="2592"/>
            <w:shd w:fill="F7FAFC"/>
            <w:tcMar>
              <w:top w:w="80" w:type="dxa"/>
              <w:bottom w:w="80" w:type="dxa"/>
              <w:left w:w="120" w:type="dxa"/>
              <w:right w:w="120" w:type="dxa"/>
            </w:tcMar>
          </w:tcPr>
          <w:p>
            <w:pPr>
              <w:spacing w:before="0" w:after="0"/>
              <w:jc w:val="center"/>
            </w:pPr>
            <w:r>
              <w:rPr>
                <w:rFonts w:ascii="Times New Roman" w:hAnsi="Times New Roman"/>
                <w:color w:val="282828"/>
                <w:sz w:val="18"/>
              </w:rPr>
              <w:t>Correctly filters low-severity property damage</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F1-Score (Harmonic Mean)</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2 * (P * R) / (P + R)</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73.65%</w:t>
            </w:r>
          </w:p>
        </w:tc>
        <w:tc>
          <w:tcPr>
            <w:tcW w:type="dxa" w:w="1296"/>
            <w:shd w:fill="FFFFFF"/>
            <w:tcMar>
              <w:top w:w="80" w:type="dxa"/>
              <w:bottom w:w="80" w:type="dxa"/>
              <w:left w:w="120" w:type="dxa"/>
              <w:right w:w="120" w:type="dxa"/>
            </w:tcMar>
          </w:tcPr>
          <w:p>
            <w:pPr>
              <w:spacing w:before="0" w:after="0"/>
              <w:jc w:val="center"/>
            </w:pPr>
            <w:r>
              <w:rPr>
                <w:rFonts w:ascii="Times New Roman" w:hAnsi="Times New Roman"/>
                <w:color w:val="282828"/>
                <w:sz w:val="18"/>
              </w:rPr>
              <w:t>&gt; 70.0%</w:t>
            </w:r>
          </w:p>
        </w:tc>
        <w:tc>
          <w:tcPr>
            <w:tcW w:type="dxa" w:w="2592"/>
            <w:shd w:fill="FFFFFF"/>
            <w:tcMar>
              <w:top w:w="80" w:type="dxa"/>
              <w:bottom w:w="80" w:type="dxa"/>
              <w:left w:w="120" w:type="dxa"/>
              <w:right w:w="120" w:type="dxa"/>
            </w:tcMar>
          </w:tcPr>
          <w:p>
            <w:pPr>
              <w:spacing w:before="0" w:after="0"/>
              <w:jc w:val="center"/>
            </w:pPr>
            <w:r>
              <w:rPr>
                <w:rFonts w:ascii="Times New Roman" w:hAnsi="Times New Roman"/>
                <w:color w:val="282828"/>
                <w:sz w:val="18"/>
              </w:rPr>
              <w:t>Harmonized balance of precision and recall</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Area Under ROC (ROC-AUC)</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 TPR d(FPR)</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0.884</w:t>
            </w:r>
          </w:p>
        </w:tc>
        <w:tc>
          <w:tcPr>
            <w:tcW w:type="dxa" w:w="1296"/>
            <w:shd w:fill="F7FAFC"/>
            <w:tcMar>
              <w:top w:w="80" w:type="dxa"/>
              <w:bottom w:w="80" w:type="dxa"/>
              <w:left w:w="120" w:type="dxa"/>
              <w:right w:w="120" w:type="dxa"/>
            </w:tcMar>
          </w:tcPr>
          <w:p>
            <w:pPr>
              <w:spacing w:before="0" w:after="0"/>
              <w:jc w:val="center"/>
            </w:pPr>
            <w:r>
              <w:rPr>
                <w:rFonts w:ascii="Times New Roman" w:hAnsi="Times New Roman"/>
                <w:color w:val="282828"/>
                <w:sz w:val="18"/>
              </w:rPr>
              <w:t>&gt; 0.800</w:t>
            </w:r>
          </w:p>
        </w:tc>
        <w:tc>
          <w:tcPr>
            <w:tcW w:type="dxa" w:w="2592"/>
            <w:shd w:fill="F7FAFC"/>
            <w:tcMar>
              <w:top w:w="80" w:type="dxa"/>
              <w:bottom w:w="80" w:type="dxa"/>
              <w:left w:w="120" w:type="dxa"/>
              <w:right w:w="120" w:type="dxa"/>
            </w:tcMar>
          </w:tcPr>
          <w:p>
            <w:pPr>
              <w:spacing w:before="0" w:after="0"/>
              <w:jc w:val="center"/>
            </w:pPr>
            <w:r>
              <w:rPr>
                <w:rFonts w:ascii="Times New Roman" w:hAnsi="Times New Roman"/>
                <w:color w:val="282828"/>
                <w:sz w:val="18"/>
              </w:rPr>
              <w:t>High discriminatory diagnostic power</w:t>
            </w:r>
          </w:p>
        </w:tc>
      </w:tr>
    </w:tbl>
    <w:p>
      <w:pPr>
        <w:spacing w:before="0" w:after="120"/>
      </w:pPr>
    </w:p>
    <w:p>
      <w:pPr>
        <w:keepNext/>
        <w:spacing w:before="180" w:after="60"/>
        <w:jc w:val="left"/>
      </w:pPr>
      <w:r>
        <w:rPr>
          <w:rFonts w:ascii="Times New Roman" w:hAnsi="Times New Roman"/>
          <w:b/>
          <w:color w:val="464646"/>
          <w:sz w:val="23"/>
        </w:rPr>
        <w:t>5.7.3 Targeted Engineering Countermeasure Policy Simulation (Figure 19 &amp; Table 19)</w:t>
      </w:r>
    </w:p>
    <w:p>
      <w:pPr>
        <w:spacing w:after="120" w:before="0" w:line="276" w:lineRule="auto"/>
        <w:jc w:val="both"/>
      </w:pPr>
      <w:r>
        <w:rPr>
          <w:rFonts w:ascii="Times New Roman" w:hAnsi="Times New Roman"/>
          <w:b w:val="0"/>
          <w:i w:val="0"/>
          <w:color w:val="282828"/>
          <w:sz w:val="24"/>
        </w:rPr>
        <w:t>By coupling the Random Forest feature importances with empirical elasticity coefficients from the Highway Safety Manual (AASHTO, 2010) and Crash Modification Factors (CMFs), an interactive 'What-If' policy simulation sandbox was deployed in the analytics dashboard. Figure 19 models the projected reduction in the Relative Severe Injury Risk Index across five targeted engineering interventions relative to an unmitigated baseline ($100.0$).</w:t>
      </w:r>
    </w:p>
    <w:p>
      <w:pPr>
        <w:keepNext/>
        <w:spacing w:before="160" w:after="80"/>
        <w:jc w:val="center"/>
      </w:pPr>
      <w:r>
        <w:drawing>
          <wp:inline xmlns:a="http://schemas.openxmlformats.org/drawingml/2006/main" xmlns:pic="http://schemas.openxmlformats.org/drawingml/2006/picture">
            <wp:extent cx="5303520" cy="2425363"/>
            <wp:docPr id="20" name="Picture 20"/>
            <wp:cNvGraphicFramePr>
              <a:graphicFrameLocks noChangeAspect="1"/>
            </wp:cNvGraphicFramePr>
            <a:graphic>
              <a:graphicData uri="http://schemas.openxmlformats.org/drawingml/2006/picture">
                <pic:pic>
                  <pic:nvPicPr>
                    <pic:cNvPr id="0" name="fig19_policy_simulation.png"/>
                    <pic:cNvPicPr/>
                  </pic:nvPicPr>
                  <pic:blipFill>
                    <a:blip r:embed="rId29"/>
                    <a:stretch>
                      <a:fillRect/>
                    </a:stretch>
                  </pic:blipFill>
                  <pic:spPr>
                    <a:xfrm>
                      <a:off x="0" y="0"/>
                      <a:ext cx="5303520" cy="2425363"/>
                    </a:xfrm>
                    <a:prstGeom prst="rect"/>
                  </pic:spPr>
                </pic:pic>
              </a:graphicData>
            </a:graphic>
          </wp:inline>
        </w:drawing>
      </w:r>
    </w:p>
    <w:p>
      <w:pPr>
        <w:spacing w:before="40" w:after="160"/>
        <w:jc w:val="center"/>
      </w:pPr>
      <w:r>
        <w:rPr>
          <w:rFonts w:ascii="Times New Roman" w:hAnsi="Times New Roman"/>
          <w:b/>
          <w:color w:val="1F4E79"/>
          <w:sz w:val="19"/>
        </w:rPr>
        <w:t xml:space="preserve">Figure 19: </w:t>
      </w:r>
      <w:r>
        <w:rPr>
          <w:rFonts w:ascii="Times New Roman" w:hAnsi="Times New Roman"/>
          <w:i/>
          <w:color w:val="282828"/>
          <w:sz w:val="19"/>
        </w:rPr>
        <w:t>Targeted Engineering Policy Simulation: Cumulative Risk Reductions Under Infrastructure Countermeasures</w:t>
      </w:r>
    </w:p>
    <w:p>
      <w:pPr>
        <w:spacing w:after="120" w:before="0" w:line="276" w:lineRule="auto"/>
        <w:jc w:val="both"/>
      </w:pPr>
      <w:r>
        <w:rPr>
          <w:rFonts w:ascii="Times New Roman" w:hAnsi="Times New Roman"/>
          <w:b w:val="0"/>
          <w:i w:val="0"/>
          <w:color w:val="282828"/>
          <w:sz w:val="24"/>
        </w:rPr>
        <w:t>As detailed in Table 19, deploying continuous LED street lighting retrofits on unlit rural corridors reduces relative risk by 21.6% (index drops to 78.4) by eliminating 42% of unlit nocturnal fatal odds. Enforcing a 10 mph speed reduction drops the risk index to 69.2 (a 30.8% reduction), directly mitigating kinetic energy dissipation. Constructing physically segregated active mobility lanes for VRUs reduces conflict odds by 55%, lowering the risk index to 58.1 (a 41.9% reduction). High-friction anti-skid surface dressing reduces wet-road sliding risk by 33%, dropping the index to 51.3. Finally, implementing a 'Comprehensive Safe Corridor Package' (combining lighting, speed calming, segregated lanes, and anti-skid surfacing) slashes severe injury risk by an astounding 65.4% (risk index falls to 34.6)! This simulation provides highway engineers with definitive cost-benefit justification for targeted capital expenditures.</w:t>
      </w:r>
    </w:p>
    <w:p>
      <w:pPr>
        <w:keepNext/>
        <w:spacing w:before="160" w:after="80"/>
        <w:jc w:val="left"/>
      </w:pPr>
      <w:r>
        <w:rPr>
          <w:rFonts w:ascii="Times New Roman" w:hAnsi="Times New Roman"/>
          <w:b/>
          <w:color w:val="1F4E79"/>
          <w:sz w:val="19"/>
        </w:rPr>
        <w:t xml:space="preserve">Table 19: </w:t>
      </w:r>
      <w:r>
        <w:rPr>
          <w:rFonts w:ascii="Times New Roman" w:hAnsi="Times New Roman"/>
          <w:i/>
          <w:color w:val="282828"/>
          <w:sz w:val="19"/>
        </w:rPr>
        <w:t>Targeted Countermeasure Policy Simulation: Projected Injury &amp; Risk Index Reductions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1800"/>
        <w:gridCol w:w="1800"/>
        <w:gridCol w:w="1800"/>
        <w:gridCol w:w="1800"/>
        <w:gridCol w:w="1800"/>
      </w:tblGrid>
      <w:tr>
        <w:tc>
          <w:tcPr>
            <w:tcW w:type="dxa" w:w="2448"/>
            <w:shd w:fill="2B6CB0"/>
            <w:tcMar>
              <w:top w:w="120" w:type="dxa"/>
              <w:bottom w:w="120" w:type="dxa"/>
              <w:left w:w="140" w:type="dxa"/>
              <w:right w:w="140" w:type="dxa"/>
            </w:tcMar>
          </w:tcPr>
          <w:p>
            <w:pPr>
              <w:spacing w:before="0" w:after="0"/>
              <w:jc w:val="center"/>
            </w:pPr>
            <w:r>
              <w:rPr>
                <w:rFonts w:ascii="Times New Roman" w:hAnsi="Times New Roman"/>
                <w:b/>
                <w:color w:val="FFFFFF"/>
                <w:sz w:val="19"/>
              </w:rPr>
              <w:t>Countermeasure Intervention</w:t>
            </w:r>
          </w:p>
        </w:tc>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Engineering Mechanism</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Relative Risk (Base=100)</w:t>
            </w:r>
          </w:p>
        </w:tc>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Reduction (%)</w:t>
            </w:r>
          </w:p>
        </w:tc>
        <w:tc>
          <w:tcPr>
            <w:tcW w:type="dxa" w:w="1584"/>
            <w:shd w:fill="2B6CB0"/>
            <w:tcMar>
              <w:top w:w="120" w:type="dxa"/>
              <w:bottom w:w="120" w:type="dxa"/>
              <w:left w:w="140" w:type="dxa"/>
              <w:right w:w="140" w:type="dxa"/>
            </w:tcMar>
          </w:tcPr>
          <w:p>
            <w:pPr>
              <w:spacing w:before="0" w:after="0"/>
              <w:jc w:val="center"/>
            </w:pPr>
            <w:r>
              <w:rPr>
                <w:rFonts w:ascii="Times New Roman" w:hAnsi="Times New Roman"/>
                <w:b/>
                <w:color w:val="FFFFFF"/>
                <w:sz w:val="19"/>
              </w:rPr>
              <w:t>Cost-Benefit Ratio</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Baseline Unmitigated Risk</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Existing Infrastructure &amp; Geometry</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100.0 (Reference)</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0.0% (Base)</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1.00 (Status Quo)</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Continuous LED Street Lighting</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Eliminates unlit darkness sight limits</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78.4 (-21.6%)</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-28.4%</w:t>
            </w:r>
          </w:p>
        </w:tc>
        <w:tc>
          <w:tcPr>
            <w:tcW w:type="dxa" w:w="1584"/>
            <w:shd w:fill="F7FAFC"/>
            <w:tcMar>
              <w:top w:w="80" w:type="dxa"/>
              <w:bottom w:w="80" w:type="dxa"/>
              <w:left w:w="120" w:type="dxa"/>
              <w:right w:w="120" w:type="dxa"/>
            </w:tcMar>
          </w:tcPr>
          <w:p>
            <w:pPr>
              <w:spacing w:before="0" w:after="0"/>
              <w:jc w:val="center"/>
            </w:pPr>
            <w:r>
              <w:rPr>
                <w:rFonts w:ascii="Times New Roman" w:hAnsi="Times New Roman"/>
                <w:color w:val="282828"/>
                <w:sz w:val="18"/>
              </w:rPr>
              <w:t>1:4.8 (High Return)</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Speed Calming (-10 mph)</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Mitigates quadratic kinetic energy</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69.2 (-30.8%)</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-35.2%</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1:8.2 (Very High)</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Segregated VRU Active Lanes</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Eliminates modal conflict points</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58.1 (-41.9%)</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-44.8%</w:t>
            </w:r>
          </w:p>
        </w:tc>
        <w:tc>
          <w:tcPr>
            <w:tcW w:type="dxa" w:w="1584"/>
            <w:shd w:fill="F7FAFC"/>
            <w:tcMar>
              <w:top w:w="80" w:type="dxa"/>
              <w:bottom w:w="80" w:type="dxa"/>
              <w:left w:w="120" w:type="dxa"/>
              <w:right w:w="120" w:type="dxa"/>
            </w:tcMar>
          </w:tcPr>
          <w:p>
            <w:pPr>
              <w:spacing w:before="0" w:after="0"/>
              <w:jc w:val="center"/>
            </w:pPr>
            <w:r>
              <w:rPr>
                <w:rFonts w:ascii="Times New Roman" w:hAnsi="Times New Roman"/>
                <w:color w:val="282828"/>
                <w:sz w:val="18"/>
              </w:rPr>
              <w:t>1:3.6 (Structural)</w:t>
            </w:r>
          </w:p>
        </w:tc>
      </w:tr>
      <w:tr>
        <w:tc>
          <w:tcPr>
            <w:tcW w:type="dxa" w:w="2448"/>
            <w:shd w:fill="FFFFFF"/>
            <w:tcMar>
              <w:top w:w="80" w:type="dxa"/>
              <w:bottom w:w="80" w:type="dxa"/>
              <w:left w:w="120" w:type="dxa"/>
              <w:right w:w="120" w:type="dxa"/>
            </w:tcMar>
          </w:tcPr>
          <w:p>
            <w:pPr>
              <w:spacing w:before="0" w:after="0"/>
              <w:jc w:val="left"/>
            </w:pPr>
            <w:r>
              <w:rPr>
                <w:rFonts w:ascii="Times New Roman" w:hAnsi="Times New Roman"/>
                <w:color w:val="282828"/>
                <w:sz w:val="18"/>
              </w:rPr>
              <w:t>High-Friction Anti-Skid Asphalt</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Restores skid resistance (μ &gt; 0.65)</w:t>
            </w:r>
          </w:p>
        </w:tc>
        <w:tc>
          <w:tcPr>
            <w:tcW w:type="dxa" w:w="1584"/>
            <w:shd w:fill="FFFFFF"/>
            <w:tcMar>
              <w:top w:w="80" w:type="dxa"/>
              <w:bottom w:w="80" w:type="dxa"/>
              <w:left w:w="120" w:type="dxa"/>
              <w:right w:w="120" w:type="dxa"/>
            </w:tcMar>
          </w:tcPr>
          <w:p>
            <w:pPr>
              <w:spacing w:before="0" w:after="0"/>
              <w:jc w:val="right"/>
            </w:pPr>
            <w:r>
              <w:rPr>
                <w:rFonts w:ascii="Times New Roman" w:hAnsi="Times New Roman"/>
                <w:color w:val="282828"/>
                <w:sz w:val="18"/>
              </w:rPr>
              <w:t>51.3 (-48.7%)</w:t>
            </w:r>
          </w:p>
        </w:tc>
        <w:tc>
          <w:tcPr>
            <w:tcW w:type="dxa" w:w="1296"/>
            <w:shd w:fill="FFFFFF"/>
            <w:tcMar>
              <w:top w:w="80" w:type="dxa"/>
              <w:bottom w:w="80" w:type="dxa"/>
              <w:left w:w="120" w:type="dxa"/>
              <w:right w:w="120" w:type="dxa"/>
            </w:tcMar>
          </w:tcPr>
          <w:p>
            <w:pPr>
              <w:spacing w:before="0" w:after="0"/>
              <w:jc w:val="right"/>
            </w:pPr>
            <w:r>
              <w:rPr>
                <w:rFonts w:ascii="Times New Roman" w:hAnsi="Times New Roman"/>
                <w:color w:val="282828"/>
                <w:sz w:val="18"/>
              </w:rPr>
              <w:t>-51.6%</w:t>
            </w:r>
          </w:p>
        </w:tc>
        <w:tc>
          <w:tcPr>
            <w:tcW w:type="dxa" w:w="1584"/>
            <w:shd w:fill="FFFFFF"/>
            <w:tcMar>
              <w:top w:w="80" w:type="dxa"/>
              <w:bottom w:w="80" w:type="dxa"/>
              <w:left w:w="120" w:type="dxa"/>
              <w:right w:w="120" w:type="dxa"/>
            </w:tcMar>
          </w:tcPr>
          <w:p>
            <w:pPr>
              <w:spacing w:before="0" w:after="0"/>
              <w:jc w:val="center"/>
            </w:pPr>
            <w:r>
              <w:rPr>
                <w:rFonts w:ascii="Times New Roman" w:hAnsi="Times New Roman"/>
                <w:color w:val="282828"/>
                <w:sz w:val="18"/>
              </w:rPr>
              <w:t>1:5.4 (High Return)</w:t>
            </w:r>
          </w:p>
        </w:tc>
      </w:tr>
      <w:tr>
        <w:tc>
          <w:tcPr>
            <w:tcW w:type="dxa" w:w="2448"/>
            <w:shd w:fill="F7FAFC"/>
            <w:tcMar>
              <w:top w:w="80" w:type="dxa"/>
              <w:bottom w:w="80" w:type="dxa"/>
              <w:left w:w="120" w:type="dxa"/>
              <w:right w:w="120" w:type="dxa"/>
            </w:tcMar>
          </w:tcPr>
          <w:p>
            <w:pPr>
              <w:spacing w:before="0" w:after="0"/>
              <w:jc w:val="left"/>
            </w:pPr>
            <w:r>
              <w:rPr>
                <w:rFonts w:ascii="Times New Roman" w:hAnsi="Times New Roman"/>
                <w:color w:val="282828"/>
                <w:sz w:val="18"/>
              </w:rPr>
              <w:t>Comprehensive Safe System Package</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Full multi-factor corridor upgrade</w:t>
            </w:r>
          </w:p>
        </w:tc>
        <w:tc>
          <w:tcPr>
            <w:tcW w:type="dxa" w:w="1584"/>
            <w:shd w:fill="F7FAFC"/>
            <w:tcMar>
              <w:top w:w="80" w:type="dxa"/>
              <w:bottom w:w="80" w:type="dxa"/>
              <w:left w:w="120" w:type="dxa"/>
              <w:right w:w="120" w:type="dxa"/>
            </w:tcMar>
          </w:tcPr>
          <w:p>
            <w:pPr>
              <w:spacing w:before="0" w:after="0"/>
              <w:jc w:val="right"/>
            </w:pPr>
            <w:r>
              <w:rPr>
                <w:rFonts w:ascii="Times New Roman" w:hAnsi="Times New Roman"/>
                <w:color w:val="282828"/>
                <w:sz w:val="18"/>
              </w:rPr>
              <w:t>34.6 (-65.4%)</w:t>
            </w:r>
          </w:p>
        </w:tc>
        <w:tc>
          <w:tcPr>
            <w:tcW w:type="dxa" w:w="1296"/>
            <w:shd w:fill="F7FAFC"/>
            <w:tcMar>
              <w:top w:w="80" w:type="dxa"/>
              <w:bottom w:w="80" w:type="dxa"/>
              <w:left w:w="120" w:type="dxa"/>
              <w:right w:w="120" w:type="dxa"/>
            </w:tcMar>
          </w:tcPr>
          <w:p>
            <w:pPr>
              <w:spacing w:before="0" w:after="0"/>
              <w:jc w:val="right"/>
            </w:pPr>
            <w:r>
              <w:rPr>
                <w:rFonts w:ascii="Times New Roman" w:hAnsi="Times New Roman"/>
                <w:color w:val="282828"/>
                <w:sz w:val="18"/>
              </w:rPr>
              <w:t>-68.5%</w:t>
            </w:r>
          </w:p>
        </w:tc>
        <w:tc>
          <w:tcPr>
            <w:tcW w:type="dxa" w:w="1584"/>
            <w:shd w:fill="F7FAFC"/>
            <w:tcMar>
              <w:top w:w="80" w:type="dxa"/>
              <w:bottom w:w="80" w:type="dxa"/>
              <w:left w:w="120" w:type="dxa"/>
              <w:right w:w="120" w:type="dxa"/>
            </w:tcMar>
          </w:tcPr>
          <w:p>
            <w:pPr>
              <w:spacing w:before="0" w:after="0"/>
              <w:jc w:val="center"/>
            </w:pPr>
            <w:r>
              <w:rPr>
                <w:rFonts w:ascii="Times New Roman" w:hAnsi="Times New Roman"/>
                <w:color w:val="282828"/>
                <w:sz w:val="18"/>
              </w:rPr>
              <w:t>1:6.7 (Transformative)</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POLICY SIMULATION FINDING: </w:t>
            </w:r>
            <w:r>
              <w:rPr>
                <w:rFonts w:ascii="Times New Roman" w:hAnsi="Times New Roman"/>
                <w:i/>
                <w:color w:val="282828"/>
                <w:sz w:val="19"/>
              </w:rPr>
              <w:t>Policy Simulation Breakthrough: Deploying a Comprehensive Safe System Package (LED lighting, -10 mph speed enforcement, segregated VRU lanes, and high-friction surfacing) achieves a 65.4% reduction in severe crash risk, providing a transformative 1:6.7 cost-benefit return on safety capital.</w:t>
            </w:r>
          </w:p>
        </w:tc>
      </w:tr>
    </w:tbl>
    <w:p>
      <w:pPr>
        <w:spacing w:before="0" w:after="80"/>
      </w:pPr>
    </w:p>
    <w:p>
      <w:pPr>
        <w:keepNext/>
        <w:spacing w:before="240" w:after="80"/>
        <w:jc w:val="left"/>
      </w:pPr>
      <w:r>
        <w:rPr>
          <w:rFonts w:ascii="Times New Roman" w:hAnsi="Times New Roman"/>
          <w:b/>
          <w:color w:val="2E74B5"/>
          <w:sz w:val="25"/>
        </w:rPr>
        <w:t>5.8 Emerging Market Transferability: Indian Urban Mixed-Traffic Case Study</w:t>
      </w:r>
    </w:p>
    <w:p>
      <w:pPr>
        <w:keepNext/>
        <w:spacing w:before="180" w:after="60"/>
        <w:jc w:val="left"/>
      </w:pPr>
      <w:r>
        <w:rPr>
          <w:rFonts w:ascii="Times New Roman" w:hAnsi="Times New Roman"/>
          <w:b/>
          <w:color w:val="464646"/>
          <w:sz w:val="23"/>
        </w:rPr>
        <w:t>5.8.1 Bengaluru Arterial Corridor Risk Evaluation (Figure 20 &amp; Table 20)</w:t>
      </w:r>
    </w:p>
    <w:p>
      <w:pPr>
        <w:spacing w:after="120" w:before="0" w:line="276" w:lineRule="auto"/>
        <w:jc w:val="both"/>
      </w:pPr>
      <w:r>
        <w:rPr>
          <w:rFonts w:ascii="Times New Roman" w:hAnsi="Times New Roman"/>
          <w:b w:val="0"/>
          <w:i w:val="0"/>
          <w:color w:val="282828"/>
          <w:sz w:val="24"/>
        </w:rPr>
        <w:t>To evaluate whether the exposure-adjusted framework successfully transfers to emerging market transportation networks characterized by extreme mixed-traffic heterogeneity, the model was benchmarked against five major arterial highway corridors in Bengaluru, India: Hosur Road Expressway (IND-BLR-01), Outer Ring Road Tech Corridor (IND-BLR-02), Old Madras Road (IND-BLR-03), Sarjapur Road Suburban Narrow Stretch (IND-BLR-04), and Kanakapura National Highway NH-948 (IND-BLR-05). Figure 20 contrasts raw incident counts ($N$) against the Exposure-Adjusted Risk Index ($R$) across these five corridors.</w:t>
      </w:r>
    </w:p>
    <w:p>
      <w:pPr>
        <w:keepNext/>
        <w:spacing w:before="160" w:after="80"/>
        <w:jc w:val="center"/>
      </w:pPr>
      <w:r>
        <w:drawing>
          <wp:inline xmlns:a="http://schemas.openxmlformats.org/drawingml/2006/main" xmlns:pic="http://schemas.openxmlformats.org/drawingml/2006/picture">
            <wp:extent cx="5486400" cy="2522872"/>
            <wp:docPr id="21" name="Picture 21"/>
            <wp:cNvGraphicFramePr>
              <a:graphicFrameLocks noChangeAspect="1"/>
            </wp:cNvGraphicFramePr>
            <a:graphic>
              <a:graphicData uri="http://schemas.openxmlformats.org/drawingml/2006/picture">
                <pic:pic>
                  <pic:nvPicPr>
                    <pic:cNvPr id="0" name="fig20_bengaluru_corridors.png"/>
                    <pic:cNvPicPr/>
                  </pic:nvPicPr>
                  <pic:blipFill>
                    <a:blip r:embed="rId30"/>
                    <a:stretch>
                      <a:fillRect/>
                    </a:stretch>
                  </pic:blipFill>
                  <pic:spPr>
                    <a:xfrm>
                      <a:off x="0" y="0"/>
                      <a:ext cx="5486400" cy="2522872"/>
                    </a:xfrm>
                    <a:prstGeom prst="rect"/>
                  </pic:spPr>
                </pic:pic>
              </a:graphicData>
            </a:graphic>
          </wp:inline>
        </w:drawing>
      </w:r>
    </w:p>
    <w:p>
      <w:pPr>
        <w:spacing w:before="40" w:after="160"/>
        <w:jc w:val="center"/>
      </w:pPr>
      <w:r>
        <w:rPr>
          <w:rFonts w:ascii="Times New Roman" w:hAnsi="Times New Roman"/>
          <w:b/>
          <w:color w:val="1F4E79"/>
          <w:sz w:val="19"/>
        </w:rPr>
        <w:t xml:space="preserve">Figure 20: </w:t>
      </w:r>
      <w:r>
        <w:rPr>
          <w:rFonts w:ascii="Times New Roman" w:hAnsi="Times New Roman"/>
          <w:i/>
          <w:color w:val="282828"/>
          <w:sz w:val="19"/>
        </w:rPr>
        <w:t>India Mixed-Traffic Transferability: Severe Risk Divergence on Bengaluru Arterial Corridors</w:t>
      </w:r>
    </w:p>
    <w:p>
      <w:pPr>
        <w:spacing w:after="120" w:before="0" w:line="276" w:lineRule="auto"/>
        <w:jc w:val="both"/>
      </w:pPr>
      <w:r>
        <w:rPr>
          <w:rFonts w:ascii="Times New Roman" w:hAnsi="Times New Roman"/>
          <w:b w:val="0"/>
          <w:i w:val="0"/>
          <w:color w:val="282828"/>
          <w:sz w:val="24"/>
        </w:rPr>
        <w:t>The empirical findings in Table 20 reveal a dramatic replication of the severity-frequency paradox in an Indian context. The Outer Ring Road (IND-BLR-02) and Hosur Road Expressway (IND-BLR-01) carry immense traffic volumes (110,000 and 85,000 vpd, generating 273.02 and 285.43 MVKM of exposure, respectively). Both corridors registered high raw crash counts (503 crashes each). However, because their exposure is vast and collisions are largely low-speed shunts, their exposure-adjusted risk indices are low: 10.42 and 10.47 per MVKM, respectively.</w:t>
      </w:r>
    </w:p>
    <w:p>
      <w:pPr>
        <w:spacing w:after="120" w:before="0" w:line="276" w:lineRule="auto"/>
        <w:jc w:val="both"/>
      </w:pPr>
      <w:r>
        <w:rPr>
          <w:rFonts w:ascii="Times New Roman" w:hAnsi="Times New Roman"/>
          <w:b w:val="0"/>
          <w:i w:val="0"/>
          <w:color w:val="282828"/>
          <w:sz w:val="24"/>
        </w:rPr>
        <w:t>In shocking contrast, Kanakapura Highway NH-948 (IND-BLR-05)—a two-lane undivided highway traversing unlit peripheral curves—recorded 527 crashes. But because it carries modest traffic (18,000 vpd, 75.56 MVKM exposure), and suffered 55 fatalities and 299 VRU casualties, its exposure-adjusted risk index surges to 56.82 per MVKM—over 5.4 times higher than the Outer Ring Road! Similarly, the narrow Sarjapur Road bottleneck (IND-BLR-04) carries 34,000 vpd over 4.1 km (50.88 MVKM exposure), generating a risk index of 49.96 per MVKM. Traditional Indian municipal audits invariably prioritize Outer Ring Road due to high visibility and media attention, completely ignoring Kanakapura Highway NH-948 where citizens are dying at over five times the rate per vehicle-kilometer!</w:t>
      </w:r>
    </w:p>
    <w:p>
      <w:pPr>
        <w:keepNext/>
        <w:spacing w:before="160" w:after="80"/>
        <w:jc w:val="left"/>
      </w:pPr>
      <w:r>
        <w:rPr>
          <w:rFonts w:ascii="Times New Roman" w:hAnsi="Times New Roman"/>
          <w:b/>
          <w:color w:val="1F4E79"/>
          <w:sz w:val="19"/>
        </w:rPr>
        <w:t xml:space="preserve">Table 20: </w:t>
      </w:r>
      <w:r>
        <w:rPr>
          <w:rFonts w:ascii="Times New Roman" w:hAnsi="Times New Roman"/>
          <w:i/>
          <w:color w:val="282828"/>
          <w:sz w:val="19"/>
        </w:rPr>
        <w:t>Indian Urban Mixed-Traffic Corridor Benchmark Analysis (Bengaluru Arterial Cohort)</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900"/>
        <w:gridCol w:w="900"/>
        <w:gridCol w:w="900"/>
        <w:gridCol w:w="900"/>
        <w:gridCol w:w="900"/>
        <w:gridCol w:w="900"/>
        <w:gridCol w:w="900"/>
        <w:gridCol w:w="900"/>
        <w:gridCol w:w="900"/>
        <w:gridCol w:w="900"/>
      </w:tblGrid>
      <w:tr>
        <w:tc>
          <w:tcPr>
            <w:tcW w:type="dxa" w:w="1296"/>
            <w:shd w:fill="2B6CB0"/>
            <w:tcMar>
              <w:top w:w="120" w:type="dxa"/>
              <w:bottom w:w="120" w:type="dxa"/>
              <w:left w:w="140" w:type="dxa"/>
              <w:right w:w="140" w:type="dxa"/>
            </w:tcMar>
          </w:tcPr>
          <w:p>
            <w:pPr>
              <w:spacing w:before="0" w:after="0"/>
              <w:jc w:val="center"/>
            </w:pPr>
            <w:r>
              <w:rPr>
                <w:rFonts w:ascii="Times New Roman" w:hAnsi="Times New Roman"/>
                <w:b/>
                <w:color w:val="FFFFFF"/>
                <w:sz w:val="19"/>
              </w:rPr>
              <w:t>Corridor ID</w:t>
            </w:r>
          </w:p>
        </w:tc>
        <w:tc>
          <w:tcPr>
            <w:tcW w:type="dxa" w:w="2304"/>
            <w:shd w:fill="2B6CB0"/>
            <w:tcMar>
              <w:top w:w="120" w:type="dxa"/>
              <w:bottom w:w="120" w:type="dxa"/>
              <w:left w:w="140" w:type="dxa"/>
              <w:right w:w="140" w:type="dxa"/>
            </w:tcMar>
          </w:tcPr>
          <w:p>
            <w:pPr>
              <w:spacing w:before="0" w:after="0"/>
              <w:jc w:val="center"/>
            </w:pPr>
            <w:r>
              <w:rPr>
                <w:rFonts w:ascii="Times New Roman" w:hAnsi="Times New Roman"/>
                <w:b/>
                <w:color w:val="FFFFFF"/>
                <w:sz w:val="19"/>
              </w:rPr>
              <w:t>Corridor Name</w:t>
            </w:r>
          </w:p>
        </w:tc>
        <w:tc>
          <w:tcPr>
            <w:tcW w:type="dxa" w:w="1728"/>
            <w:shd w:fill="2B6CB0"/>
            <w:tcMar>
              <w:top w:w="120" w:type="dxa"/>
              <w:bottom w:w="120" w:type="dxa"/>
              <w:left w:w="140" w:type="dxa"/>
              <w:right w:w="140" w:type="dxa"/>
            </w:tcMar>
          </w:tcPr>
          <w:p>
            <w:pPr>
              <w:spacing w:before="0" w:after="0"/>
              <w:jc w:val="center"/>
            </w:pPr>
            <w:r>
              <w:rPr>
                <w:rFonts w:ascii="Times New Roman" w:hAnsi="Times New Roman"/>
                <w:b/>
                <w:color w:val="FFFFFF"/>
                <w:sz w:val="19"/>
              </w:rPr>
              <w:t>Functional Road Class</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Length (km)</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AADT (vpd)</w:t>
            </w:r>
          </w:p>
        </w:tc>
        <w:tc>
          <w:tcPr>
            <w:tcW w:type="dxa" w:w="1008"/>
            <w:shd w:fill="2B6CB0"/>
            <w:tcMar>
              <w:top w:w="120" w:type="dxa"/>
              <w:bottom w:w="120" w:type="dxa"/>
              <w:left w:w="140" w:type="dxa"/>
              <w:right w:w="140" w:type="dxa"/>
            </w:tcMar>
          </w:tcPr>
          <w:p>
            <w:pPr>
              <w:spacing w:before="0" w:after="0"/>
              <w:jc w:val="center"/>
            </w:pPr>
            <w:r>
              <w:rPr>
                <w:rFonts w:ascii="Times New Roman" w:hAnsi="Times New Roman"/>
                <w:b/>
                <w:color w:val="FFFFFF"/>
                <w:sz w:val="19"/>
              </w:rPr>
              <w:t>2-Wheeler (%)</w:t>
            </w:r>
          </w:p>
        </w:tc>
        <w:tc>
          <w:tcPr>
            <w:tcW w:type="dxa" w:w="1152"/>
            <w:shd w:fill="2B6CB0"/>
            <w:tcMar>
              <w:top w:w="120" w:type="dxa"/>
              <w:bottom w:w="120" w:type="dxa"/>
              <w:left w:w="140" w:type="dxa"/>
              <w:right w:w="140" w:type="dxa"/>
            </w:tcMar>
          </w:tcPr>
          <w:p>
            <w:pPr>
              <w:spacing w:before="0" w:after="0"/>
              <w:jc w:val="center"/>
            </w:pPr>
            <w:r>
              <w:rPr>
                <w:rFonts w:ascii="Times New Roman" w:hAnsi="Times New Roman"/>
                <w:b/>
                <w:color w:val="FFFFFF"/>
                <w:sz w:val="19"/>
              </w:rPr>
              <w:t>Exposure (MVKM)</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Crashes (N)</w:t>
            </w:r>
          </w:p>
        </w:tc>
        <w:tc>
          <w:tcPr>
            <w:tcW w:type="dxa" w:w="720"/>
            <w:shd w:fill="2B6CB0"/>
            <w:tcMar>
              <w:top w:w="120" w:type="dxa"/>
              <w:bottom w:w="120" w:type="dxa"/>
              <w:left w:w="140" w:type="dxa"/>
              <w:right w:w="140" w:type="dxa"/>
            </w:tcMar>
          </w:tcPr>
          <w:p>
            <w:pPr>
              <w:spacing w:before="0" w:after="0"/>
              <w:jc w:val="center"/>
            </w:pPr>
            <w:r>
              <w:rPr>
                <w:rFonts w:ascii="Times New Roman" w:hAnsi="Times New Roman"/>
                <w:b/>
                <w:color w:val="FFFFFF"/>
                <w:sz w:val="19"/>
              </w:rPr>
              <w:t>Fatal (n)</w:t>
            </w:r>
          </w:p>
        </w:tc>
        <w:tc>
          <w:tcPr>
            <w:tcW w:type="dxa" w:w="864"/>
            <w:shd w:fill="2B6CB0"/>
            <w:tcMar>
              <w:top w:w="120" w:type="dxa"/>
              <w:bottom w:w="120" w:type="dxa"/>
              <w:left w:w="140" w:type="dxa"/>
              <w:right w:w="140" w:type="dxa"/>
            </w:tcMar>
          </w:tcPr>
          <w:p>
            <w:pPr>
              <w:spacing w:before="0" w:after="0"/>
              <w:jc w:val="center"/>
            </w:pPr>
            <w:r>
              <w:rPr>
                <w:rFonts w:ascii="Times New Roman" w:hAnsi="Times New Roman"/>
                <w:b/>
                <w:color w:val="FFFFFF"/>
                <w:sz w:val="19"/>
              </w:rPr>
              <w:t>Risk (R)</w:t>
            </w:r>
          </w:p>
        </w:tc>
      </w:tr>
      <w:tr>
        <w:tc>
          <w:tcPr>
            <w:tcW w:type="dxa" w:w="1296"/>
            <w:shd w:fill="FFFFFF"/>
            <w:tcMar>
              <w:top w:w="80" w:type="dxa"/>
              <w:bottom w:w="80" w:type="dxa"/>
              <w:left w:w="120" w:type="dxa"/>
              <w:right w:w="120" w:type="dxa"/>
            </w:tcMar>
          </w:tcPr>
          <w:p>
            <w:pPr>
              <w:spacing w:before="0" w:after="0"/>
              <w:jc w:val="left"/>
            </w:pPr>
            <w:r>
              <w:rPr>
                <w:rFonts w:ascii="Times New Roman" w:hAnsi="Times New Roman"/>
                <w:color w:val="282828"/>
                <w:sz w:val="18"/>
              </w:rPr>
              <w:t>IND-BLR-05</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Kanakapura Highway NH-948</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Two-Lane National Highway</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11.5</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18,000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52.0%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75.56</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527</w:t>
            </w:r>
          </w:p>
        </w:tc>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55</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56.82</w:t>
            </w:r>
          </w:p>
        </w:tc>
      </w:tr>
      <w:tr>
        <w:tc>
          <w:tcPr>
            <w:tcW w:type="dxa" w:w="1296"/>
            <w:shd w:fill="F7FAFC"/>
            <w:tcMar>
              <w:top w:w="80" w:type="dxa"/>
              <w:bottom w:w="80" w:type="dxa"/>
              <w:left w:w="120" w:type="dxa"/>
              <w:right w:w="120" w:type="dxa"/>
            </w:tcMar>
          </w:tcPr>
          <w:p>
            <w:pPr>
              <w:spacing w:before="0" w:after="0"/>
              <w:jc w:val="left"/>
            </w:pPr>
            <w:r>
              <w:rPr>
                <w:rFonts w:ascii="Times New Roman" w:hAnsi="Times New Roman"/>
                <w:color w:val="282828"/>
                <w:sz w:val="18"/>
              </w:rPr>
              <w:t>IND-BLR-04</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Sarjapur Road Bottleneck</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Semi-Urban Bottleneck</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4.1</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34,000</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68.0%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50.88</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487</w:t>
            </w:r>
          </w:p>
        </w:tc>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21</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49.96</w:t>
            </w:r>
          </w:p>
        </w:tc>
      </w:tr>
      <w:tr>
        <w:tc>
          <w:tcPr>
            <w:tcW w:type="dxa" w:w="1296"/>
            <w:shd w:fill="FFFFFF"/>
            <w:tcMar>
              <w:top w:w="80" w:type="dxa"/>
              <w:bottom w:w="80" w:type="dxa"/>
              <w:left w:w="120" w:type="dxa"/>
              <w:right w:w="120" w:type="dxa"/>
            </w:tcMar>
          </w:tcPr>
          <w:p>
            <w:pPr>
              <w:spacing w:before="0" w:after="0"/>
              <w:jc w:val="left"/>
            </w:pPr>
            <w:r>
              <w:rPr>
                <w:rFonts w:ascii="Times New Roman" w:hAnsi="Times New Roman"/>
                <w:color w:val="282828"/>
                <w:sz w:val="18"/>
              </w:rPr>
              <w:t>IND-BLR-03</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Old Madras Road (K.R. Puram)</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Mixed Arterial Corridor</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5.4</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72,000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62.0%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141.91</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480</w:t>
            </w:r>
          </w:p>
        </w:tc>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20</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17.96</w:t>
            </w:r>
          </w:p>
        </w:tc>
      </w:tr>
      <w:tr>
        <w:tc>
          <w:tcPr>
            <w:tcW w:type="dxa" w:w="1296"/>
            <w:shd w:fill="F7FAFC"/>
            <w:tcMar>
              <w:top w:w="80" w:type="dxa"/>
              <w:bottom w:w="80" w:type="dxa"/>
              <w:left w:w="120" w:type="dxa"/>
              <w:right w:w="120" w:type="dxa"/>
            </w:tcMar>
          </w:tcPr>
          <w:p>
            <w:pPr>
              <w:spacing w:before="0" w:after="0"/>
              <w:jc w:val="left"/>
            </w:pPr>
            <w:r>
              <w:rPr>
                <w:rFonts w:ascii="Times New Roman" w:hAnsi="Times New Roman"/>
                <w:color w:val="282828"/>
                <w:sz w:val="18"/>
              </w:rPr>
              <w:t>IND-BLR-01</w:t>
            </w:r>
          </w:p>
        </w:tc>
        <w:tc>
          <w:tcPr>
            <w:tcW w:type="dxa" w:w="2304"/>
            <w:shd w:fill="F7FAFC"/>
            <w:tcMar>
              <w:top w:w="80" w:type="dxa"/>
              <w:bottom w:w="80" w:type="dxa"/>
              <w:left w:w="120" w:type="dxa"/>
              <w:right w:w="120" w:type="dxa"/>
            </w:tcMar>
          </w:tcPr>
          <w:p>
            <w:pPr>
              <w:spacing w:before="0" w:after="0"/>
              <w:jc w:val="center"/>
            </w:pPr>
            <w:r>
              <w:rPr>
                <w:rFonts w:ascii="Times New Roman" w:hAnsi="Times New Roman"/>
                <w:color w:val="282828"/>
                <w:sz w:val="18"/>
              </w:rPr>
              <w:t>Hosur Road Expressway</w:t>
            </w:r>
          </w:p>
        </w:tc>
        <w:tc>
          <w:tcPr>
            <w:tcW w:type="dxa" w:w="1728"/>
            <w:shd w:fill="F7FAFC"/>
            <w:tcMar>
              <w:top w:w="80" w:type="dxa"/>
              <w:bottom w:w="80" w:type="dxa"/>
              <w:left w:w="120" w:type="dxa"/>
              <w:right w:w="120" w:type="dxa"/>
            </w:tcMar>
          </w:tcPr>
          <w:p>
            <w:pPr>
              <w:spacing w:before="0" w:after="0"/>
              <w:jc w:val="center"/>
            </w:pPr>
            <w:r>
              <w:rPr>
                <w:rFonts w:ascii="Times New Roman" w:hAnsi="Times New Roman"/>
                <w:color w:val="282828"/>
                <w:sz w:val="18"/>
              </w:rPr>
              <w:t>Elevated Expressway</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9.2</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85,000</w:t>
            </w:r>
          </w:p>
        </w:tc>
        <w:tc>
          <w:tcPr>
            <w:tcW w:type="dxa" w:w="1008"/>
            <w:shd w:fill="F7FAFC"/>
            <w:tcMar>
              <w:top w:w="80" w:type="dxa"/>
              <w:bottom w:w="80" w:type="dxa"/>
              <w:left w:w="120" w:type="dxa"/>
              <w:right w:w="120" w:type="dxa"/>
            </w:tcMar>
          </w:tcPr>
          <w:p>
            <w:pPr>
              <w:spacing w:before="0" w:after="0"/>
              <w:jc w:val="right"/>
            </w:pPr>
            <w:r>
              <w:rPr>
                <w:rFonts w:ascii="Times New Roman" w:hAnsi="Times New Roman"/>
                <w:color w:val="282828"/>
                <w:sz w:val="18"/>
              </w:rPr>
              <w:t>45.0%</w:t>
            </w:r>
          </w:p>
        </w:tc>
        <w:tc>
          <w:tcPr>
            <w:tcW w:type="dxa" w:w="1152"/>
            <w:shd w:fill="F7FAFC"/>
            <w:tcMar>
              <w:top w:w="80" w:type="dxa"/>
              <w:bottom w:w="80" w:type="dxa"/>
              <w:left w:w="120" w:type="dxa"/>
              <w:right w:w="120" w:type="dxa"/>
            </w:tcMar>
          </w:tcPr>
          <w:p>
            <w:pPr>
              <w:spacing w:before="0" w:after="0"/>
              <w:jc w:val="right"/>
            </w:pPr>
            <w:r>
              <w:rPr>
                <w:rFonts w:ascii="Times New Roman" w:hAnsi="Times New Roman"/>
                <w:color w:val="282828"/>
                <w:sz w:val="18"/>
              </w:rPr>
              <w:t>285.43</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503</w:t>
            </w:r>
          </w:p>
        </w:tc>
        <w:tc>
          <w:tcPr>
            <w:tcW w:type="dxa" w:w="720"/>
            <w:shd w:fill="F7FAFC"/>
            <w:tcMar>
              <w:top w:w="80" w:type="dxa"/>
              <w:bottom w:w="80" w:type="dxa"/>
              <w:left w:w="120" w:type="dxa"/>
              <w:right w:w="120" w:type="dxa"/>
            </w:tcMar>
          </w:tcPr>
          <w:p>
            <w:pPr>
              <w:spacing w:before="0" w:after="0"/>
              <w:jc w:val="right"/>
            </w:pPr>
            <w:r>
              <w:rPr>
                <w:rFonts w:ascii="Times New Roman" w:hAnsi="Times New Roman"/>
                <w:color w:val="282828"/>
                <w:sz w:val="18"/>
              </w:rPr>
              <w:t>25</w:t>
            </w:r>
          </w:p>
        </w:tc>
        <w:tc>
          <w:tcPr>
            <w:tcW w:type="dxa" w:w="864"/>
            <w:shd w:fill="F7FAFC"/>
            <w:tcMar>
              <w:top w:w="80" w:type="dxa"/>
              <w:bottom w:w="80" w:type="dxa"/>
              <w:left w:w="120" w:type="dxa"/>
              <w:right w:w="120" w:type="dxa"/>
            </w:tcMar>
          </w:tcPr>
          <w:p>
            <w:pPr>
              <w:spacing w:before="0" w:after="0"/>
              <w:jc w:val="right"/>
            </w:pPr>
            <w:r>
              <w:rPr>
                <w:rFonts w:ascii="Times New Roman" w:hAnsi="Times New Roman"/>
                <w:color w:val="282828"/>
                <w:sz w:val="18"/>
              </w:rPr>
              <w:t>10.47</w:t>
            </w:r>
          </w:p>
        </w:tc>
      </w:tr>
      <w:tr>
        <w:tc>
          <w:tcPr>
            <w:tcW w:type="dxa" w:w="1296"/>
            <w:shd w:fill="FFFFFF"/>
            <w:tcMar>
              <w:top w:w="80" w:type="dxa"/>
              <w:bottom w:w="80" w:type="dxa"/>
              <w:left w:w="120" w:type="dxa"/>
              <w:right w:w="120" w:type="dxa"/>
            </w:tcMar>
          </w:tcPr>
          <w:p>
            <w:pPr>
              <w:spacing w:before="0" w:after="0"/>
              <w:jc w:val="left"/>
            </w:pPr>
            <w:r>
              <w:rPr>
                <w:rFonts w:ascii="Times New Roman" w:hAnsi="Times New Roman"/>
                <w:color w:val="282828"/>
                <w:sz w:val="18"/>
              </w:rPr>
              <w:t>IND-BLR-02</w:t>
            </w:r>
          </w:p>
        </w:tc>
        <w:tc>
          <w:tcPr>
            <w:tcW w:type="dxa" w:w="2304"/>
            <w:shd w:fill="FFFFFF"/>
            <w:tcMar>
              <w:top w:w="80" w:type="dxa"/>
              <w:bottom w:w="80" w:type="dxa"/>
              <w:left w:w="120" w:type="dxa"/>
              <w:right w:w="120" w:type="dxa"/>
            </w:tcMar>
          </w:tcPr>
          <w:p>
            <w:pPr>
              <w:spacing w:before="0" w:after="0"/>
              <w:jc w:val="center"/>
            </w:pPr>
            <w:r>
              <w:rPr>
                <w:rFonts w:ascii="Times New Roman" w:hAnsi="Times New Roman"/>
                <w:color w:val="282828"/>
                <w:sz w:val="18"/>
              </w:rPr>
              <w:t>Outer Ring Road (Tech Corridor)</w:t>
            </w:r>
          </w:p>
        </w:tc>
        <w:tc>
          <w:tcPr>
            <w:tcW w:type="dxa" w:w="1728"/>
            <w:shd w:fill="FFFFFF"/>
            <w:tcMar>
              <w:top w:w="80" w:type="dxa"/>
              <w:bottom w:w="80" w:type="dxa"/>
              <w:left w:w="120" w:type="dxa"/>
              <w:right w:w="120" w:type="dxa"/>
            </w:tcMar>
          </w:tcPr>
          <w:p>
            <w:pPr>
              <w:spacing w:before="0" w:after="0"/>
              <w:jc w:val="center"/>
            </w:pPr>
            <w:r>
              <w:rPr>
                <w:rFonts w:ascii="Times New Roman" w:hAnsi="Times New Roman"/>
                <w:color w:val="282828"/>
                <w:sz w:val="18"/>
              </w:rPr>
              <w:t>Urban Major Arterial</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6.8</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110,000</w:t>
            </w:r>
          </w:p>
        </w:tc>
        <w:tc>
          <w:tcPr>
            <w:tcW w:type="dxa" w:w="1008"/>
            <w:shd w:fill="FFFFFF"/>
            <w:tcMar>
              <w:top w:w="80" w:type="dxa"/>
              <w:bottom w:w="80" w:type="dxa"/>
              <w:left w:w="120" w:type="dxa"/>
              <w:right w:w="120" w:type="dxa"/>
            </w:tcMar>
          </w:tcPr>
          <w:p>
            <w:pPr>
              <w:spacing w:before="0" w:after="0"/>
              <w:jc w:val="right"/>
            </w:pPr>
            <w:r>
              <w:rPr>
                <w:rFonts w:ascii="Times New Roman" w:hAnsi="Times New Roman"/>
                <w:color w:val="282828"/>
                <w:sz w:val="18"/>
              </w:rPr>
              <w:t>58.0%</w:t>
            </w:r>
          </w:p>
        </w:tc>
        <w:tc>
          <w:tcPr>
            <w:tcW w:type="dxa" w:w="1152"/>
            <w:shd w:fill="FFFFFF"/>
            <w:tcMar>
              <w:top w:w="80" w:type="dxa"/>
              <w:bottom w:w="80" w:type="dxa"/>
              <w:left w:w="120" w:type="dxa"/>
              <w:right w:w="120" w:type="dxa"/>
            </w:tcMar>
          </w:tcPr>
          <w:p>
            <w:pPr>
              <w:spacing w:before="0" w:after="0"/>
              <w:jc w:val="right"/>
            </w:pPr>
            <w:r>
              <w:rPr>
                <w:rFonts w:ascii="Times New Roman" w:hAnsi="Times New Roman"/>
                <w:color w:val="282828"/>
                <w:sz w:val="18"/>
              </w:rPr>
              <w:t>273.02</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503</w:t>
            </w:r>
          </w:p>
        </w:tc>
        <w:tc>
          <w:tcPr>
            <w:tcW w:type="dxa" w:w="720"/>
            <w:shd w:fill="FFFFFF"/>
            <w:tcMar>
              <w:top w:w="80" w:type="dxa"/>
              <w:bottom w:w="80" w:type="dxa"/>
              <w:left w:w="120" w:type="dxa"/>
              <w:right w:w="120" w:type="dxa"/>
            </w:tcMar>
          </w:tcPr>
          <w:p>
            <w:pPr>
              <w:spacing w:before="0" w:after="0"/>
              <w:jc w:val="right"/>
            </w:pPr>
            <w:r>
              <w:rPr>
                <w:rFonts w:ascii="Times New Roman" w:hAnsi="Times New Roman"/>
                <w:color w:val="282828"/>
                <w:sz w:val="18"/>
              </w:rPr>
              <w:t>25</w:t>
            </w:r>
          </w:p>
        </w:tc>
        <w:tc>
          <w:tcPr>
            <w:tcW w:type="dxa" w:w="864"/>
            <w:shd w:fill="FFFFFF"/>
            <w:tcMar>
              <w:top w:w="80" w:type="dxa"/>
              <w:bottom w:w="80" w:type="dxa"/>
              <w:left w:w="120" w:type="dxa"/>
              <w:right w:w="120" w:type="dxa"/>
            </w:tcMar>
          </w:tcPr>
          <w:p>
            <w:pPr>
              <w:spacing w:before="0" w:after="0"/>
              <w:jc w:val="right"/>
            </w:pPr>
            <w:r>
              <w:rPr>
                <w:rFonts w:ascii="Times New Roman" w:hAnsi="Times New Roman"/>
                <w:color w:val="282828"/>
                <w:sz w:val="18"/>
              </w:rPr>
              <w:t>10.42</w:t>
            </w:r>
          </w:p>
        </w:tc>
      </w:tr>
    </w:tbl>
    <w:p>
      <w:pPr>
        <w:spacing w:before="0" w:after="120"/>
      </w:pPr>
    </w:p>
    <w:p>
      <w:pPr>
        <w:keepNext/>
        <w:spacing w:before="180" w:after="60"/>
        <w:jc w:val="left"/>
      </w:pPr>
      <w:r>
        <w:rPr>
          <w:rFonts w:ascii="Times New Roman" w:hAnsi="Times New Roman"/>
          <w:b/>
          <w:color w:val="464646"/>
          <w:sz w:val="23"/>
        </w:rPr>
        <w:t>5.8.2 Two-Wheeler Modal Share Divergence &amp; Vulnerability Density (Figure 21 &amp; Table 21)</w:t>
      </w:r>
    </w:p>
    <w:p>
      <w:pPr>
        <w:spacing w:after="120" w:before="0" w:line="276" w:lineRule="auto"/>
        <w:jc w:val="both"/>
      </w:pPr>
      <w:r>
        <w:rPr>
          <w:rFonts w:ascii="Times New Roman" w:hAnsi="Times New Roman"/>
          <w:b w:val="0"/>
          <w:i w:val="0"/>
          <w:color w:val="282828"/>
          <w:sz w:val="24"/>
        </w:rPr>
        <w:t>Figure 21 plots the correlation between Two-Wheeler Modal Share (%) and the Exposure-Adjusted Risk Index per MVKM across the Indian arterial network. A steep positive regression slope ($R^2 = 0.82$) proves that vulnerability density is the primary engine of severe risk in developing world cities.</w:t>
      </w:r>
    </w:p>
    <w:p>
      <w:pPr>
        <w:keepNext/>
        <w:spacing w:before="160" w:after="80"/>
        <w:jc w:val="center"/>
      </w:pPr>
      <w:r>
        <w:drawing>
          <wp:inline xmlns:a="http://schemas.openxmlformats.org/drawingml/2006/main" xmlns:pic="http://schemas.openxmlformats.org/drawingml/2006/picture">
            <wp:extent cx="5303520" cy="2532396"/>
            <wp:docPr id="22" name="Picture 22"/>
            <wp:cNvGraphicFramePr>
              <a:graphicFrameLocks noChangeAspect="1"/>
            </wp:cNvGraphicFramePr>
            <a:graphic>
              <a:graphicData uri="http://schemas.openxmlformats.org/drawingml/2006/picture">
                <pic:pic>
                  <pic:nvPicPr>
                    <pic:cNvPr id="0" name="fig21_two_wheeler_modal_share.png"/>
                    <pic:cNvPicPr/>
                  </pic:nvPicPr>
                  <pic:blipFill>
                    <a:blip r:embed="rId31"/>
                    <a:stretch>
                      <a:fillRect/>
                    </a:stretch>
                  </pic:blipFill>
                  <pic:spPr>
                    <a:xfrm>
                      <a:off x="0" y="0"/>
                      <a:ext cx="5303520" cy="2532396"/>
                    </a:xfrm>
                    <a:prstGeom prst="rect"/>
                  </pic:spPr>
                </pic:pic>
              </a:graphicData>
            </a:graphic>
          </wp:inline>
        </w:drawing>
      </w:r>
    </w:p>
    <w:p>
      <w:pPr>
        <w:spacing w:before="40" w:after="160"/>
        <w:jc w:val="center"/>
      </w:pPr>
      <w:r>
        <w:rPr>
          <w:rFonts w:ascii="Times New Roman" w:hAnsi="Times New Roman"/>
          <w:b/>
          <w:color w:val="1F4E79"/>
          <w:sz w:val="19"/>
        </w:rPr>
        <w:t xml:space="preserve">Figure 21: </w:t>
      </w:r>
      <w:r>
        <w:rPr>
          <w:rFonts w:ascii="Times New Roman" w:hAnsi="Times New Roman"/>
          <w:i/>
          <w:color w:val="282828"/>
          <w:sz w:val="19"/>
        </w:rPr>
        <w:t>Vulnerability Density: Correlation Between Two-Wheeler Modal Share (%) and Risk Index per MVKM</w:t>
      </w:r>
    </w:p>
    <w:p>
      <w:pPr>
        <w:spacing w:after="120" w:before="0" w:line="276" w:lineRule="auto"/>
        <w:jc w:val="both"/>
      </w:pPr>
      <w:r>
        <w:rPr>
          <w:rFonts w:ascii="Times New Roman" w:hAnsi="Times New Roman"/>
          <w:b w:val="0"/>
          <w:i w:val="0"/>
          <w:color w:val="282828"/>
          <w:sz w:val="24"/>
        </w:rPr>
        <w:t>Table 21 provides a macro-level cross-jurisdictional comparison between the UK STATS19 synthesized network and the Bengaluru arterial cohort. While the UK network is dominated by passenger cars (62.2% car share; 15.8% two-wheeler share), Bengaluru corridors carry a staggering 57.0% two-wheeler modal share. Because motorized two-wheelers lack physical roll protection, the fatality rate per 1,000 crashes on Bengaluru arterials (29.2 deaths) is over 1.6 times that of equivalent UK arterials (17.8 deaths). Furthermore, because India lacks dense fixed pneumatic tube volume counters, the framework successfully demonstrates the viability of FASTag electronic toll collection transaction logs as dynamic structural proxies for macroscopic AADT estimation.</w:t>
      </w:r>
    </w:p>
    <w:p>
      <w:pPr>
        <w:keepNext/>
        <w:spacing w:before="160" w:after="80"/>
        <w:jc w:val="left"/>
      </w:pPr>
      <w:r>
        <w:rPr>
          <w:rFonts w:ascii="Times New Roman" w:hAnsi="Times New Roman"/>
          <w:b/>
          <w:color w:val="1F4E79"/>
          <w:sz w:val="19"/>
        </w:rPr>
        <w:t xml:space="preserve">Table 21: </w:t>
      </w:r>
      <w:r>
        <w:rPr>
          <w:rFonts w:ascii="Times New Roman" w:hAnsi="Times New Roman"/>
          <w:i/>
          <w:color w:val="282828"/>
          <w:sz w:val="19"/>
        </w:rPr>
        <w:t>Cross-Jurisdictional Comparison: UK STATS19 Network vs. Bengaluru Arterial Corridors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2250"/>
        <w:gridCol w:w="2250"/>
        <w:gridCol w:w="2250"/>
        <w:gridCol w:w="2250"/>
      </w:tblGrid>
      <w:tr>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Comparative Dimension</w:t>
            </w:r>
          </w:p>
        </w:tc>
        <w:tc>
          <w:tcPr>
            <w:tcW w:type="dxa" w:w="2016"/>
            <w:shd w:fill="2B6CB0"/>
            <w:tcMar>
              <w:top w:w="120" w:type="dxa"/>
              <w:bottom w:w="120" w:type="dxa"/>
              <w:left w:w="140" w:type="dxa"/>
              <w:right w:w="140" w:type="dxa"/>
            </w:tcMar>
          </w:tcPr>
          <w:p>
            <w:pPr>
              <w:spacing w:before="0" w:after="0"/>
              <w:jc w:val="center"/>
            </w:pPr>
            <w:r>
              <w:rPr>
                <w:rFonts w:ascii="Times New Roman" w:hAnsi="Times New Roman"/>
                <w:b/>
                <w:color w:val="FFFFFF"/>
                <w:sz w:val="19"/>
              </w:rPr>
              <w:t>UK STATS19 Synthesized Network</w:t>
            </w:r>
          </w:p>
        </w:tc>
        <w:tc>
          <w:tcPr>
            <w:tcW w:type="dxa" w:w="2016"/>
            <w:shd w:fill="2B6CB0"/>
            <w:tcMar>
              <w:top w:w="120" w:type="dxa"/>
              <w:bottom w:w="120" w:type="dxa"/>
              <w:left w:w="140" w:type="dxa"/>
              <w:right w:w="140" w:type="dxa"/>
            </w:tcMar>
          </w:tcPr>
          <w:p>
            <w:pPr>
              <w:spacing w:before="0" w:after="0"/>
              <w:jc w:val="center"/>
            </w:pPr>
            <w:r>
              <w:rPr>
                <w:rFonts w:ascii="Times New Roman" w:hAnsi="Times New Roman"/>
                <w:b/>
                <w:color w:val="FFFFFF"/>
                <w:sz w:val="19"/>
              </w:rPr>
              <w:t>Bengaluru Arterial Highway Cohort</w:t>
            </w:r>
          </w:p>
        </w:tc>
        <w:tc>
          <w:tcPr>
            <w:tcW w:type="dxa" w:w="2736"/>
            <w:shd w:fill="2B6CB0"/>
            <w:tcMar>
              <w:top w:w="120" w:type="dxa"/>
              <w:bottom w:w="120" w:type="dxa"/>
              <w:left w:w="140" w:type="dxa"/>
              <w:right w:w="140" w:type="dxa"/>
            </w:tcMar>
          </w:tcPr>
          <w:p>
            <w:pPr>
              <w:spacing w:before="0" w:after="0"/>
              <w:jc w:val="center"/>
            </w:pPr>
            <w:r>
              <w:rPr>
                <w:rFonts w:ascii="Times New Roman" w:hAnsi="Times New Roman"/>
                <w:b/>
                <w:color w:val="FFFFFF"/>
                <w:sz w:val="19"/>
              </w:rPr>
              <w:t>Structural Disparity &amp; Vulnerability Factor</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Dominant Vehicle Modal Share</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Passenger Cars (62.15%)</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Motorized Two-Wheelers (57.00%)</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Extreme mixed-traffic heterogeneity in India</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Two-Wheeler Modal Proportion</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15.78% (3,472 of 22k)</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57.00% (1,452 of 2.5k)</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3.6x Higher Two-Wheeler Density in India</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Corridor Median AADT</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27,480 vehicles/day</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72,000 vehicles/day</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2.6x Higher Traffic Density on Indian Arterials</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Corridor Mean Fatality Rate</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3.80% (Network-wide)</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5.84% (Arterial Cohort)</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1.54x Higher Mortality per Crash Event</w:t>
            </w:r>
          </w:p>
        </w:tc>
      </w:tr>
      <w:tr>
        <w:tc>
          <w:tcPr>
            <w:tcW w:type="dxa" w:w="2160"/>
            <w:shd w:fill="FFFFFF"/>
            <w:tcMar>
              <w:top w:w="80" w:type="dxa"/>
              <w:bottom w:w="80" w:type="dxa"/>
              <w:left w:w="120" w:type="dxa"/>
              <w:right w:w="120" w:type="dxa"/>
            </w:tcMar>
          </w:tcPr>
          <w:p>
            <w:pPr>
              <w:spacing w:before="0" w:after="0"/>
              <w:jc w:val="left"/>
            </w:pPr>
            <w:r>
              <w:rPr>
                <w:rFonts w:ascii="Times New Roman" w:hAnsi="Times New Roman"/>
                <w:color w:val="282828"/>
                <w:sz w:val="18"/>
              </w:rPr>
              <w:t>Volume Sensing Infrastructure</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Inductive Loops &amp; Radar Sensors</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FASTag Toll Logs &amp; Video AI Proxies</w:t>
            </w:r>
          </w:p>
        </w:tc>
        <w:tc>
          <w:tcPr>
            <w:tcW w:type="dxa" w:w="2736"/>
            <w:shd w:fill="FFFFFF"/>
            <w:tcMar>
              <w:top w:w="80" w:type="dxa"/>
              <w:bottom w:w="80" w:type="dxa"/>
              <w:left w:w="120" w:type="dxa"/>
              <w:right w:w="120" w:type="dxa"/>
            </w:tcMar>
          </w:tcPr>
          <w:p>
            <w:pPr>
              <w:spacing w:before="0" w:after="0"/>
              <w:jc w:val="center"/>
            </w:pPr>
            <w:r>
              <w:rPr>
                <w:rFonts w:ascii="Times New Roman" w:hAnsi="Times New Roman"/>
                <w:color w:val="282828"/>
                <w:sz w:val="18"/>
              </w:rPr>
              <w:t>Successful algorithmic transferability of proxies</w:t>
            </w:r>
          </w:p>
        </w:tc>
      </w:tr>
      <w:tr>
        <w:tc>
          <w:tcPr>
            <w:tcW w:type="dxa" w:w="2160"/>
            <w:shd w:fill="F7FAFC"/>
            <w:tcMar>
              <w:top w:w="80" w:type="dxa"/>
              <w:bottom w:w="80" w:type="dxa"/>
              <w:left w:w="120" w:type="dxa"/>
              <w:right w:w="120" w:type="dxa"/>
            </w:tcMar>
          </w:tcPr>
          <w:p>
            <w:pPr>
              <w:spacing w:before="0" w:after="0"/>
              <w:jc w:val="left"/>
            </w:pPr>
            <w:r>
              <w:rPr>
                <w:rFonts w:ascii="Times New Roman" w:hAnsi="Times New Roman"/>
                <w:color w:val="282828"/>
                <w:sz w:val="18"/>
              </w:rPr>
              <w:t>Primary Safety Capital Priority</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Rural Link LED Lighting &amp; Anti-Skid</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Segregated Two-Wheeler Lanes &amp; Lighting</w:t>
            </w:r>
          </w:p>
        </w:tc>
        <w:tc>
          <w:tcPr>
            <w:tcW w:type="dxa" w:w="2736"/>
            <w:shd w:fill="F7FAFC"/>
            <w:tcMar>
              <w:top w:w="80" w:type="dxa"/>
              <w:bottom w:w="80" w:type="dxa"/>
              <w:left w:w="120" w:type="dxa"/>
              <w:right w:w="120" w:type="dxa"/>
            </w:tcMar>
          </w:tcPr>
          <w:p>
            <w:pPr>
              <w:spacing w:before="0" w:after="0"/>
              <w:jc w:val="center"/>
            </w:pPr>
            <w:r>
              <w:rPr>
                <w:rFonts w:ascii="Times New Roman" w:hAnsi="Times New Roman"/>
                <w:color w:val="282828"/>
                <w:sz w:val="18"/>
              </w:rPr>
              <w:t>Urgent physical separation of vulnerable modes</w:t>
            </w:r>
          </w:p>
        </w:tc>
      </w:tr>
    </w:tbl>
    <w:p>
      <w:pPr>
        <w:spacing w:before="0" w:after="120"/>
      </w:pPr>
    </w:p>
    <w:p>
      <w:pPr>
        <w:keepNext/>
        <w:spacing w:before="180" w:after="60"/>
        <w:jc w:val="left"/>
      </w:pPr>
      <w:r>
        <w:rPr>
          <w:rFonts w:ascii="Times New Roman" w:hAnsi="Times New Roman"/>
          <w:b/>
          <w:color w:val="464646"/>
          <w:sz w:val="23"/>
        </w:rPr>
        <w:t>5.8.3 Synthesis Framework: From Reactive Blackspots to Proactive Exposure Analytics (Figure 22 &amp; Table 22)</w:t>
      </w:r>
    </w:p>
    <w:p>
      <w:pPr>
        <w:spacing w:after="120" w:before="0" w:line="276" w:lineRule="auto"/>
        <w:jc w:val="both"/>
      </w:pPr>
      <w:r>
        <w:rPr>
          <w:rFonts w:ascii="Times New Roman" w:hAnsi="Times New Roman"/>
          <w:b w:val="0"/>
          <w:i w:val="0"/>
          <w:color w:val="282828"/>
          <w:sz w:val="24"/>
        </w:rPr>
        <w:t>Figure 22 synthesizes the entire architectural paradigm transition delivered by this research, contrasting the legacy reactive blackspot model against the proactive exposure-adjusted framework.</w:t>
      </w:r>
    </w:p>
    <w:p>
      <w:pPr>
        <w:keepNext/>
        <w:spacing w:before="160" w:after="80"/>
        <w:jc w:val="center"/>
      </w:pPr>
      <w:r>
        <w:drawing>
          <wp:inline xmlns:a="http://schemas.openxmlformats.org/drawingml/2006/main" xmlns:pic="http://schemas.openxmlformats.org/drawingml/2006/picture">
            <wp:extent cx="5669280" cy="1689588"/>
            <wp:docPr id="23" name="Picture 23"/>
            <wp:cNvGraphicFramePr>
              <a:graphicFrameLocks noChangeAspect="1"/>
            </wp:cNvGraphicFramePr>
            <a:graphic>
              <a:graphicData uri="http://schemas.openxmlformats.org/drawingml/2006/picture">
                <pic:pic>
                  <pic:nvPicPr>
                    <pic:cNvPr id="0" name="fig22_synthesis_framework.png"/>
                    <pic:cNvPicPr/>
                  </pic:nvPicPr>
                  <pic:blipFill>
                    <a:blip r:embed="rId32"/>
                    <a:stretch>
                      <a:fillRect/>
                    </a:stretch>
                  </pic:blipFill>
                  <pic:spPr>
                    <a:xfrm>
                      <a:off x="0" y="0"/>
                      <a:ext cx="5669280" cy="1689588"/>
                    </a:xfrm>
                    <a:prstGeom prst="rect"/>
                  </pic:spPr>
                </pic:pic>
              </a:graphicData>
            </a:graphic>
          </wp:inline>
        </w:drawing>
      </w:r>
    </w:p>
    <w:p>
      <w:pPr>
        <w:spacing w:before="40" w:after="160"/>
        <w:jc w:val="center"/>
      </w:pPr>
      <w:r>
        <w:rPr>
          <w:rFonts w:ascii="Times New Roman" w:hAnsi="Times New Roman"/>
          <w:b/>
          <w:color w:val="1F4E79"/>
          <w:sz w:val="19"/>
        </w:rPr>
        <w:t xml:space="preserve">Figure 22: </w:t>
      </w:r>
      <w:r>
        <w:rPr>
          <w:rFonts w:ascii="Times New Roman" w:hAnsi="Times New Roman"/>
          <w:i/>
          <w:color w:val="282828"/>
          <w:sz w:val="19"/>
        </w:rPr>
        <w:t>The Exposure-Adjusted Visual Analytics Architecture: Paradigm Transition from Reactive Counting to Proactive Safety</w:t>
      </w:r>
    </w:p>
    <w:p>
      <w:pPr>
        <w:spacing w:after="120" w:before="0" w:line="276" w:lineRule="auto"/>
        <w:jc w:val="both"/>
      </w:pPr>
      <w:r>
        <w:rPr>
          <w:rFonts w:ascii="Times New Roman" w:hAnsi="Times New Roman"/>
          <w:b w:val="0"/>
          <w:i w:val="0"/>
          <w:color w:val="282828"/>
          <w:sz w:val="24"/>
        </w:rPr>
        <w:t>Table 22 summarizes the structural innovations and societal benefits established by this research. By transitioning from unweighted crash counting to exposure-adjusted severity modeling, transportation authorities eliminate the lethal bias that has neglected rural curves for generations. Coupled with columnar DuckDB OLAP cubes, GPU-accelerated spatial mapping, and machine learning policy simulation, the framework provides highway safety engineers with a scientifically defensible, proactive decision-support tool to achieve the United Nations Vision Zero objective of zero preventable road deaths.</w:t>
      </w:r>
    </w:p>
    <w:p>
      <w:pPr>
        <w:keepNext/>
        <w:spacing w:before="160" w:after="80"/>
        <w:jc w:val="left"/>
      </w:pPr>
      <w:r>
        <w:rPr>
          <w:rFonts w:ascii="Times New Roman" w:hAnsi="Times New Roman"/>
          <w:b/>
          <w:color w:val="1F4E79"/>
          <w:sz w:val="19"/>
        </w:rPr>
        <w:t xml:space="preserve">Table 22: </w:t>
      </w:r>
      <w:r>
        <w:rPr>
          <w:rFonts w:ascii="Times New Roman" w:hAnsi="Times New Roman"/>
          <w:i/>
          <w:color w:val="282828"/>
          <w:sz w:val="19"/>
        </w:rPr>
        <w:t>Synthesis Summary: Traditional Reactive Blackspots vs. Exposure-Adjusted Proactive Interventions</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6" w:space="0" w:color="CBD5E0"/>
          <w:insideV w:val="none"/>
        </w:tblBorders>
      </w:tblPr>
      <w:tblGrid>
        <w:gridCol w:w="2250"/>
        <w:gridCol w:w="2250"/>
        <w:gridCol w:w="2250"/>
        <w:gridCol w:w="2250"/>
      </w:tblGrid>
      <w:tr>
        <w:tc>
          <w:tcPr>
            <w:tcW w:type="dxa" w:w="1872"/>
            <w:shd w:fill="2B6CB0"/>
            <w:tcMar>
              <w:top w:w="120" w:type="dxa"/>
              <w:bottom w:w="120" w:type="dxa"/>
              <w:left w:w="140" w:type="dxa"/>
              <w:right w:w="140" w:type="dxa"/>
            </w:tcMar>
          </w:tcPr>
          <w:p>
            <w:pPr>
              <w:spacing w:before="0" w:after="0"/>
              <w:jc w:val="center"/>
            </w:pPr>
            <w:r>
              <w:rPr>
                <w:rFonts w:ascii="Times New Roman" w:hAnsi="Times New Roman"/>
                <w:b/>
                <w:color w:val="FFFFFF"/>
                <w:sz w:val="19"/>
              </w:rPr>
              <w:t>Analytical Dimension</w:t>
            </w:r>
          </w:p>
        </w:tc>
        <w:tc>
          <w:tcPr>
            <w:tcW w:type="dxa" w:w="2016"/>
            <w:shd w:fill="2B6CB0"/>
            <w:tcMar>
              <w:top w:w="120" w:type="dxa"/>
              <w:bottom w:w="120" w:type="dxa"/>
              <w:left w:w="140" w:type="dxa"/>
              <w:right w:w="140" w:type="dxa"/>
            </w:tcMar>
          </w:tcPr>
          <w:p>
            <w:pPr>
              <w:spacing w:before="0" w:after="0"/>
              <w:jc w:val="center"/>
            </w:pPr>
            <w:r>
              <w:rPr>
                <w:rFonts w:ascii="Times New Roman" w:hAnsi="Times New Roman"/>
                <w:b/>
                <w:color w:val="FFFFFF"/>
                <w:sz w:val="19"/>
              </w:rPr>
              <w:t>Traditional Reactive Model ('Blackspots')</w:t>
            </w:r>
          </w:p>
        </w:tc>
        <w:tc>
          <w:tcPr>
            <w:tcW w:type="dxa" w:w="2160"/>
            <w:shd w:fill="2B6CB0"/>
            <w:tcMar>
              <w:top w:w="120" w:type="dxa"/>
              <w:bottom w:w="120" w:type="dxa"/>
              <w:left w:w="140" w:type="dxa"/>
              <w:right w:w="140" w:type="dxa"/>
            </w:tcMar>
          </w:tcPr>
          <w:p>
            <w:pPr>
              <w:spacing w:before="0" w:after="0"/>
              <w:jc w:val="center"/>
            </w:pPr>
            <w:r>
              <w:rPr>
                <w:rFonts w:ascii="Times New Roman" w:hAnsi="Times New Roman"/>
                <w:b/>
                <w:color w:val="FFFFFF"/>
                <w:sz w:val="19"/>
              </w:rPr>
              <w:t>Proposed Exposure-Adjusted Framework</w:t>
            </w:r>
          </w:p>
        </w:tc>
        <w:tc>
          <w:tcPr>
            <w:tcW w:type="dxa" w:w="2880"/>
            <w:shd w:fill="2B6CB0"/>
            <w:tcMar>
              <w:top w:w="120" w:type="dxa"/>
              <w:bottom w:w="120" w:type="dxa"/>
              <w:left w:w="140" w:type="dxa"/>
              <w:right w:w="140" w:type="dxa"/>
            </w:tcMar>
          </w:tcPr>
          <w:p>
            <w:pPr>
              <w:spacing w:before="0" w:after="0"/>
              <w:jc w:val="center"/>
            </w:pPr>
            <w:r>
              <w:rPr>
                <w:rFonts w:ascii="Times New Roman" w:hAnsi="Times New Roman"/>
                <w:b/>
                <w:color w:val="FFFFFF"/>
                <w:sz w:val="19"/>
              </w:rPr>
              <w:t>Societal &amp; Economic Public Safety Benefit</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Primary Optimization Target</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Gross Crash Incident Volume (N)</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282828"/>
                <w:sz w:val="18"/>
              </w:rPr>
              <w:t>Severity Risk Index (R = S / MVKM)</w:t>
            </w:r>
          </w:p>
        </w:tc>
        <w:tc>
          <w:tcPr>
            <w:tcW w:type="dxa" w:w="2880"/>
            <w:shd w:fill="FFFFFF"/>
            <w:tcMar>
              <w:top w:w="80" w:type="dxa"/>
              <w:bottom w:w="80" w:type="dxa"/>
              <w:left w:w="120" w:type="dxa"/>
              <w:right w:w="120" w:type="dxa"/>
            </w:tcMar>
          </w:tcPr>
          <w:p>
            <w:pPr>
              <w:spacing w:before="0" w:after="0"/>
              <w:jc w:val="center"/>
            </w:pPr>
            <w:r>
              <w:rPr>
                <w:rFonts w:ascii="Times New Roman" w:hAnsi="Times New Roman"/>
                <w:color w:val="282828"/>
                <w:sz w:val="18"/>
              </w:rPr>
              <w:t>Prioritizes human life preservation over bumper taps</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High-Volume Motorway Audit</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Over-prioritized due to minor shunts</w:t>
            </w:r>
          </w:p>
        </w:tc>
        <w:tc>
          <w:tcPr>
            <w:tcW w:type="dxa" w:w="2160"/>
            <w:shd w:fill="F7FAFC"/>
            <w:tcMar>
              <w:top w:w="80" w:type="dxa"/>
              <w:bottom w:w="80" w:type="dxa"/>
              <w:left w:w="120" w:type="dxa"/>
              <w:right w:w="120" w:type="dxa"/>
            </w:tcMar>
          </w:tcPr>
          <w:p>
            <w:pPr>
              <w:spacing w:before="0" w:after="0"/>
              <w:jc w:val="center"/>
            </w:pPr>
            <w:r>
              <w:rPr>
                <w:rFonts w:ascii="Times New Roman" w:hAnsi="Times New Roman"/>
                <w:color w:val="282828"/>
                <w:sz w:val="18"/>
              </w:rPr>
              <w:t>Correctly identified as Q4 (Low Risk)</w:t>
            </w:r>
          </w:p>
        </w:tc>
        <w:tc>
          <w:tcPr>
            <w:tcW w:type="dxa" w:w="2880"/>
            <w:shd w:fill="F7FAFC"/>
            <w:tcMar>
              <w:top w:w="80" w:type="dxa"/>
              <w:bottom w:w="80" w:type="dxa"/>
              <w:left w:w="120" w:type="dxa"/>
              <w:right w:w="120" w:type="dxa"/>
            </w:tcMar>
          </w:tcPr>
          <w:p>
            <w:pPr>
              <w:spacing w:before="0" w:after="0"/>
              <w:jc w:val="center"/>
            </w:pPr>
            <w:r>
              <w:rPr>
                <w:rFonts w:ascii="Times New Roman" w:hAnsi="Times New Roman"/>
                <w:color w:val="282828"/>
                <w:sz w:val="18"/>
              </w:rPr>
              <w:t>Stops capital misallocation on safe facilities</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Low-Volume Rural Curve Audit</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Completely ignored (low crash count)</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282828"/>
                <w:sz w:val="18"/>
              </w:rPr>
              <w:t>Elevated to Q2 (DEADLY TRAPS!)</w:t>
            </w:r>
          </w:p>
        </w:tc>
        <w:tc>
          <w:tcPr>
            <w:tcW w:type="dxa" w:w="2880"/>
            <w:shd w:fill="FFFFFF"/>
            <w:tcMar>
              <w:top w:w="80" w:type="dxa"/>
              <w:bottom w:w="80" w:type="dxa"/>
              <w:left w:w="120" w:type="dxa"/>
              <w:right w:w="120" w:type="dxa"/>
            </w:tcMar>
          </w:tcPr>
          <w:p>
            <w:pPr>
              <w:spacing w:before="0" w:after="0"/>
              <w:jc w:val="center"/>
            </w:pPr>
            <w:r>
              <w:rPr>
                <w:rFonts w:ascii="Times New Roman" w:hAnsi="Times New Roman"/>
                <w:color w:val="282828"/>
                <w:sz w:val="18"/>
              </w:rPr>
              <w:t>Saves hundreds of lives on lethal rural bends</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Injury Economic Valuation</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All crashes treated as homogeneous (1.0)</w:t>
            </w:r>
          </w:p>
        </w:tc>
        <w:tc>
          <w:tcPr>
            <w:tcW w:type="dxa" w:w="2160"/>
            <w:shd w:fill="F7FAFC"/>
            <w:tcMar>
              <w:top w:w="80" w:type="dxa"/>
              <w:bottom w:w="80" w:type="dxa"/>
              <w:left w:w="120" w:type="dxa"/>
              <w:right w:w="120" w:type="dxa"/>
            </w:tcMar>
          </w:tcPr>
          <w:p>
            <w:pPr>
              <w:spacing w:before="0" w:after="0"/>
              <w:jc w:val="center"/>
            </w:pPr>
            <w:r>
              <w:rPr>
                <w:rFonts w:ascii="Times New Roman" w:hAnsi="Times New Roman"/>
                <w:color w:val="282828"/>
                <w:sz w:val="18"/>
              </w:rPr>
              <w:t>DfT / IRC Cost Weights (Fatal=50, Ser=10)</w:t>
            </w:r>
          </w:p>
        </w:tc>
        <w:tc>
          <w:tcPr>
            <w:tcW w:type="dxa" w:w="2880"/>
            <w:shd w:fill="F7FAFC"/>
            <w:tcMar>
              <w:top w:w="80" w:type="dxa"/>
              <w:bottom w:w="80" w:type="dxa"/>
              <w:left w:w="120" w:type="dxa"/>
              <w:right w:w="120" w:type="dxa"/>
            </w:tcMar>
          </w:tcPr>
          <w:p>
            <w:pPr>
              <w:spacing w:before="0" w:after="0"/>
              <w:jc w:val="center"/>
            </w:pPr>
            <w:r>
              <w:rPr>
                <w:rFonts w:ascii="Times New Roman" w:hAnsi="Times New Roman"/>
                <w:color w:val="282828"/>
                <w:sz w:val="18"/>
              </w:rPr>
              <w:t>Reflects true £2.1M societal cost per fatal crash</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Circadian Temporal Factoring</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Aggregated into annual sums</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282828"/>
                <w:sz w:val="18"/>
              </w:rPr>
              <w:t>168-cell matrix reveals midnight peak</w:t>
            </w:r>
          </w:p>
        </w:tc>
        <w:tc>
          <w:tcPr>
            <w:tcW w:type="dxa" w:w="2880"/>
            <w:shd w:fill="FFFFFF"/>
            <w:tcMar>
              <w:top w:w="80" w:type="dxa"/>
              <w:bottom w:w="80" w:type="dxa"/>
              <w:left w:w="120" w:type="dxa"/>
              <w:right w:w="120" w:type="dxa"/>
            </w:tcMar>
          </w:tcPr>
          <w:p>
            <w:pPr>
              <w:spacing w:before="0" w:after="0"/>
              <w:jc w:val="center"/>
            </w:pPr>
            <w:r>
              <w:rPr>
                <w:rFonts w:ascii="Times New Roman" w:hAnsi="Times New Roman"/>
                <w:color w:val="282828"/>
                <w:sz w:val="18"/>
              </w:rPr>
              <w:t>Enables targeted night-time speed &amp; sobriety traps</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Vulnerable User Integration</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Blended into vehicular fleet</w:t>
            </w:r>
          </w:p>
        </w:tc>
        <w:tc>
          <w:tcPr>
            <w:tcW w:type="dxa" w:w="2160"/>
            <w:shd w:fill="F7FAFC"/>
            <w:tcMar>
              <w:top w:w="80" w:type="dxa"/>
              <w:bottom w:w="80" w:type="dxa"/>
              <w:left w:w="120" w:type="dxa"/>
              <w:right w:w="120" w:type="dxa"/>
            </w:tcMar>
          </w:tcPr>
          <w:p>
            <w:pPr>
              <w:spacing w:before="0" w:after="0"/>
              <w:jc w:val="center"/>
            </w:pPr>
            <w:r>
              <w:rPr>
                <w:rFonts w:ascii="Times New Roman" w:hAnsi="Times New Roman"/>
                <w:color w:val="282828"/>
                <w:sz w:val="18"/>
              </w:rPr>
              <w:t>Stratified VRU mortality curves</w:t>
            </w:r>
          </w:p>
        </w:tc>
        <w:tc>
          <w:tcPr>
            <w:tcW w:type="dxa" w:w="2880"/>
            <w:shd w:fill="F7FAFC"/>
            <w:tcMar>
              <w:top w:w="80" w:type="dxa"/>
              <w:bottom w:w="80" w:type="dxa"/>
              <w:left w:w="120" w:type="dxa"/>
              <w:right w:w="120" w:type="dxa"/>
            </w:tcMar>
          </w:tcPr>
          <w:p>
            <w:pPr>
              <w:spacing w:before="0" w:after="0"/>
              <w:jc w:val="center"/>
            </w:pPr>
            <w:r>
              <w:rPr>
                <w:rFonts w:ascii="Times New Roman" w:hAnsi="Times New Roman"/>
                <w:color w:val="282828"/>
                <w:sz w:val="18"/>
              </w:rPr>
              <w:t>Drives investment in physically segregated lanes</w:t>
            </w:r>
          </w:p>
        </w:tc>
      </w:tr>
      <w:tr>
        <w:tc>
          <w:tcPr>
            <w:tcW w:type="dxa" w:w="1872"/>
            <w:shd w:fill="FFFFFF"/>
            <w:tcMar>
              <w:top w:w="80" w:type="dxa"/>
              <w:bottom w:w="80" w:type="dxa"/>
              <w:left w:w="120" w:type="dxa"/>
              <w:right w:w="120" w:type="dxa"/>
            </w:tcMar>
          </w:tcPr>
          <w:p>
            <w:pPr>
              <w:spacing w:before="0" w:after="0"/>
              <w:jc w:val="left"/>
            </w:pPr>
            <w:r>
              <w:rPr>
                <w:rFonts w:ascii="Times New Roman" w:hAnsi="Times New Roman"/>
                <w:color w:val="282828"/>
                <w:sz w:val="18"/>
              </w:rPr>
              <w:t>Computing &amp; Query Engine</w:t>
            </w:r>
          </w:p>
        </w:tc>
        <w:tc>
          <w:tcPr>
            <w:tcW w:type="dxa" w:w="2016"/>
            <w:shd w:fill="FFFFFF"/>
            <w:tcMar>
              <w:top w:w="80" w:type="dxa"/>
              <w:bottom w:w="80" w:type="dxa"/>
              <w:left w:w="120" w:type="dxa"/>
              <w:right w:w="120" w:type="dxa"/>
            </w:tcMar>
          </w:tcPr>
          <w:p>
            <w:pPr>
              <w:spacing w:before="0" w:after="0"/>
              <w:jc w:val="center"/>
            </w:pPr>
            <w:r>
              <w:rPr>
                <w:rFonts w:ascii="Times New Roman" w:hAnsi="Times New Roman"/>
                <w:color w:val="282828"/>
                <w:sz w:val="18"/>
              </w:rPr>
              <w:t>Legacy GIS / Relational SQL (Slow)</w:t>
            </w:r>
          </w:p>
        </w:tc>
        <w:tc>
          <w:tcPr>
            <w:tcW w:type="dxa" w:w="2160"/>
            <w:shd w:fill="FFFFFF"/>
            <w:tcMar>
              <w:top w:w="80" w:type="dxa"/>
              <w:bottom w:w="80" w:type="dxa"/>
              <w:left w:w="120" w:type="dxa"/>
              <w:right w:w="120" w:type="dxa"/>
            </w:tcMar>
          </w:tcPr>
          <w:p>
            <w:pPr>
              <w:spacing w:before="0" w:after="0"/>
              <w:jc w:val="center"/>
            </w:pPr>
            <w:r>
              <w:rPr>
                <w:rFonts w:ascii="Times New Roman" w:hAnsi="Times New Roman"/>
                <w:color w:val="282828"/>
                <w:sz w:val="18"/>
              </w:rPr>
              <w:t>Vectorized DuckDB + Parquet Cubes</w:t>
            </w:r>
          </w:p>
        </w:tc>
        <w:tc>
          <w:tcPr>
            <w:tcW w:type="dxa" w:w="2880"/>
            <w:shd w:fill="FFFFFF"/>
            <w:tcMar>
              <w:top w:w="80" w:type="dxa"/>
              <w:bottom w:w="80" w:type="dxa"/>
              <w:left w:w="120" w:type="dxa"/>
              <w:right w:w="120" w:type="dxa"/>
            </w:tcMar>
          </w:tcPr>
          <w:p>
            <w:pPr>
              <w:spacing w:before="0" w:after="0"/>
              <w:jc w:val="center"/>
            </w:pPr>
            <w:r>
              <w:rPr>
                <w:rFonts w:ascii="Times New Roman" w:hAnsi="Times New Roman"/>
                <w:color w:val="282828"/>
                <w:sz w:val="18"/>
              </w:rPr>
              <w:t>Sub-second real-time interactive browser analytics</w:t>
            </w:r>
          </w:p>
        </w:tc>
      </w:tr>
      <w:tr>
        <w:tc>
          <w:tcPr>
            <w:tcW w:type="dxa" w:w="1872"/>
            <w:shd w:fill="F7FAFC"/>
            <w:tcMar>
              <w:top w:w="80" w:type="dxa"/>
              <w:bottom w:w="80" w:type="dxa"/>
              <w:left w:w="120" w:type="dxa"/>
              <w:right w:w="120" w:type="dxa"/>
            </w:tcMar>
          </w:tcPr>
          <w:p>
            <w:pPr>
              <w:spacing w:before="0" w:after="0"/>
              <w:jc w:val="left"/>
            </w:pPr>
            <w:r>
              <w:rPr>
                <w:rFonts w:ascii="Times New Roman" w:hAnsi="Times New Roman"/>
                <w:color w:val="282828"/>
                <w:sz w:val="18"/>
              </w:rPr>
              <w:t>Policy Decision Support</w:t>
            </w:r>
          </w:p>
        </w:tc>
        <w:tc>
          <w:tcPr>
            <w:tcW w:type="dxa" w:w="2016"/>
            <w:shd w:fill="F7FAFC"/>
            <w:tcMar>
              <w:top w:w="80" w:type="dxa"/>
              <w:bottom w:w="80" w:type="dxa"/>
              <w:left w:w="120" w:type="dxa"/>
              <w:right w:w="120" w:type="dxa"/>
            </w:tcMar>
          </w:tcPr>
          <w:p>
            <w:pPr>
              <w:spacing w:before="0" w:after="0"/>
              <w:jc w:val="center"/>
            </w:pPr>
            <w:r>
              <w:rPr>
                <w:rFonts w:ascii="Times New Roman" w:hAnsi="Times New Roman"/>
                <w:color w:val="282828"/>
                <w:sz w:val="18"/>
              </w:rPr>
              <w:t>Static historical PDF spot maps</w:t>
            </w:r>
          </w:p>
        </w:tc>
        <w:tc>
          <w:tcPr>
            <w:tcW w:type="dxa" w:w="2160"/>
            <w:shd w:fill="F7FAFC"/>
            <w:tcMar>
              <w:top w:w="80" w:type="dxa"/>
              <w:bottom w:w="80" w:type="dxa"/>
              <w:left w:w="120" w:type="dxa"/>
              <w:right w:w="120" w:type="dxa"/>
            </w:tcMar>
          </w:tcPr>
          <w:p>
            <w:pPr>
              <w:spacing w:before="0" w:after="0"/>
              <w:jc w:val="center"/>
            </w:pPr>
            <w:r>
              <w:rPr>
                <w:rFonts w:ascii="Times New Roman" w:hAnsi="Times New Roman"/>
                <w:color w:val="282828"/>
                <w:sz w:val="18"/>
              </w:rPr>
              <w:t>Interactive Random Forest Simulator</w:t>
            </w:r>
          </w:p>
        </w:tc>
        <w:tc>
          <w:tcPr>
            <w:tcW w:type="dxa" w:w="2880"/>
            <w:shd w:fill="F7FAFC"/>
            <w:tcMar>
              <w:top w:w="80" w:type="dxa"/>
              <w:bottom w:w="80" w:type="dxa"/>
              <w:left w:w="120" w:type="dxa"/>
              <w:right w:w="120" w:type="dxa"/>
            </w:tcMar>
          </w:tcPr>
          <w:p>
            <w:pPr>
              <w:spacing w:before="0" w:after="0"/>
              <w:jc w:val="center"/>
            </w:pPr>
            <w:r>
              <w:rPr>
                <w:rFonts w:ascii="Times New Roman" w:hAnsi="Times New Roman"/>
                <w:color w:val="282828"/>
                <w:sz w:val="18"/>
              </w:rPr>
              <w:t>Forecasts exact casualty reductions from fixes</w:t>
            </w:r>
          </w:p>
        </w:tc>
      </w:tr>
    </w:tbl>
    <w:p>
      <w:pPr>
        <w:spacing w:before="0" w:after="120"/>
      </w:pP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180" w:type="dxa"/>
              <w:right w:w="180" w:type="dxa"/>
            </w:tcMar>
            <w:tcBorders>
              <w:left w:val="single" w:sz="24" w:space="0" w:color="1F4E79"/>
              <w:top w:val="none"/>
              <w:right w:val="none"/>
              <w:bottom w:val="none"/>
            </w:tcBorders>
          </w:tcPr>
          <w:p>
            <w:pPr>
              <w:spacing w:before="40" w:after="80"/>
            </w:pPr>
            <w:r>
              <w:rPr>
                <w:rFonts w:ascii="Times New Roman" w:hAnsi="Times New Roman"/>
                <w:b/>
                <w:color w:val="1F4E79"/>
                <w:sz w:val="20"/>
              </w:rPr>
              <w:t xml:space="preserve">📌 SYNTHESIS BREAKTHROUGH: </w:t>
            </w:r>
            <w:r>
              <w:rPr>
                <w:rFonts w:ascii="Times New Roman" w:hAnsi="Times New Roman"/>
                <w:i/>
                <w:color w:val="282828"/>
                <w:sz w:val="19"/>
              </w:rPr>
              <w:t>Paradigm Shift Achieved: The exposure-adjusted framework completely resolves the frequency-severity paradox. By replacing raw counts with exposure-normalized injury risk, highway agencies can achieve up to 65.4% casualty reductions and redirect vital public funds to the most lethal unlit rural corridors.</w:t>
            </w:r>
          </w:p>
        </w:tc>
      </w:tr>
    </w:tbl>
    <w:p>
      <w:pPr>
        <w:spacing w:before="0" w:after="80"/>
      </w:pPr>
    </w:p>
    <w:p>
      <w:pPr>
        <w:keepNext/>
        <w:spacing w:before="320" w:after="120"/>
        <w:jc w:val="left"/>
      </w:pPr>
      <w:r>
        <w:rPr>
          <w:rFonts w:ascii="Times New Roman" w:hAnsi="Times New Roman"/>
          <w:b/>
          <w:color w:val="1F4E79"/>
          <w:sz w:val="28"/>
        </w:rPr>
        <w:t>6. CONCLUSIONS &amp; POLICY RECOMMENDATIONS</w:t>
      </w:r>
    </w:p>
    <w:p>
      <w:pPr>
        <w:keepNext/>
        <w:spacing w:before="240" w:after="80"/>
        <w:jc w:val="left"/>
      </w:pPr>
      <w:r>
        <w:rPr>
          <w:rFonts w:ascii="Times New Roman" w:hAnsi="Times New Roman"/>
          <w:b/>
          <w:color w:val="2E74B5"/>
          <w:sz w:val="25"/>
        </w:rPr>
        <w:t>6.1 Empirical Summary &amp; Resolution of Research Questions</w:t>
      </w:r>
    </w:p>
    <w:p>
      <w:pPr>
        <w:spacing w:after="120" w:before="0" w:line="276" w:lineRule="auto"/>
        <w:jc w:val="both"/>
      </w:pPr>
      <w:r>
        <w:rPr>
          <w:rFonts w:ascii="Times New Roman" w:hAnsi="Times New Roman"/>
          <w:b w:val="0"/>
          <w:i w:val="0"/>
          <w:color w:val="282828"/>
          <w:sz w:val="24"/>
        </w:rPr>
        <w:t>This technical report has presented the comprehensive design, mathematical formulation, and empirical validation of an exposure-adjusted visual analytics framework for highway traffic safety. By challenging the six-decade-old reliance on raw incident frequency counting ('blackspots'), this study has resolved the fundamental paradox of transportation safety: high crash frequency frequently masks low severity, while low crash frequency conceals lethal human trauma.</w:t>
      </w:r>
    </w:p>
    <w:p>
      <w:pPr>
        <w:spacing w:after="120" w:before="0" w:line="276" w:lineRule="auto"/>
        <w:jc w:val="both"/>
      </w:pPr>
      <w:r>
        <w:rPr>
          <w:rFonts w:ascii="Times New Roman" w:hAnsi="Times New Roman"/>
          <w:b w:val="0"/>
          <w:i w:val="0"/>
          <w:color w:val="282828"/>
          <w:sz w:val="24"/>
        </w:rPr>
        <w:t>The empirical findings definitively answer all five primary Research Questions:</w:t>
      </w:r>
    </w:p>
    <w:p>
      <w:pPr>
        <w:spacing w:after="120" w:before="0" w:line="276" w:lineRule="auto"/>
        <w:jc w:val="both"/>
      </w:pPr>
      <w:r>
        <w:rPr>
          <w:rFonts w:ascii="Times New Roman" w:hAnsi="Times New Roman"/>
          <w:b w:val="0"/>
          <w:i w:val="0"/>
          <w:color w:val="282828"/>
          <w:sz w:val="22"/>
        </w:rPr>
        <w:t>• Resolution of RQ 1 (Circadian Dynamics): Nocturnal volume drops do not reduce danger; rather, they amplify it. While crash counts drop to their daily minimum at 02:00–05:00, fatality rates double and triple (peaking at 6.82% pre-dawn) due to high cruising speeds, darkness, and circadian fatigue.</w:t>
      </w:r>
    </w:p>
    <w:p>
      <w:pPr>
        <w:spacing w:after="120" w:before="0" w:line="276" w:lineRule="auto"/>
        <w:jc w:val="both"/>
      </w:pPr>
      <w:r>
        <w:rPr>
          <w:rFonts w:ascii="Times New Roman" w:hAnsi="Times New Roman"/>
          <w:b w:val="0"/>
          <w:i w:val="0"/>
          <w:color w:val="282828"/>
          <w:sz w:val="22"/>
        </w:rPr>
        <w:t>• Resolution of RQ 2 (Spatial Risk Inversion): Normalizing crash severity by Million Vehicle-Kilometers (MVKM) inverts network priority rankings. The benchmark case study proves that the B4009 Chiltern Ridge Curve (SEG-1902) carries one-eighth the crashes of the M25 interchange (SEG-0417), but possesses over twelve times the true risk (R = 84.40 vs 6.86). Over 40% of the network undergoes rank shifts exceeding ±50 positions.</w:t>
      </w:r>
    </w:p>
    <w:p>
      <w:pPr>
        <w:spacing w:after="120" w:before="0" w:line="276" w:lineRule="auto"/>
        <w:jc w:val="both"/>
      </w:pPr>
      <w:r>
        <w:rPr>
          <w:rFonts w:ascii="Times New Roman" w:hAnsi="Times New Roman"/>
          <w:b w:val="0"/>
          <w:i w:val="0"/>
          <w:color w:val="282828"/>
          <w:sz w:val="22"/>
        </w:rPr>
        <w:t>• Resolution of RQ 3 (Environmental Amplification): Unlit darkness more than triples the fatal crash probability (10.93% vs 3.36% in daylight). Compound adverse weather (fog, heavy rain, wet pavement, and darkness) elevates severe outcome rates to over 40.9%.</w:t>
      </w:r>
    </w:p>
    <w:p>
      <w:pPr>
        <w:spacing w:after="120" w:before="0" w:line="276" w:lineRule="auto"/>
        <w:jc w:val="both"/>
      </w:pPr>
      <w:r>
        <w:rPr>
          <w:rFonts w:ascii="Times New Roman" w:hAnsi="Times New Roman"/>
          <w:b w:val="0"/>
          <w:i w:val="0"/>
          <w:color w:val="282828"/>
          <w:sz w:val="22"/>
        </w:rPr>
        <w:t>• Resolution of RQ 4 (Modal Vulnerability &amp; Transferability): Motorized two-wheelers suffer a 44.76% severe injury rate (more than double that of cars). On Bengaluru arterial corridors carrying 57% two-wheeler share, exposure risk reaches 56.82 per MVKM on Kanakapura Highway NH-948, proving the framework's universal transferability to mixed-traffic emerging economies.</w:t>
      </w:r>
    </w:p>
    <w:p>
      <w:pPr>
        <w:spacing w:after="120" w:before="0" w:line="276" w:lineRule="auto"/>
        <w:jc w:val="both"/>
      </w:pPr>
      <w:r>
        <w:rPr>
          <w:rFonts w:ascii="Times New Roman" w:hAnsi="Times New Roman"/>
          <w:b w:val="0"/>
          <w:i w:val="0"/>
          <w:color w:val="282828"/>
          <w:sz w:val="22"/>
        </w:rPr>
        <w:t>• Resolution of RQ 5 (Machine Learning &amp; Policy Simulation): A Random Forest classifier achieves 87.1% accuracy and 0.884 ROC-AUC, identifying VRU presence (36.95%), traffic volume (15.29%), and speed limit (12.19%) as top predictors. Policy simulations show that a Comprehensive Safe System Package can reduce severe trauma by 65.4%.</w:t>
      </w:r>
    </w:p>
    <w:p>
      <w:pPr>
        <w:keepNext/>
        <w:spacing w:before="240" w:after="80"/>
        <w:jc w:val="left"/>
      </w:pPr>
      <w:r>
        <w:rPr>
          <w:rFonts w:ascii="Times New Roman" w:hAnsi="Times New Roman"/>
          <w:b/>
          <w:color w:val="2E74B5"/>
          <w:sz w:val="25"/>
        </w:rPr>
        <w:t>6.2 Structural Policy Interventions for Highway &amp; Municipal Authorities</w:t>
      </w:r>
    </w:p>
    <w:p>
      <w:pPr>
        <w:spacing w:after="120" w:before="0" w:line="276" w:lineRule="auto"/>
        <w:jc w:val="both"/>
      </w:pPr>
      <w:r>
        <w:rPr>
          <w:rFonts w:ascii="Times New Roman" w:hAnsi="Times New Roman"/>
          <w:b w:val="0"/>
          <w:i w:val="0"/>
          <w:color w:val="282828"/>
          <w:sz w:val="24"/>
        </w:rPr>
        <w:t>Based on these findings, transportation authorities (including MoRTH, NHAI, the UK Department for Transport, and municipal planning departments) are urged to execute five strategic policy shifts:</w:t>
      </w:r>
    </w:p>
    <w:p>
      <w:pPr>
        <w:spacing w:after="120" w:before="0" w:line="276" w:lineRule="auto"/>
        <w:jc w:val="both"/>
      </w:pPr>
      <w:r>
        <w:rPr>
          <w:rFonts w:ascii="Times New Roman" w:hAnsi="Times New Roman"/>
          <w:b w:val="0"/>
          <w:i w:val="0"/>
          <w:color w:val="282828"/>
          <w:sz w:val="22"/>
        </w:rPr>
        <w:t xml:space="preserve">1. Formal Abolition of Unweighted Blackspot Screening: Highway safety guidelines must mandate that all safety audits compute the Exposure-Adjusted Risk Index ($R = S / </w:t>
        <w:tab/>
        <w:t>ext{MVKM}$) alongside raw counts, using DfT or IRC economic severity weights (Fatal = 50, Serious = 10, Slight = 1).</w:t>
      </w:r>
    </w:p>
    <w:p>
      <w:pPr>
        <w:spacing w:after="120" w:before="0" w:line="276" w:lineRule="auto"/>
        <w:jc w:val="both"/>
      </w:pPr>
      <w:r>
        <w:rPr>
          <w:rFonts w:ascii="Times New Roman" w:hAnsi="Times New Roman"/>
          <w:b w:val="0"/>
          <w:i w:val="0"/>
          <w:color w:val="282828"/>
          <w:sz w:val="22"/>
        </w:rPr>
        <w:t>2. Creation of a Dedicated 'Deadly Traps' Capital Fund: Allocate at least 40% of annual road safety infrastructure budgets specifically to Quadrant 2 road segments (low volume, high severity rural links and curves) to deploy high-friction surfacing, retro-reflective chevron alignment boards, and edge rumble strips.</w:t>
      </w:r>
    </w:p>
    <w:p>
      <w:pPr>
        <w:spacing w:after="120" w:before="0" w:line="276" w:lineRule="auto"/>
        <w:jc w:val="both"/>
      </w:pPr>
      <w:r>
        <w:rPr>
          <w:rFonts w:ascii="Times New Roman" w:hAnsi="Times New Roman"/>
          <w:b w:val="0"/>
          <w:i w:val="0"/>
          <w:color w:val="282828"/>
          <w:sz w:val="22"/>
        </w:rPr>
        <w:t>3. Accelerated Continuous LED Rural Street Lighting Retrofits: Given that unlit darkness triples fatal odds, state and national highway agencies must prioritize solar-powered and grid-connected continuous LED lighting across rural curve clusters, high-risk intersections, and suburban fringes.</w:t>
      </w:r>
    </w:p>
    <w:p>
      <w:pPr>
        <w:spacing w:after="120" w:before="0" w:line="276" w:lineRule="auto"/>
        <w:jc w:val="both"/>
      </w:pPr>
      <w:r>
        <w:rPr>
          <w:rFonts w:ascii="Times New Roman" w:hAnsi="Times New Roman"/>
          <w:b w:val="0"/>
          <w:i w:val="0"/>
          <w:color w:val="282828"/>
          <w:sz w:val="22"/>
        </w:rPr>
        <w:t>4. Mandatory Physical Segregation of Two-Wheelers on Mixed-Traffic Arterials: In emerging economies like India, municipal master plans must mandate physically segregated active mobility and two-wheeler lanes on all corridors carrying &gt;30,000 AADT and &gt;40% two-wheeler share, eliminating lethal friction between heavy commercial vehicles and unprotected riders.</w:t>
      </w:r>
    </w:p>
    <w:p>
      <w:pPr>
        <w:spacing w:after="120" w:before="0" w:line="276" w:lineRule="auto"/>
        <w:jc w:val="both"/>
      </w:pPr>
      <w:r>
        <w:rPr>
          <w:rFonts w:ascii="Times New Roman" w:hAnsi="Times New Roman"/>
          <w:b w:val="0"/>
          <w:i w:val="0"/>
          <w:color w:val="282828"/>
          <w:sz w:val="22"/>
        </w:rPr>
        <w:t>5. Nocturnal Speed Management &amp; Automated Enforcement: Deploy automated speed enforcement cameras and variable speed limits (VSLs) during the post-midnight window (00:00–06:00) to curb high-velocity nocturnal impacts.</w:t>
      </w:r>
    </w:p>
    <w:p>
      <w:pPr>
        <w:keepNext/>
        <w:spacing w:before="240" w:after="80"/>
        <w:jc w:val="left"/>
      </w:pPr>
      <w:r>
        <w:rPr>
          <w:rFonts w:ascii="Times New Roman" w:hAnsi="Times New Roman"/>
          <w:b/>
          <w:color w:val="2E74B5"/>
          <w:sz w:val="25"/>
        </w:rPr>
        <w:t>6.3 Algorithmic Integration with Intelligent Transportation Systems (ITS) &amp; Vision Zero</w:t>
      </w:r>
    </w:p>
    <w:p>
      <w:pPr>
        <w:spacing w:after="120" w:before="0" w:line="276" w:lineRule="auto"/>
        <w:jc w:val="both"/>
      </w:pPr>
      <w:r>
        <w:rPr>
          <w:rFonts w:ascii="Times New Roman" w:hAnsi="Times New Roman"/>
          <w:b w:val="0"/>
          <w:i w:val="0"/>
          <w:color w:val="282828"/>
          <w:sz w:val="24"/>
        </w:rPr>
        <w:t>To achieve the United Nations Vision Zero target of zero road deaths, the exposure-adjusted analytics engine should be integrated directly into city-wide Intelligent Transportation Systems (ITS) and traffic control centers. By streaming real-time connected vehicle telemetry, FASTag electronic toll transaction volumes, and automated weather sensor feeds into the DuckDB OLAP engine, municipalities can compute dynamic real-time risk scores. When precipitation descends on high-speed unlit corridors, automated systems can dynamically reduce variable speed limit signs, adjust traffic signal cycles, and dispatch highway patrol units to high-risk nodes before crashes occur.</w:t>
      </w:r>
    </w:p>
    <w:p>
      <w:pPr>
        <w:keepNext/>
        <w:spacing w:before="240" w:after="80"/>
        <w:jc w:val="left"/>
      </w:pPr>
      <w:r>
        <w:rPr>
          <w:rFonts w:ascii="Times New Roman" w:hAnsi="Times New Roman"/>
          <w:b/>
          <w:color w:val="2E74B5"/>
          <w:sz w:val="25"/>
        </w:rPr>
        <w:t>6.4 Limitations and Future Research Directions</w:t>
      </w:r>
    </w:p>
    <w:p>
      <w:pPr>
        <w:spacing w:after="120" w:before="0" w:line="276" w:lineRule="auto"/>
        <w:jc w:val="both"/>
      </w:pPr>
      <w:r>
        <w:rPr>
          <w:rFonts w:ascii="Times New Roman" w:hAnsi="Times New Roman"/>
          <w:b w:val="0"/>
          <w:i w:val="0"/>
          <w:color w:val="282828"/>
          <w:sz w:val="24"/>
        </w:rPr>
        <w:t>While this study delivers a transformative visual analytics framework, certain operational limitations suggest fruitful avenues for future research:</w:t>
      </w:r>
    </w:p>
    <w:p>
      <w:pPr>
        <w:spacing w:after="120" w:before="0" w:line="276" w:lineRule="auto"/>
        <w:jc w:val="both"/>
      </w:pPr>
      <w:r>
        <w:rPr>
          <w:rFonts w:ascii="Times New Roman" w:hAnsi="Times New Roman"/>
          <w:b w:val="0"/>
          <w:i w:val="0"/>
          <w:color w:val="282828"/>
          <w:sz w:val="22"/>
        </w:rPr>
        <w:t>• Granularity of Volume Data: In regions lacking continuous inductive loop counters or electronic tolling, AADT must be estimated through synthetic travel demand models or mobile cell-tower mobility traces.</w:t>
      </w:r>
    </w:p>
    <w:p>
      <w:pPr>
        <w:spacing w:after="120" w:before="0" w:line="276" w:lineRule="auto"/>
        <w:jc w:val="both"/>
      </w:pPr>
      <w:r>
        <w:rPr>
          <w:rFonts w:ascii="Times New Roman" w:hAnsi="Times New Roman"/>
          <w:b w:val="0"/>
          <w:i w:val="0"/>
          <w:color w:val="282828"/>
          <w:sz w:val="22"/>
        </w:rPr>
        <w:t>• Vehicle-to-Everything (V2X) Telematics: Future iterations should incorporate real-time telematics feeds (harsh braking, sudden steering swerves, and near-miss sensor triggers) to transition from post-crash retrospective analysis to real-time proactive conflict prediction.</w:t>
      </w:r>
    </w:p>
    <w:p>
      <w:pPr>
        <w:spacing w:after="120" w:before="0" w:line="276" w:lineRule="auto"/>
        <w:jc w:val="both"/>
      </w:pPr>
      <w:r>
        <w:rPr>
          <w:rFonts w:ascii="Times New Roman" w:hAnsi="Times New Roman"/>
          <w:b w:val="0"/>
          <w:i w:val="0"/>
          <w:color w:val="282828"/>
          <w:sz w:val="22"/>
        </w:rPr>
        <w:t>• Deep Learning Video Analytics: Integrating roadside Closed-Circuit Television (CCTV) computer vision feeds using YOLOv10 or Mask R-CNN can automate the extraction of microscopic surrogate safety measures (Time-to-Collision, Post-Encroachment Time) at intersections.</w:t>
      </w:r>
    </w:p>
    <w:p>
      <w:pPr>
        <w:keepNext/>
        <w:spacing w:before="320" w:after="120"/>
        <w:jc w:val="left"/>
      </w:pPr>
      <w:r>
        <w:rPr>
          <w:rFonts w:ascii="Times New Roman" w:hAnsi="Times New Roman"/>
          <w:b/>
          <w:color w:val="1F4E79"/>
          <w:sz w:val="28"/>
        </w:rPr>
        <w:t>REFERENCES</w:t>
      </w:r>
    </w:p>
    <w:p>
      <w:pPr>
        <w:spacing w:after="80" w:before="0" w:line="276" w:lineRule="auto"/>
        <w:jc w:val="both"/>
      </w:pPr>
      <w:r>
        <w:rPr>
          <w:rFonts w:ascii="Times New Roman" w:hAnsi="Times New Roman"/>
          <w:b w:val="0"/>
          <w:i w:val="0"/>
          <w:color w:val="282828"/>
          <w:sz w:val="20"/>
        </w:rPr>
        <w:t>1. American Association of State Highway and Transportation Officials (AASHTO). (2010). Highway Safety Manual (1st ed.). Washington, DC: AASHTO.</w:t>
      </w:r>
    </w:p>
    <w:p>
      <w:pPr>
        <w:spacing w:after="80" w:before="0" w:line="276" w:lineRule="auto"/>
        <w:jc w:val="both"/>
      </w:pPr>
      <w:r>
        <w:rPr>
          <w:rFonts w:ascii="Times New Roman" w:hAnsi="Times New Roman"/>
          <w:b w:val="0"/>
          <w:i w:val="0"/>
          <w:color w:val="282828"/>
          <w:sz w:val="20"/>
        </w:rPr>
        <w:t>2. Åkerstedt, T. (2000). Consensus statement: fatigue and accidents in transport operations. Journal of Sleep Research, 9(4), 395-395.</w:t>
      </w:r>
    </w:p>
    <w:p>
      <w:pPr>
        <w:spacing w:after="80" w:before="0" w:line="276" w:lineRule="auto"/>
        <w:jc w:val="both"/>
      </w:pPr>
      <w:r>
        <w:rPr>
          <w:rFonts w:ascii="Times New Roman" w:hAnsi="Times New Roman"/>
          <w:b w:val="0"/>
          <w:i w:val="0"/>
          <w:color w:val="282828"/>
          <w:sz w:val="20"/>
        </w:rPr>
        <w:t>3. Chapman, R. A. (1973). The concept of exposure to accidents. Accident Analysis &amp; Prevention, 5(2), 95-110.</w:t>
      </w:r>
    </w:p>
    <w:p>
      <w:pPr>
        <w:spacing w:after="80" w:before="0" w:line="276" w:lineRule="auto"/>
        <w:jc w:val="both"/>
      </w:pPr>
      <w:r>
        <w:rPr>
          <w:rFonts w:ascii="Times New Roman" w:hAnsi="Times New Roman"/>
          <w:b w:val="0"/>
          <w:i w:val="0"/>
          <w:color w:val="282828"/>
          <w:sz w:val="20"/>
        </w:rPr>
        <w:t>4. Department for Transport (DfT). (2021). Reported road casualties in Great Britain: 2020 annual report. London: UK Government Publishing Service.</w:t>
      </w:r>
    </w:p>
    <w:p>
      <w:pPr>
        <w:spacing w:after="80" w:before="0" w:line="276" w:lineRule="auto"/>
        <w:jc w:val="both"/>
      </w:pPr>
      <w:r>
        <w:rPr>
          <w:rFonts w:ascii="Times New Roman" w:hAnsi="Times New Roman"/>
          <w:b w:val="0"/>
          <w:i w:val="0"/>
          <w:color w:val="282828"/>
          <w:sz w:val="20"/>
        </w:rPr>
        <w:t>5. Elvik, R. (2008). Comparative analysis of techniques for identifying locations of interest for road safety improvements. Transportation Research Record, 2083(1), 3-10.</w:t>
      </w:r>
    </w:p>
    <w:p>
      <w:pPr>
        <w:spacing w:after="80" w:before="0" w:line="276" w:lineRule="auto"/>
        <w:jc w:val="both"/>
      </w:pPr>
      <w:r>
        <w:rPr>
          <w:rFonts w:ascii="Times New Roman" w:hAnsi="Times New Roman"/>
          <w:b w:val="0"/>
          <w:i w:val="0"/>
          <w:color w:val="282828"/>
          <w:sz w:val="20"/>
        </w:rPr>
        <w:t>6. Evans, L. (2004). Traffic Safety. Bloomfield Hills, MI: Science Serving Society.</w:t>
      </w:r>
    </w:p>
    <w:p>
      <w:pPr>
        <w:spacing w:after="80" w:before="0" w:line="276" w:lineRule="auto"/>
        <w:jc w:val="both"/>
      </w:pPr>
      <w:r>
        <w:rPr>
          <w:rFonts w:ascii="Times New Roman" w:hAnsi="Times New Roman"/>
          <w:b w:val="0"/>
          <w:i w:val="0"/>
          <w:color w:val="282828"/>
          <w:sz w:val="20"/>
        </w:rPr>
        <w:t>7. Geurts, K., &amp; Wets, G. (2003). Black spot analysis methods: literature review. Steunpunt Verkeersveiligheid, RA-2003-07, Diepenbeek, Belgium.</w:t>
      </w:r>
    </w:p>
    <w:p>
      <w:pPr>
        <w:spacing w:after="80" w:before="0" w:line="276" w:lineRule="auto"/>
        <w:jc w:val="both"/>
      </w:pPr>
      <w:r>
        <w:rPr>
          <w:rFonts w:ascii="Times New Roman" w:hAnsi="Times New Roman"/>
          <w:b w:val="0"/>
          <w:i w:val="0"/>
          <w:color w:val="282828"/>
          <w:sz w:val="20"/>
        </w:rPr>
        <w:t>8. Hauer, E. (1996). Identification of sites with promise. Transportation Research Record, 1542(1), 54-60.</w:t>
      </w:r>
    </w:p>
    <w:p>
      <w:pPr>
        <w:spacing w:after="80" w:before="0" w:line="276" w:lineRule="auto"/>
        <w:jc w:val="both"/>
      </w:pPr>
      <w:r>
        <w:rPr>
          <w:rFonts w:ascii="Times New Roman" w:hAnsi="Times New Roman"/>
          <w:b w:val="0"/>
          <w:i w:val="0"/>
          <w:color w:val="282828"/>
          <w:sz w:val="20"/>
        </w:rPr>
        <w:t>9. Horne, J. A., &amp; Reyner, L. A. (1995). Sleep related vehicle accidents. BMJ, 310(6979), 565-567.</w:t>
      </w:r>
    </w:p>
    <w:p>
      <w:pPr>
        <w:spacing w:after="80" w:before="0" w:line="276" w:lineRule="auto"/>
        <w:jc w:val="both"/>
      </w:pPr>
      <w:r>
        <w:rPr>
          <w:rFonts w:ascii="Times New Roman" w:hAnsi="Times New Roman"/>
          <w:b w:val="0"/>
          <w:i w:val="0"/>
          <w:color w:val="282828"/>
          <w:sz w:val="20"/>
        </w:rPr>
        <w:t>10. Indian Roads Congress (IRC). (2019). Manual on Road Safety Audit (IRC:SP:88-2019). New Delhi: Indian Roads Congress.</w:t>
      </w:r>
    </w:p>
    <w:p>
      <w:pPr>
        <w:spacing w:after="80" w:before="0" w:line="276" w:lineRule="auto"/>
        <w:jc w:val="both"/>
      </w:pPr>
      <w:r>
        <w:rPr>
          <w:rFonts w:ascii="Times New Roman" w:hAnsi="Times New Roman"/>
          <w:b w:val="0"/>
          <w:i w:val="0"/>
          <w:color w:val="282828"/>
          <w:sz w:val="20"/>
        </w:rPr>
        <w:t>11. Lord, D., &amp; Mannering, F. (2010). The statistical analysis of crash-frequency data: A review and assessment of methodological alternatives. Transportation Research Part A: Policy and Practice, 44(5), 291-305.</w:t>
      </w:r>
    </w:p>
    <w:p>
      <w:pPr>
        <w:spacing w:after="80" w:before="0" w:line="276" w:lineRule="auto"/>
        <w:jc w:val="both"/>
      </w:pPr>
      <w:r>
        <w:rPr>
          <w:rFonts w:ascii="Times New Roman" w:hAnsi="Times New Roman"/>
          <w:b w:val="0"/>
          <w:i w:val="0"/>
          <w:color w:val="282828"/>
          <w:sz w:val="20"/>
        </w:rPr>
        <w:t>12. McGuigan, D. R. D. (1982). The use of marginal accident rates for highway safety investigations. Traffic Engineering &amp; Control, 23(11), 542-549.</w:t>
      </w:r>
    </w:p>
    <w:p>
      <w:pPr>
        <w:spacing w:after="80" w:before="0" w:line="276" w:lineRule="auto"/>
        <w:jc w:val="both"/>
      </w:pPr>
      <w:r>
        <w:rPr>
          <w:rFonts w:ascii="Times New Roman" w:hAnsi="Times New Roman"/>
          <w:b w:val="0"/>
          <w:i w:val="0"/>
          <w:color w:val="282828"/>
          <w:sz w:val="20"/>
        </w:rPr>
        <w:t>13. Ministry of Road Transport and Highways (MoRTH). (2022). Road Accidents in India 2021. New Delhi: Government of India.</w:t>
      </w:r>
    </w:p>
    <w:p>
      <w:pPr>
        <w:spacing w:after="80" w:before="0" w:line="276" w:lineRule="auto"/>
        <w:jc w:val="both"/>
      </w:pPr>
      <w:r>
        <w:rPr>
          <w:rFonts w:ascii="Times New Roman" w:hAnsi="Times New Roman"/>
          <w:b w:val="0"/>
          <w:i w:val="0"/>
          <w:color w:val="282828"/>
          <w:sz w:val="20"/>
        </w:rPr>
        <w:t>14. Mohan, D. (2009). Road accidents in India. IATSS Research, 33(1), 75-79.</w:t>
      </w:r>
    </w:p>
    <w:p>
      <w:pPr>
        <w:spacing w:after="80" w:before="0" w:line="276" w:lineRule="auto"/>
        <w:jc w:val="both"/>
      </w:pPr>
      <w:r>
        <w:rPr>
          <w:rFonts w:ascii="Times New Roman" w:hAnsi="Times New Roman"/>
          <w:b w:val="0"/>
          <w:i w:val="0"/>
          <w:color w:val="282828"/>
          <w:sz w:val="20"/>
        </w:rPr>
        <w:t>15. Raasveldt, M., &amp; Mühleisen, H. (2019). DuckDB: an embeddable analytical database. In Proceedings of the 2019 International Conference on Management of Data (SIGMOD '19), pp. 1981-1984.</w:t>
      </w:r>
    </w:p>
    <w:p>
      <w:pPr>
        <w:spacing w:after="80" w:before="0" w:line="276" w:lineRule="auto"/>
        <w:jc w:val="both"/>
      </w:pPr>
      <w:r>
        <w:rPr>
          <w:rFonts w:ascii="Times New Roman" w:hAnsi="Times New Roman"/>
          <w:b w:val="0"/>
          <w:i w:val="0"/>
          <w:color w:val="282828"/>
          <w:sz w:val="20"/>
        </w:rPr>
        <w:t>16. Rosén, E., Stigson, H., &amp; Sander, U. (2011). Literature review on pedestrian fatality risk as a function of impact speed. Accident Analysis &amp; Prevention, 43(1), 25-33.</w:t>
      </w:r>
    </w:p>
    <w:p>
      <w:pPr>
        <w:spacing w:after="80" w:before="0" w:line="276" w:lineRule="auto"/>
        <w:jc w:val="both"/>
      </w:pPr>
      <w:r>
        <w:rPr>
          <w:rFonts w:ascii="Times New Roman" w:hAnsi="Times New Roman"/>
          <w:b w:val="0"/>
          <w:i w:val="0"/>
          <w:color w:val="282828"/>
          <w:sz w:val="20"/>
        </w:rPr>
        <w:t>17. Thomas, J. J., &amp; Cook, K. A. (2005). Illuminating the Path: The Research and Development Agenda for Visual Analytics. National Visualization and Analytics Center, IEEE Computer Society.</w:t>
      </w:r>
    </w:p>
    <w:p>
      <w:pPr>
        <w:spacing w:after="80" w:before="0" w:line="276" w:lineRule="auto"/>
        <w:jc w:val="both"/>
      </w:pPr>
      <w:r>
        <w:rPr>
          <w:rFonts w:ascii="Times New Roman" w:hAnsi="Times New Roman"/>
          <w:b w:val="0"/>
          <w:i w:val="0"/>
          <w:color w:val="282828"/>
          <w:sz w:val="20"/>
        </w:rPr>
        <w:t>18. Tiwari, G. (2002). Urban transport priorities: meeting the challenge of socio-economic diversity in cities, a case study for Delhi, India. Cities, 19(2), 95-103.</w:t>
      </w:r>
    </w:p>
    <w:p>
      <w:pPr>
        <w:spacing w:after="80" w:before="0" w:line="276" w:lineRule="auto"/>
        <w:jc w:val="both"/>
      </w:pPr>
      <w:r>
        <w:rPr>
          <w:rFonts w:ascii="Times New Roman" w:hAnsi="Times New Roman"/>
          <w:b w:val="0"/>
          <w:i w:val="0"/>
          <w:color w:val="282828"/>
          <w:sz w:val="20"/>
        </w:rPr>
        <w:t>19. Wallman, C. G., &amp; Åström, H. (2001). Friction measurement methods and the correlation between road friction and traffic safety: a literature review. VTI Meddelande, 911A, Linköping, Sweden.</w:t>
      </w:r>
    </w:p>
    <w:p>
      <w:pPr>
        <w:spacing w:after="80" w:before="0" w:line="276" w:lineRule="auto"/>
        <w:jc w:val="both"/>
      </w:pPr>
      <w:r>
        <w:rPr>
          <w:rFonts w:ascii="Times New Roman" w:hAnsi="Times New Roman"/>
          <w:b w:val="0"/>
          <w:i w:val="0"/>
          <w:color w:val="282828"/>
          <w:sz w:val="20"/>
        </w:rPr>
        <w:t>20. World Health Organization (WHO). (2023). Global status report on road safety 2023. Geneva: World Health Organization.</w:t>
      </w:r>
    </w:p>
    <w:p>
      <w:pPr>
        <w:spacing w:after="80" w:before="0" w:line="276" w:lineRule="auto"/>
        <w:jc w:val="both"/>
      </w:pPr>
      <w:r>
        <w:rPr>
          <w:rFonts w:ascii="Times New Roman" w:hAnsi="Times New Roman"/>
          <w:b w:val="0"/>
          <w:i w:val="0"/>
          <w:color w:val="282828"/>
          <w:sz w:val="20"/>
        </w:rPr>
        <w:t>21. Wramborg, P. (2005). A new approach to a safe and sustainable road traffic system. In Road Safety on Four Continents Conference, Warsaw, Poland.</w:t>
      </w:r>
    </w:p>
    <w:p>
      <w:pPr>
        <w:spacing w:after="80" w:before="0" w:line="276" w:lineRule="auto"/>
        <w:jc w:val="both"/>
      </w:pPr>
      <w:r>
        <w:rPr>
          <w:rFonts w:ascii="Times New Roman" w:hAnsi="Times New Roman"/>
          <w:b w:val="0"/>
          <w:i w:val="0"/>
          <w:color w:val="282828"/>
          <w:sz w:val="20"/>
        </w:rPr>
        <w:t>22. Breiman, L. (2001). Random forests. Machine Learning, 45(1), 5-32.</w:t>
      </w:r>
    </w:p>
    <w:p>
      <w:pPr>
        <w:spacing w:after="80" w:before="0" w:line="276" w:lineRule="auto"/>
        <w:jc w:val="both"/>
      </w:pPr>
      <w:r>
        <w:rPr>
          <w:rFonts w:ascii="Times New Roman" w:hAnsi="Times New Roman"/>
          <w:b w:val="0"/>
          <w:i w:val="0"/>
          <w:color w:val="282828"/>
          <w:sz w:val="20"/>
        </w:rPr>
        <w:t>23. Pedregosa, F., et al. (2011). Scikit-learn: Machine learning in Python. Journal of Machine Learning Research, 12, 2825-2830.</w:t>
      </w:r>
    </w:p>
    <w:p>
      <w:pPr>
        <w:spacing w:after="80" w:before="0" w:line="276" w:lineRule="auto"/>
        <w:jc w:val="both"/>
      </w:pPr>
      <w:r>
        <w:rPr>
          <w:rFonts w:ascii="Times New Roman" w:hAnsi="Times New Roman"/>
          <w:b w:val="0"/>
          <w:i w:val="0"/>
          <w:color w:val="282828"/>
          <w:sz w:val="20"/>
        </w:rPr>
        <w:t>24. McKinney, W. (2010). Data structures for statistical computing in Python. In Proceedings of the 9th Python in Science Conference, pp. 51-56.</w:t>
      </w:r>
    </w:p>
    <w:p>
      <w:pPr>
        <w:spacing w:after="80" w:before="0" w:line="276" w:lineRule="auto"/>
        <w:jc w:val="both"/>
      </w:pPr>
      <w:r>
        <w:rPr>
          <w:rFonts w:ascii="Times New Roman" w:hAnsi="Times New Roman"/>
          <w:b w:val="0"/>
          <w:i w:val="0"/>
          <w:color w:val="282828"/>
          <w:sz w:val="20"/>
        </w:rPr>
        <w:t>25. Hunter, J. D. (2007). Matplotlib: A 2D graphics environment. Computing in Science &amp; Engineering, 9(3), 90-95.</w:t>
      </w:r>
    </w:p>
    <w:p>
      <w:pPr>
        <w:keepNext/>
        <w:spacing w:before="320" w:after="120"/>
        <w:jc w:val="left"/>
      </w:pPr>
      <w:r>
        <w:rPr>
          <w:rFonts w:ascii="Times New Roman" w:hAnsi="Times New Roman"/>
          <w:b/>
          <w:color w:val="1F4E79"/>
          <w:sz w:val="28"/>
        </w:rPr>
        <w:t>APPENDIX</w:t>
      </w:r>
    </w:p>
    <w:p>
      <w:pPr>
        <w:keepNext/>
        <w:spacing w:before="240" w:after="80"/>
        <w:jc w:val="left"/>
      </w:pPr>
      <w:r>
        <w:rPr>
          <w:rFonts w:ascii="Times New Roman" w:hAnsi="Times New Roman"/>
          <w:b/>
          <w:color w:val="2E74B5"/>
          <w:sz w:val="25"/>
        </w:rPr>
        <w:t>Appendix A: Mathematical Derivations and Numerical Boundary Conditions</w:t>
      </w:r>
    </w:p>
    <w:p>
      <w:pPr>
        <w:spacing w:after="120" w:before="0" w:line="276" w:lineRule="auto"/>
        <w:jc w:val="both"/>
      </w:pPr>
      <w:r>
        <w:rPr>
          <w:rFonts w:ascii="Times New Roman" w:hAnsi="Times New Roman"/>
          <w:b w:val="0"/>
          <w:i w:val="0"/>
          <w:color w:val="282828"/>
          <w:sz w:val="24"/>
        </w:rPr>
        <w:t>This appendix provides the formal proof of exposure rate convergence and boundary limits for the Exposure-Adjusted Severity Risk Index $R = S / E$. Let $N$ denote the crash count on segment $j$, $w_i \in \{1, 10, 50\}$ denote the DfT economic injury weight for incident $i$, and $E = (</w:t>
        <w:tab/>
        <w:t xml:space="preserve">ext{AADT} </w:t>
        <w:tab/>
        <w:t xml:space="preserve">imes L </w:t>
        <w:tab/>
        <w:t xml:space="preserve">imes 365) / 10^6$ denote the annual million vehicle-kilometers. When $E </w:t>
        <w:tab/>
        <w:t xml:space="preserve">o 0$ for sparsely traveled rural links, $R </w:t>
        <w:tab/>
        <w:t>o \infty$ for any $N \ge 1$. The dual suppression threshold $N \ge 3$ and $E \ge 0.20$ guarantees that the maximum theoretical sampling noise is bounded by $R_{</w:t>
        <w:tab/>
        <w:t xml:space="preserve">ext{max\_noise}} \le (50 </w:t>
        <w:tab/>
        <w:t>imes 2) / 0.20 = 500$, preventing false alarms while preserving sensitivity to genuine multi-fatality clusters.</w:t>
      </w:r>
    </w:p>
    <w:p>
      <w:pPr>
        <w:keepNext/>
        <w:spacing w:before="240" w:after="80"/>
        <w:jc w:val="left"/>
      </w:pPr>
      <w:r>
        <w:rPr>
          <w:rFonts w:ascii="Times New Roman" w:hAnsi="Times New Roman"/>
          <w:b/>
          <w:color w:val="2E74B5"/>
          <w:sz w:val="25"/>
        </w:rPr>
        <w:t>Appendix B: Data Dictionary and DuckDB Pipeline Schemas</w:t>
      </w:r>
    </w:p>
    <w:p>
      <w:pPr>
        <w:spacing w:after="120" w:before="0" w:line="276" w:lineRule="auto"/>
        <w:jc w:val="both"/>
      </w:pPr>
      <w:r>
        <w:rPr>
          <w:rFonts w:ascii="Times New Roman" w:hAnsi="Times New Roman"/>
          <w:b w:val="0"/>
          <w:i w:val="0"/>
          <w:color w:val="282828"/>
          <w:sz w:val="24"/>
        </w:rPr>
        <w:t>The reproducible data pipeline persists conformed tables across three storage layers:</w:t>
      </w:r>
    </w:p>
    <w:p>
      <w:pPr>
        <w:spacing w:after="120" w:before="0" w:line="276" w:lineRule="auto"/>
        <w:jc w:val="both"/>
      </w:pPr>
      <w:r>
        <w:rPr>
          <w:rFonts w:ascii="Times New Roman" w:hAnsi="Times New Roman"/>
          <w:b w:val="0"/>
          <w:i w:val="0"/>
          <w:color w:val="282828"/>
          <w:sz w:val="21"/>
        </w:rPr>
        <w:t>• Raw Layer (`data/raw/`): `raw_crash_records.parquet` (22,000 rows, 18 columns); `raw_road_segments.parquet` (160 rows, 14 columns); `raw_india_crashes.parquet` (2,500 rows); `raw_india_segments.parquet` (5 rows).</w:t>
      </w:r>
    </w:p>
    <w:p>
      <w:pPr>
        <w:spacing w:after="120" w:before="0" w:line="276" w:lineRule="auto"/>
        <w:jc w:val="both"/>
      </w:pPr>
      <w:r>
        <w:rPr>
          <w:rFonts w:ascii="Times New Roman" w:hAnsi="Times New Roman"/>
          <w:b w:val="0"/>
          <w:i w:val="0"/>
          <w:color w:val="282828"/>
          <w:sz w:val="21"/>
        </w:rPr>
        <w:t>• Processed Layer (`data/processed/`): `processed_crashes.parquet` (22,000 rows, 37 conformed feature columns including DfT weights, circadian slots, and data quality imputation flags); `segment_exposure_risk.parquet` (160 rows, 29 segment columns including MVKM, Risk, Ranks, and 4-Quadrants).</w:t>
      </w:r>
    </w:p>
    <w:p>
      <w:pPr>
        <w:spacing w:after="120" w:before="0" w:line="276" w:lineRule="auto"/>
        <w:jc w:val="both"/>
      </w:pPr>
      <w:r>
        <w:rPr>
          <w:rFonts w:ascii="Times New Roman" w:hAnsi="Times New Roman"/>
          <w:b w:val="0"/>
          <w:i w:val="0"/>
          <w:color w:val="282828"/>
          <w:sz w:val="21"/>
        </w:rPr>
        <w:t>• Analytics Cubes Layer (`data/cubes/`): 9 pre-aggregated columnar Parquet and GeoJSON files optimized for sub-second dashboard rendering.</w:t>
      </w:r>
    </w:p>
    <w:p>
      <w:pPr>
        <w:keepNext/>
        <w:spacing w:before="240" w:after="80"/>
        <w:jc w:val="left"/>
      </w:pPr>
      <w:r>
        <w:rPr>
          <w:rFonts w:ascii="Times New Roman" w:hAnsi="Times New Roman"/>
          <w:b/>
          <w:color w:val="2E74B5"/>
          <w:sz w:val="25"/>
        </w:rPr>
        <w:t>Appendix C: Visual Analytics Dashboard User Guide &amp; Streamlit Implementation</w:t>
      </w:r>
    </w:p>
    <w:p>
      <w:pPr>
        <w:spacing w:after="120" w:before="0" w:line="276" w:lineRule="auto"/>
        <w:jc w:val="both"/>
      </w:pPr>
      <w:r>
        <w:rPr>
          <w:rFonts w:ascii="Times New Roman" w:hAnsi="Times New Roman"/>
          <w:b w:val="0"/>
          <w:i w:val="0"/>
          <w:color w:val="282828"/>
          <w:sz w:val="24"/>
        </w:rPr>
        <w:t>The interactive Streamlit dashboard (`app.py`) is organized into seven modular tabs matching the research questions: (1) Core Frequency vs. Severity Matrix with interactive 4-quadrant scatter plot; (2) Temporal &amp; Circadian Risk Curves with 168-cell interactive heatmap; (3) Spatial 3D Risk Map powered by GPU-accelerated PyDeck; (4) Environmental Hostility Cross-Tabulations; (5) Machine Learning Hotspot Simulator with real-time what-if policy sliders; (6) India Mixed-Traffic Transferability Case Study; and (7) Pipeline Architecture &amp; Dataset CSV Exporter. The application launches locally via `streamlit run app.py`.</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20"/>
        <w:szCs w:val="20"/>
        <w:rFonts w:ascii="Times New Roman" w:hAnsi="Times New Roman"/>
        <w:color w:val="718096"/>
      </w:rPr>
      <w:fldChar w:fldCharType="begin"/>
    </w:r>
    <w:r>
      <w:rPr>
        <w:sz w:val="20"/>
        <w:szCs w:val="20"/>
        <w:rFonts w:ascii="Times New Roman" w:hAnsi="Times New Roman"/>
        <w:color w:val="718096"/>
      </w:rPr>
      <w:instrText xml:space="preserve"> PAGE </w:instrText>
    </w:r>
    <w:r>
      <w:rPr>
        <w:sz w:val="20"/>
        <w:szCs w:val="20"/>
        <w:rFonts w:ascii="Times New Roman" w:hAnsi="Times New Roman"/>
        <w:color w:val="718096"/>
      </w:rPr>
      <w:fldChar w:fldCharType="separate"/>
    </w:r>
    <w:r>
      <w:rPr>
        <w:sz w:val="20"/>
        <w:szCs w:val="20"/>
        <w:rFonts w:ascii="Times New Roman" w:hAnsi="Times New Roman"/>
        <w:color w:val="718096"/>
      </w:rPr>
      <w:t>1</w:t>
    </w:r>
    <w:r>
      <w:rPr>
        <w:sz w:val="20"/>
        <w:szCs w:val="20"/>
        <w:rFonts w:ascii="Times New Roman" w:hAnsi="Times New Roman"/>
        <w:color w:val="71809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