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VP-INSTRUCTOR</w:t>
      </w:r>
    </w:p>
    <w:p>
      <w:pPr>
        <w:spacing w:after="80"/>
      </w:pPr>
      <w:r>
        <w:rPr>
          <w:rFonts w:ascii="Calibri" w:hAnsi="Calibri"/>
          <w:b/>
          <w:color w:val="000000"/>
          <w:sz w:val="42"/>
        </w:rPr>
        <w:t>Instructor / Benchmark Guide</w:t>
      </w:r>
    </w:p>
    <w:p>
      <w:pPr>
        <w:spacing w:after="240"/>
      </w:pPr>
      <w:r>
        <w:rPr>
          <w:rFonts w:ascii="Calibri" w:hAnsi="Calibri"/>
          <w:color w:val="595959"/>
          <w:sz w:val="24"/>
        </w:rPr>
        <w:t>Hidden ground truth, issue map, expected findings and scoring rubric</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INSTRUCTOR ONLY - DO NOT DISTRIBUTE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r>
        <w:rPr>
          <w:rFonts w:ascii="Calibri" w:hAnsi="Calibri"/>
          <w:i w:val="0"/>
          <w:sz w:val="22"/>
        </w:rPr>
        <w:t>This guide is not part of the participant case file. It supplies canonical synthetic facts where the benchmark designer intends a ground truth, identifies genuinely unresolved questions, and prevents scoring from rewarding invented certainty.</w:t>
      </w:r>
    </w:p>
    <w:p>
      <w:pPr>
        <w:pStyle w:val="Heading1"/>
      </w:pPr>
      <w:r>
        <w:t>1. Case synopsis and hidden ground truth</w:t>
      </w:r>
    </w:p>
    <w:p>
      <w:r>
        <w:rPr>
          <w:rFonts w:ascii="Calibri" w:hAnsi="Calibri"/>
          <w:i w:val="0"/>
          <w:sz w:val="22"/>
        </w:rPr>
        <w:t>VertexPay is a real-business-style but wholly fictional Mumbai fintech. Aarav and Nisha founded it in 2019. Meridian invested INR 120 million in November 2022. By August 2025 the Company faced a genuine liquidity crisis and a material Nimbus customer problem. Aarav made serious governance and documentation errors, but the available evidence does not establish that he stole Company money or personally received Vertex Labs payments. Meridian and Kavya used the crisis to accelerate a control shift through procedurally defective meetings and a selective distressed bridge. Both sides therefore have substantial merits and vulnerabilities.</w:t>
      </w:r>
    </w:p>
    <w:p>
      <w:pPr>
        <w:pStyle w:val="ListBullet"/>
        <w:spacing w:after="80"/>
      </w:pPr>
      <w:r>
        <w:rPr>
          <w:rFonts w:ascii="Calibri" w:hAnsi="Calibri"/>
          <w:sz w:val="22"/>
        </w:rPr>
        <w:t>Canonical cap table: pre-Series A FD 8.0m; post-Series A 10.0m FD (9.5m issued/as-converted + 0.5m unallocated ESOP). Post-bridge: 14.5m issued and 15.0m FD before any ESOP top-up.</w:t>
      </w:r>
    </w:p>
    <w:p>
      <w:pPr>
        <w:pStyle w:val="ListBullet"/>
        <w:spacing w:after="80"/>
      </w:pPr>
      <w:r>
        <w:rPr>
          <w:rFonts w:ascii="Calibri" w:hAnsi="Calibri"/>
          <w:sz w:val="22"/>
        </w:rPr>
        <w:t>Aarav owns 4.05m throughout: 40.5% post-Series A FD; 27.0% post-bridge FD; 27.93% of post-bridge issued voting capital.</w:t>
      </w:r>
    </w:p>
    <w:p>
      <w:pPr>
        <w:pStyle w:val="ListBullet"/>
        <w:spacing w:after="80"/>
      </w:pPr>
      <w:r>
        <w:rPr>
          <w:rFonts w:ascii="Calibri" w:hAnsi="Calibri"/>
          <w:sz w:val="22"/>
        </w:rPr>
        <w:t>Meridian owns 2.0m before bridge and receives 4.0m: 40.0% post-bridge FD. Riverstone receives 1.0m: 6.67% FD.</w:t>
      </w:r>
    </w:p>
    <w:p>
      <w:pPr>
        <w:pStyle w:val="ListBullet"/>
        <w:spacing w:after="80"/>
      </w:pPr>
      <w:r>
        <w:rPr>
          <w:rFonts w:ascii="Calibri" w:hAnsi="Calibri"/>
          <w:sz w:val="22"/>
        </w:rPr>
        <w:t>The bridge had a real commercial rationale: on 9 September unrestricted cash was INR 13.4m and payroll/statutory outflow due by month-end was INR 18.9m. A funding solution was required.</w:t>
      </w:r>
    </w:p>
    <w:p>
      <w:pPr>
        <w:pStyle w:val="ListBullet"/>
        <w:spacing w:after="80"/>
      </w:pPr>
      <w:r>
        <w:rPr>
          <w:rFonts w:ascii="Calibri" w:hAnsi="Calibri"/>
          <w:sz w:val="22"/>
        </w:rPr>
        <w:t>No compliant 15-Business-Day pro rata offer was made. Nisha never waived pre-emption. Aarav proposed conditional funding at INR 6.00, not a committed September rescue on bridge terms.</w:t>
      </w:r>
    </w:p>
    <w:p>
      <w:pPr>
        <w:pStyle w:val="ListBullet"/>
        <w:spacing w:after="80"/>
      </w:pPr>
      <w:r>
        <w:rPr>
          <w:rFonts w:ascii="Calibri" w:hAnsi="Calibri"/>
          <w:sz w:val="22"/>
        </w:rPr>
        <w:t>Kavya's spouse was a fixed-fee adviser to Riverstone, not an owner. This creates at least an appearance/conflict disclosure issue; it is not canonical proof of statutory related-party status or secret benefit.</w:t>
      </w:r>
    </w:p>
    <w:p>
      <w:pPr>
        <w:pStyle w:val="ListBullet"/>
        <w:spacing w:after="80"/>
      </w:pPr>
      <w:r>
        <w:rPr>
          <w:rFonts w:ascii="Calibri" w:hAnsi="Calibri"/>
          <w:sz w:val="22"/>
        </w:rPr>
        <w:t>The INR 0.9m Riverstone shortfall was in fact withheld under a separate diligence mandate. The Company allotted fully paid shares before receiving that amount. There is no executed set-off agreement in the record.</w:t>
      </w:r>
    </w:p>
    <w:p>
      <w:pPr>
        <w:pStyle w:val="ListBullet"/>
        <w:spacing w:after="80"/>
      </w:pPr>
      <w:r>
        <w:rPr>
          <w:rFonts w:ascii="Calibri" w:hAnsi="Calibri"/>
          <w:sz w:val="22"/>
        </w:rPr>
        <w:t>Aarav instructed payment splitting and misleading narration. He believed funds secured hardware. Vertex Labs produced real services/hardware worth at least INR 19.8m and refunded INR 3.2m. INR 1.1m remains unexplained after combining support/refund, but tracing is incomplete.</w:t>
      </w:r>
    </w:p>
    <w:p>
      <w:pPr>
        <w:pStyle w:val="ListBullet"/>
        <w:spacing w:after="80"/>
      </w:pPr>
      <w:r>
        <w:rPr>
          <w:rFonts w:ascii="Calibri" w:hAnsi="Calibri"/>
          <w:sz w:val="22"/>
        </w:rPr>
        <w:t>Aarav's 'PA application in final review' email was inaccurate shorthand; Compliance immediately corrected it and Aarav accepted the correction. It supports carelessness and possible customer misrepresentation, not necessarily deliberate regulatory fraud.</w:t>
      </w:r>
    </w:p>
    <w:p>
      <w:pPr>
        <w:pStyle w:val="ListBullet"/>
        <w:spacing w:after="80"/>
      </w:pPr>
      <w:r>
        <w:rPr>
          <w:rFonts w:ascii="Calibri" w:hAnsi="Calibri"/>
          <w:sz w:val="22"/>
        </w:rPr>
        <w:t>The 12 September minutes were reconstructed on 5 October. Rohan approved suspension on 15 September but never approved a fraud finding. The minutes' implication of contemporaneous digital signature and later 'unanimous' language are false or materially misleading.</w:t>
      </w:r>
    </w:p>
    <w:p>
      <w:pPr>
        <w:pStyle w:val="ListBullet"/>
        <w:spacing w:after="80"/>
      </w:pPr>
      <w:r>
        <w:rPr>
          <w:rFonts w:ascii="Calibri" w:hAnsi="Calibri"/>
          <w:sz w:val="22"/>
        </w:rPr>
        <w:t>The bank mandate page was signed blank by Nisha on 11 September for contingency and dated before approval. Kavya knew the bank wanted it early. Activation occurred after the Board meeting, so authority and document-integrity questions are distinct.</w:t>
      </w:r>
    </w:p>
    <w:p>
      <w:pPr>
        <w:pStyle w:val="ListBullet"/>
        <w:spacing w:after="80"/>
      </w:pPr>
      <w:r>
        <w:rPr>
          <w:rFonts w:ascii="Calibri" w:hAnsi="Calibri"/>
          <w:sz w:val="22"/>
        </w:rPr>
        <w:t>Aarav received incomplete 12 September materials and initially a broken/disabled-account link. A link was resent shortly before the meeting; non-attendance was not a clean refusal.</w:t>
      </w:r>
    </w:p>
    <w:p>
      <w:pPr>
        <w:pStyle w:val="ListBullet"/>
        <w:spacing w:after="80"/>
      </w:pPr>
      <w:r>
        <w:rPr>
          <w:rFonts w:ascii="Calibri" w:hAnsi="Calibri"/>
          <w:sz w:val="22"/>
        </w:rPr>
        <w:t>EGM notice was sent to the register email but not SHA notice addresses, with a credible clear-notice issue. Aarav's full representations were not circulated and his waiting-room entry was deliberately not admitted after rapid voting.</w:t>
      </w:r>
    </w:p>
    <w:p>
      <w:pPr>
        <w:pStyle w:val="ListBullet"/>
        <w:spacing w:after="80"/>
      </w:pPr>
      <w:r>
        <w:rPr>
          <w:rFonts w:ascii="Calibri" w:hAnsi="Calibri"/>
          <w:sz w:val="22"/>
        </w:rPr>
        <w:t>Nimbus never demanded Aarav's removal. It did have genuine compliance/log concerns and ultimately terminated after governance instability and incomplete remediation.</w:t>
      </w:r>
    </w:p>
    <w:p>
      <w:pPr>
        <w:pStyle w:val="ListBullet"/>
        <w:spacing w:after="80"/>
      </w:pPr>
      <w:r>
        <w:rPr>
          <w:rFonts w:ascii="Calibri" w:hAnsi="Calibri"/>
          <w:sz w:val="22"/>
        </w:rPr>
        <w:t>No bad-leaver share transfer completed. The call notice alone did not change legal or beneficial ownership.</w:t>
      </w:r>
    </w:p>
    <w:p>
      <w:pPr>
        <w:pStyle w:val="Heading1"/>
      </w:pPr>
      <w:r>
        <w:t>2. Canonical chronology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vAlign w:val="top"/>
          </w:tcPr>
          <w:p>
            <w:pPr>
              <w:spacing w:after="40"/>
            </w:pPr>
            <w:r>
              <w:rPr>
                <w:rFonts w:ascii="Calibri" w:hAnsi="Calibri"/>
                <w:b/>
                <w:sz w:val="16"/>
              </w:rPr>
              <w:t>Date</w:t>
            </w:r>
          </w:p>
        </w:tc>
        <w:tc>
          <w:tcPr>
            <w:tcW w:type="dxa" w:w="7560"/>
            <w:shd w:fill="E8EEF5"/>
            <w:tcMar>
              <w:top w:w="80" w:type="dxa"/>
              <w:start w:w="120" w:type="dxa"/>
              <w:bottom w:w="80" w:type="dxa"/>
              <w:end w:w="120" w:type="dxa"/>
            </w:tcMar>
            <w:vAlign w:val="top"/>
          </w:tcPr>
          <w:p>
            <w:pPr>
              <w:spacing w:after="40"/>
            </w:pPr>
            <w:r>
              <w:rPr>
                <w:rFonts w:ascii="Calibri" w:hAnsi="Calibri"/>
                <w:b/>
                <w:sz w:val="16"/>
              </w:rPr>
              <w:t>Ground-truth event</w:t>
            </w:r>
          </w:p>
        </w:tc>
      </w:tr>
      <w:tr>
        <w:tc>
          <w:tcPr>
            <w:tcW w:type="dxa" w:w="1800"/>
            <w:tcMar>
              <w:top w:w="80" w:type="dxa"/>
              <w:start w:w="120" w:type="dxa"/>
              <w:bottom w:w="80" w:type="dxa"/>
              <w:end w:w="120" w:type="dxa"/>
            </w:tcMar>
            <w:vAlign w:val="top"/>
          </w:tcPr>
          <w:p>
            <w:pPr>
              <w:spacing w:after="40"/>
            </w:pPr>
            <w:r>
              <w:rPr>
                <w:rFonts w:ascii="Calibri" w:hAnsi="Calibri"/>
                <w:b w:val="0"/>
                <w:sz w:val="16"/>
              </w:rPr>
              <w:t>2019-06-28</w:t>
            </w:r>
          </w:p>
        </w:tc>
        <w:tc>
          <w:tcPr>
            <w:tcW w:type="dxa" w:w="7560"/>
            <w:tcMar>
              <w:top w:w="80" w:type="dxa"/>
              <w:start w:w="120" w:type="dxa"/>
              <w:bottom w:w="80" w:type="dxa"/>
              <w:end w:w="120" w:type="dxa"/>
            </w:tcMar>
            <w:vAlign w:val="top"/>
          </w:tcPr>
          <w:p>
            <w:pPr>
              <w:spacing w:after="40"/>
            </w:pPr>
            <w:r>
              <w:rPr>
                <w:rFonts w:ascii="Calibri" w:hAnsi="Calibri"/>
                <w:b w:val="0"/>
                <w:sz w:val="16"/>
              </w:rPr>
              <w:t>Company incorporated; Aarav 60%, Nisha 40% before seed financing.</w:t>
            </w:r>
          </w:p>
        </w:tc>
      </w:tr>
      <w:tr>
        <w:tc>
          <w:tcPr>
            <w:tcW w:type="dxa" w:w="1800"/>
            <w:tcMar>
              <w:top w:w="80" w:type="dxa"/>
              <w:start w:w="120" w:type="dxa"/>
              <w:bottom w:w="80" w:type="dxa"/>
              <w:end w:w="120" w:type="dxa"/>
            </w:tcMar>
            <w:vAlign w:val="top"/>
          </w:tcPr>
          <w:p>
            <w:pPr>
              <w:spacing w:after="40"/>
            </w:pPr>
            <w:r>
              <w:rPr>
                <w:rFonts w:ascii="Calibri" w:hAnsi="Calibri"/>
                <w:b w:val="0"/>
                <w:sz w:val="16"/>
              </w:rPr>
              <w:t>2022-09-26</w:t>
            </w:r>
          </w:p>
        </w:tc>
        <w:tc>
          <w:tcPr>
            <w:tcW w:type="dxa" w:w="7560"/>
            <w:tcMar>
              <w:top w:w="80" w:type="dxa"/>
              <w:start w:w="120" w:type="dxa"/>
              <w:bottom w:w="80" w:type="dxa"/>
              <w:end w:w="120" w:type="dxa"/>
            </w:tcMar>
            <w:vAlign w:val="top"/>
          </w:tcPr>
          <w:p>
            <w:pPr>
              <w:spacing w:after="40"/>
            </w:pPr>
            <w:r>
              <w:rPr>
                <w:rFonts w:ascii="Calibri" w:hAnsi="Calibri"/>
                <w:b w:val="0"/>
                <w:sz w:val="16"/>
              </w:rPr>
              <w:t>Series A term sheet signed at INR 60 per security; its valuation, investment amount and share count reconcile.</w:t>
            </w:r>
          </w:p>
        </w:tc>
      </w:tr>
      <w:tr>
        <w:tc>
          <w:tcPr>
            <w:tcW w:type="dxa" w:w="1800"/>
            <w:tcMar>
              <w:top w:w="80" w:type="dxa"/>
              <w:start w:w="120" w:type="dxa"/>
              <w:bottom w:w="80" w:type="dxa"/>
              <w:end w:w="120" w:type="dxa"/>
            </w:tcMar>
            <w:vAlign w:val="top"/>
          </w:tcPr>
          <w:p>
            <w:pPr>
              <w:spacing w:after="40"/>
            </w:pPr>
            <w:r>
              <w:rPr>
                <w:rFonts w:ascii="Calibri" w:hAnsi="Calibri"/>
                <w:b w:val="0"/>
                <w:sz w:val="16"/>
              </w:rPr>
              <w:t>2022-11-18</w:t>
            </w:r>
          </w:p>
        </w:tc>
        <w:tc>
          <w:tcPr>
            <w:tcW w:type="dxa" w:w="7560"/>
            <w:tcMar>
              <w:top w:w="80" w:type="dxa"/>
              <w:start w:w="120" w:type="dxa"/>
              <w:bottom w:w="80" w:type="dxa"/>
              <w:end w:w="120" w:type="dxa"/>
            </w:tcMar>
            <w:vAlign w:val="top"/>
          </w:tcPr>
          <w:p>
            <w:pPr>
              <w:spacing w:after="40"/>
            </w:pPr>
            <w:r>
              <w:rPr>
                <w:rFonts w:ascii="Calibri" w:hAnsi="Calibri"/>
                <w:b w:val="0"/>
                <w:sz w:val="16"/>
              </w:rPr>
              <w:t>Series A closing, SHA/employment/Articles adoption. SHA records INR 6 despite INR 120m for 2m securities. Hidden ground truth: INR 60 was the commercial price; INR 6 is a decimal drafting error. Bank received INR 120m.</w:t>
            </w:r>
          </w:p>
        </w:tc>
      </w:tr>
      <w:tr>
        <w:tc>
          <w:tcPr>
            <w:tcW w:type="dxa" w:w="1800"/>
            <w:tcMar>
              <w:top w:w="80" w:type="dxa"/>
              <w:start w:w="120" w:type="dxa"/>
              <w:bottom w:w="80" w:type="dxa"/>
              <w:end w:w="120" w:type="dxa"/>
            </w:tcMar>
            <w:vAlign w:val="top"/>
          </w:tcPr>
          <w:p>
            <w:pPr>
              <w:spacing w:after="40"/>
            </w:pPr>
            <w:r>
              <w:rPr>
                <w:rFonts w:ascii="Calibri" w:hAnsi="Calibri"/>
                <w:b w:val="0"/>
                <w:sz w:val="16"/>
              </w:rPr>
              <w:t>2024-11-18</w:t>
            </w:r>
          </w:p>
        </w:tc>
        <w:tc>
          <w:tcPr>
            <w:tcW w:type="dxa" w:w="7560"/>
            <w:tcMar>
              <w:top w:w="80" w:type="dxa"/>
              <w:start w:w="120" w:type="dxa"/>
              <w:bottom w:w="80" w:type="dxa"/>
              <w:end w:w="120" w:type="dxa"/>
            </w:tcMar>
            <w:vAlign w:val="top"/>
          </w:tcPr>
          <w:p>
            <w:pPr>
              <w:spacing w:after="40"/>
            </w:pPr>
            <w:r>
              <w:rPr>
                <w:rFonts w:ascii="Calibri" w:hAnsi="Calibri"/>
                <w:b w:val="0"/>
                <w:sz w:val="16"/>
              </w:rPr>
              <w:t>All founder reverse-vesting completed; later bad-leaver clause concerns vested shares only.</w:t>
            </w:r>
          </w:p>
        </w:tc>
      </w:tr>
      <w:tr>
        <w:tc>
          <w:tcPr>
            <w:tcW w:type="dxa" w:w="1800"/>
            <w:tcMar>
              <w:top w:w="80" w:type="dxa"/>
              <w:start w:w="120" w:type="dxa"/>
              <w:bottom w:w="80" w:type="dxa"/>
              <w:end w:w="120" w:type="dxa"/>
            </w:tcMar>
            <w:vAlign w:val="top"/>
          </w:tcPr>
          <w:p>
            <w:pPr>
              <w:spacing w:after="40"/>
            </w:pPr>
            <w:r>
              <w:rPr>
                <w:rFonts w:ascii="Calibri" w:hAnsi="Calibri"/>
                <w:b w:val="0"/>
                <w:sz w:val="16"/>
              </w:rPr>
              <w:t>2024-12-15</w:t>
            </w:r>
          </w:p>
        </w:tc>
        <w:tc>
          <w:tcPr>
            <w:tcW w:type="dxa" w:w="7560"/>
            <w:tcMar>
              <w:top w:w="80" w:type="dxa"/>
              <w:start w:w="120" w:type="dxa"/>
              <w:bottom w:w="80" w:type="dxa"/>
              <w:end w:w="120" w:type="dxa"/>
            </w:tcMar>
            <w:vAlign w:val="top"/>
          </w:tcPr>
          <w:p>
            <w:pPr>
              <w:spacing w:after="40"/>
            </w:pPr>
            <w:r>
              <w:rPr>
                <w:rFonts w:ascii="Calibri" w:hAnsi="Calibri"/>
                <w:b w:val="0"/>
                <w:sz w:val="16"/>
              </w:rPr>
              <w:t>Nimbus MSA signed.</w:t>
            </w:r>
          </w:p>
        </w:tc>
      </w:tr>
      <w:tr>
        <w:tc>
          <w:tcPr>
            <w:tcW w:type="dxa" w:w="1800"/>
            <w:tcMar>
              <w:top w:w="80" w:type="dxa"/>
              <w:start w:w="120" w:type="dxa"/>
              <w:bottom w:w="80" w:type="dxa"/>
              <w:end w:w="120" w:type="dxa"/>
            </w:tcMar>
            <w:vAlign w:val="top"/>
          </w:tcPr>
          <w:p>
            <w:pPr>
              <w:spacing w:after="40"/>
            </w:pPr>
            <w:r>
              <w:rPr>
                <w:rFonts w:ascii="Calibri" w:hAnsi="Calibri"/>
                <w:b w:val="0"/>
                <w:sz w:val="16"/>
              </w:rPr>
              <w:t>2025-07-16/17</w:t>
            </w:r>
          </w:p>
        </w:tc>
        <w:tc>
          <w:tcPr>
            <w:tcW w:type="dxa" w:w="7560"/>
            <w:tcMar>
              <w:top w:w="80" w:type="dxa"/>
              <w:start w:w="120" w:type="dxa"/>
              <w:bottom w:w="80" w:type="dxa"/>
              <w:end w:w="120" w:type="dxa"/>
            </w:tcMar>
            <w:vAlign w:val="top"/>
          </w:tcPr>
          <w:p>
            <w:pPr>
              <w:spacing w:after="40"/>
            </w:pPr>
            <w:r>
              <w:rPr>
                <w:rFonts w:ascii="Calibri" w:hAnsi="Calibri"/>
                <w:b w:val="0"/>
                <w:sz w:val="16"/>
              </w:rPr>
              <w:t>Aarav instructs split payments/narration; Finance and Nisha know at least part of the payments.</w:t>
            </w:r>
          </w:p>
        </w:tc>
      </w:tr>
      <w:tr>
        <w:tc>
          <w:tcPr>
            <w:tcW w:type="dxa" w:w="1800"/>
            <w:tcMar>
              <w:top w:w="80" w:type="dxa"/>
              <w:start w:w="120" w:type="dxa"/>
              <w:bottom w:w="80" w:type="dxa"/>
              <w:end w:w="120" w:type="dxa"/>
            </w:tcMar>
            <w:vAlign w:val="top"/>
          </w:tcPr>
          <w:p>
            <w:pPr>
              <w:spacing w:after="40"/>
            </w:pPr>
            <w:r>
              <w:rPr>
                <w:rFonts w:ascii="Calibri" w:hAnsi="Calibri"/>
                <w:b w:val="0"/>
                <w:sz w:val="16"/>
              </w:rPr>
              <w:t>2025-08-07</w:t>
            </w:r>
          </w:p>
        </w:tc>
        <w:tc>
          <w:tcPr>
            <w:tcW w:type="dxa" w:w="7560"/>
            <w:tcMar>
              <w:top w:w="80" w:type="dxa"/>
              <w:start w:w="120" w:type="dxa"/>
              <w:bottom w:w="80" w:type="dxa"/>
              <w:end w:w="120" w:type="dxa"/>
            </w:tcMar>
            <w:vAlign w:val="top"/>
          </w:tcPr>
          <w:p>
            <w:pPr>
              <w:spacing w:after="40"/>
            </w:pPr>
            <w:r>
              <w:rPr>
                <w:rFonts w:ascii="Calibri" w:hAnsi="Calibri"/>
                <w:b w:val="0"/>
                <w:sz w:val="16"/>
              </w:rPr>
              <w:t>Board flags cash, PA wording and Vertex Labs approval gaps.</w:t>
            </w:r>
          </w:p>
        </w:tc>
      </w:tr>
      <w:tr>
        <w:tc>
          <w:tcPr>
            <w:tcW w:type="dxa" w:w="1800"/>
            <w:tcMar>
              <w:top w:w="80" w:type="dxa"/>
              <w:start w:w="120" w:type="dxa"/>
              <w:bottom w:w="80" w:type="dxa"/>
              <w:end w:w="120" w:type="dxa"/>
            </w:tcMar>
            <w:vAlign w:val="top"/>
          </w:tcPr>
          <w:p>
            <w:pPr>
              <w:spacing w:after="40"/>
            </w:pPr>
            <w:r>
              <w:rPr>
                <w:rFonts w:ascii="Calibri" w:hAnsi="Calibri"/>
                <w:b w:val="0"/>
                <w:sz w:val="16"/>
              </w:rPr>
              <w:t>2025-08-21</w:t>
            </w:r>
          </w:p>
        </w:tc>
        <w:tc>
          <w:tcPr>
            <w:tcW w:type="dxa" w:w="7560"/>
            <w:tcMar>
              <w:top w:w="80" w:type="dxa"/>
              <w:start w:w="120" w:type="dxa"/>
              <w:bottom w:w="80" w:type="dxa"/>
              <w:end w:w="120" w:type="dxa"/>
            </w:tcMar>
            <w:vAlign w:val="top"/>
          </w:tcPr>
          <w:p>
            <w:pPr>
              <w:spacing w:after="40"/>
            </w:pPr>
            <w:r>
              <w:rPr>
                <w:rFonts w:ascii="Calibri" w:hAnsi="Calibri"/>
                <w:b w:val="0"/>
                <w:sz w:val="16"/>
              </w:rPr>
              <w:t>Aarav sends inaccurate PA-review wording; Compliance corrects same evening.</w:t>
            </w:r>
          </w:p>
        </w:tc>
      </w:tr>
      <w:tr>
        <w:tc>
          <w:tcPr>
            <w:tcW w:type="dxa" w:w="1800"/>
            <w:tcMar>
              <w:top w:w="80" w:type="dxa"/>
              <w:start w:w="120" w:type="dxa"/>
              <w:bottom w:w="80" w:type="dxa"/>
              <w:end w:w="120" w:type="dxa"/>
            </w:tcMar>
            <w:vAlign w:val="top"/>
          </w:tcPr>
          <w:p>
            <w:pPr>
              <w:spacing w:after="40"/>
            </w:pPr>
            <w:r>
              <w:rPr>
                <w:rFonts w:ascii="Calibri" w:hAnsi="Calibri"/>
                <w:b w:val="0"/>
                <w:sz w:val="16"/>
              </w:rPr>
              <w:t>2025-08-25/26</w:t>
            </w:r>
          </w:p>
        </w:tc>
        <w:tc>
          <w:tcPr>
            <w:tcW w:type="dxa" w:w="7560"/>
            <w:tcMar>
              <w:top w:w="80" w:type="dxa"/>
              <w:start w:w="120" w:type="dxa"/>
              <w:bottom w:w="80" w:type="dxa"/>
              <w:end w:w="120" w:type="dxa"/>
            </w:tcMar>
            <w:vAlign w:val="top"/>
          </w:tcPr>
          <w:p>
            <w:pPr>
              <w:spacing w:after="40"/>
            </w:pPr>
            <w:r>
              <w:rPr>
                <w:rFonts w:ascii="Calibri" w:hAnsi="Calibri"/>
                <w:b w:val="0"/>
                <w:sz w:val="16"/>
              </w:rPr>
              <w:t>Nimbus meeting; letter dated 22 Aug actually generated and sent 26 Aug.</w:t>
            </w:r>
          </w:p>
        </w:tc>
      </w:tr>
      <w:tr>
        <w:tc>
          <w:tcPr>
            <w:tcW w:type="dxa" w:w="1800"/>
            <w:tcMar>
              <w:top w:w="80" w:type="dxa"/>
              <w:start w:w="120" w:type="dxa"/>
              <w:bottom w:w="80" w:type="dxa"/>
              <w:end w:w="120" w:type="dxa"/>
            </w:tcMar>
            <w:vAlign w:val="top"/>
          </w:tcPr>
          <w:p>
            <w:pPr>
              <w:spacing w:after="40"/>
            </w:pPr>
            <w:r>
              <w:rPr>
                <w:rFonts w:ascii="Calibri" w:hAnsi="Calibri"/>
                <w:b w:val="0"/>
                <w:sz w:val="16"/>
              </w:rPr>
              <w:t>2025-08-28</w:t>
            </w:r>
          </w:p>
        </w:tc>
        <w:tc>
          <w:tcPr>
            <w:tcW w:type="dxa" w:w="7560"/>
            <w:tcMar>
              <w:top w:w="80" w:type="dxa"/>
              <w:start w:w="120" w:type="dxa"/>
              <w:bottom w:w="80" w:type="dxa"/>
              <w:end w:w="120" w:type="dxa"/>
            </w:tcMar>
            <w:vAlign w:val="top"/>
          </w:tcPr>
          <w:p>
            <w:pPr>
              <w:spacing w:after="40"/>
            </w:pPr>
            <w:r>
              <w:rPr>
                <w:rFonts w:ascii="Calibri" w:hAnsi="Calibri"/>
                <w:b w:val="0"/>
                <w:sz w:val="16"/>
              </w:rPr>
              <w:t>Board continues after Aarav leaves; forensic review approved; no misconduct finding.</w:t>
            </w:r>
          </w:p>
        </w:tc>
      </w:tr>
      <w:tr>
        <w:tc>
          <w:tcPr>
            <w:tcW w:type="dxa" w:w="1800"/>
            <w:tcMar>
              <w:top w:w="80" w:type="dxa"/>
              <w:start w:w="120" w:type="dxa"/>
              <w:bottom w:w="80" w:type="dxa"/>
              <w:end w:w="120" w:type="dxa"/>
            </w:tcMar>
            <w:vAlign w:val="top"/>
          </w:tcPr>
          <w:p>
            <w:pPr>
              <w:spacing w:after="40"/>
            </w:pPr>
            <w:r>
              <w:rPr>
                <w:rFonts w:ascii="Calibri" w:hAnsi="Calibri"/>
                <w:b w:val="0"/>
                <w:sz w:val="16"/>
              </w:rPr>
              <w:t>2025-09-06</w:t>
            </w:r>
          </w:p>
        </w:tc>
        <w:tc>
          <w:tcPr>
            <w:tcW w:type="dxa" w:w="7560"/>
            <w:tcMar>
              <w:top w:w="80" w:type="dxa"/>
              <w:start w:w="120" w:type="dxa"/>
              <w:bottom w:w="80" w:type="dxa"/>
              <w:end w:w="120" w:type="dxa"/>
            </w:tcMar>
            <w:vAlign w:val="top"/>
          </w:tcPr>
          <w:p>
            <w:pPr>
              <w:spacing w:after="40"/>
            </w:pPr>
            <w:r>
              <w:rPr>
                <w:rFonts w:ascii="Calibri" w:hAnsi="Calibri"/>
                <w:b w:val="0"/>
                <w:sz w:val="16"/>
              </w:rPr>
              <w:t>Meridian/Riverstone allocation discussed; Nisha does not waive; Rohan insists equal offer.</w:t>
            </w:r>
          </w:p>
        </w:tc>
      </w:tr>
      <w:tr>
        <w:tc>
          <w:tcPr>
            <w:tcW w:type="dxa" w:w="1800"/>
            <w:tcMar>
              <w:top w:w="80" w:type="dxa"/>
              <w:start w:w="120" w:type="dxa"/>
              <w:bottom w:w="80" w:type="dxa"/>
              <w:end w:w="120" w:type="dxa"/>
            </w:tcMar>
            <w:vAlign w:val="top"/>
          </w:tcPr>
          <w:p>
            <w:pPr>
              <w:spacing w:after="40"/>
            </w:pPr>
            <w:r>
              <w:rPr>
                <w:rFonts w:ascii="Calibri" w:hAnsi="Calibri"/>
                <w:b w:val="0"/>
                <w:sz w:val="16"/>
              </w:rPr>
              <w:t>2025-09-08/09</w:t>
            </w:r>
          </w:p>
        </w:tc>
        <w:tc>
          <w:tcPr>
            <w:tcW w:type="dxa" w:w="7560"/>
            <w:tcMar>
              <w:top w:w="80" w:type="dxa"/>
              <w:start w:w="120" w:type="dxa"/>
              <w:bottom w:w="80" w:type="dxa"/>
              <w:end w:w="120" w:type="dxa"/>
            </w:tcMar>
            <w:vAlign w:val="top"/>
          </w:tcPr>
          <w:p>
            <w:pPr>
              <w:spacing w:after="40"/>
            </w:pPr>
            <w:r>
              <w:rPr>
                <w:rFonts w:ascii="Calibri" w:hAnsi="Calibri"/>
                <w:b w:val="0"/>
                <w:sz w:val="16"/>
              </w:rPr>
              <w:t>Meridian special notice and Company EGM notice.</w:t>
            </w:r>
          </w:p>
        </w:tc>
      </w:tr>
      <w:tr>
        <w:tc>
          <w:tcPr>
            <w:tcW w:type="dxa" w:w="1800"/>
            <w:tcMar>
              <w:top w:w="80" w:type="dxa"/>
              <w:start w:w="120" w:type="dxa"/>
              <w:bottom w:w="80" w:type="dxa"/>
              <w:end w:w="120" w:type="dxa"/>
            </w:tcMar>
            <w:vAlign w:val="top"/>
          </w:tcPr>
          <w:p>
            <w:pPr>
              <w:spacing w:after="40"/>
            </w:pPr>
            <w:r>
              <w:rPr>
                <w:rFonts w:ascii="Calibri" w:hAnsi="Calibri"/>
                <w:b w:val="0"/>
                <w:sz w:val="16"/>
              </w:rPr>
              <w:t>2025-09-10/12</w:t>
            </w:r>
          </w:p>
        </w:tc>
        <w:tc>
          <w:tcPr>
            <w:tcW w:type="dxa" w:w="7560"/>
            <w:tcMar>
              <w:top w:w="80" w:type="dxa"/>
              <w:start w:w="120" w:type="dxa"/>
              <w:bottom w:w="80" w:type="dxa"/>
              <w:end w:w="120" w:type="dxa"/>
            </w:tcMar>
            <w:vAlign w:val="top"/>
          </w:tcPr>
          <w:p>
            <w:pPr>
              <w:spacing w:after="40"/>
            </w:pPr>
            <w:r>
              <w:rPr>
                <w:rFonts w:ascii="Calibri" w:hAnsi="Calibri"/>
                <w:b w:val="0"/>
                <w:sz w:val="16"/>
              </w:rPr>
              <w:t>Urgent Board notice, incomplete delivery, meeting, suspension/bridge/EGM/bank resolutions.</w:t>
            </w:r>
          </w:p>
        </w:tc>
      </w:tr>
      <w:tr>
        <w:tc>
          <w:tcPr>
            <w:tcW w:type="dxa" w:w="1800"/>
            <w:tcMar>
              <w:top w:w="80" w:type="dxa"/>
              <w:start w:w="120" w:type="dxa"/>
              <w:bottom w:w="80" w:type="dxa"/>
              <w:end w:w="120" w:type="dxa"/>
            </w:tcMar>
            <w:vAlign w:val="top"/>
          </w:tcPr>
          <w:p>
            <w:pPr>
              <w:spacing w:after="40"/>
            </w:pPr>
            <w:r>
              <w:rPr>
                <w:rFonts w:ascii="Calibri" w:hAnsi="Calibri"/>
                <w:b w:val="0"/>
                <w:sz w:val="16"/>
              </w:rPr>
              <w:t>2025-09-15</w:t>
            </w:r>
          </w:p>
        </w:tc>
        <w:tc>
          <w:tcPr>
            <w:tcW w:type="dxa" w:w="7560"/>
            <w:tcMar>
              <w:top w:w="80" w:type="dxa"/>
              <w:start w:w="120" w:type="dxa"/>
              <w:bottom w:w="80" w:type="dxa"/>
              <w:end w:w="120" w:type="dxa"/>
            </w:tcMar>
            <w:vAlign w:val="top"/>
          </w:tcPr>
          <w:p>
            <w:pPr>
              <w:spacing w:after="40"/>
            </w:pPr>
            <w:r>
              <w:rPr>
                <w:rFonts w:ascii="Calibri" w:hAnsi="Calibri"/>
                <w:b w:val="0"/>
                <w:sz w:val="16"/>
              </w:rPr>
              <w:t>Rohan approves suspension only; later minutes imply more.</w:t>
            </w:r>
          </w:p>
        </w:tc>
      </w:tr>
      <w:tr>
        <w:tc>
          <w:tcPr>
            <w:tcW w:type="dxa" w:w="1800"/>
            <w:tcMar>
              <w:top w:w="80" w:type="dxa"/>
              <w:start w:w="120" w:type="dxa"/>
              <w:bottom w:w="80" w:type="dxa"/>
              <w:end w:w="120" w:type="dxa"/>
            </w:tcMar>
            <w:vAlign w:val="top"/>
          </w:tcPr>
          <w:p>
            <w:pPr>
              <w:spacing w:after="40"/>
            </w:pPr>
            <w:r>
              <w:rPr>
                <w:rFonts w:ascii="Calibri" w:hAnsi="Calibri"/>
                <w:b w:val="0"/>
                <w:sz w:val="16"/>
              </w:rPr>
              <w:t>2025-09-23</w:t>
            </w:r>
          </w:p>
        </w:tc>
        <w:tc>
          <w:tcPr>
            <w:tcW w:type="dxa" w:w="7560"/>
            <w:tcMar>
              <w:top w:w="80" w:type="dxa"/>
              <w:start w:w="120" w:type="dxa"/>
              <w:bottom w:w="80" w:type="dxa"/>
              <w:end w:w="120" w:type="dxa"/>
            </w:tcMar>
            <w:vAlign w:val="top"/>
          </w:tcPr>
          <w:p>
            <w:pPr>
              <w:spacing w:after="40"/>
            </w:pPr>
            <w:r>
              <w:rPr>
                <w:rFonts w:ascii="Calibri" w:hAnsi="Calibri"/>
                <w:b w:val="0"/>
                <w:sz w:val="16"/>
              </w:rPr>
              <w:t>Aarav sends representations; full text withheld.</w:t>
            </w:r>
          </w:p>
        </w:tc>
      </w:tr>
      <w:tr>
        <w:tc>
          <w:tcPr>
            <w:tcW w:type="dxa" w:w="1800"/>
            <w:tcMar>
              <w:top w:w="80" w:type="dxa"/>
              <w:start w:w="120" w:type="dxa"/>
              <w:bottom w:w="80" w:type="dxa"/>
              <w:end w:w="120" w:type="dxa"/>
            </w:tcMar>
            <w:vAlign w:val="top"/>
          </w:tcPr>
          <w:p>
            <w:pPr>
              <w:spacing w:after="40"/>
            </w:pPr>
            <w:r>
              <w:rPr>
                <w:rFonts w:ascii="Calibri" w:hAnsi="Calibri"/>
                <w:b w:val="0"/>
                <w:sz w:val="16"/>
              </w:rPr>
              <w:t>2025-09-30</w:t>
            </w:r>
          </w:p>
        </w:tc>
        <w:tc>
          <w:tcPr>
            <w:tcW w:type="dxa" w:w="7560"/>
            <w:tcMar>
              <w:top w:w="80" w:type="dxa"/>
              <w:start w:w="120" w:type="dxa"/>
              <w:bottom w:w="80" w:type="dxa"/>
              <w:end w:w="120" w:type="dxa"/>
            </w:tcMar>
            <w:vAlign w:val="top"/>
          </w:tcPr>
          <w:p>
            <w:pPr>
              <w:spacing w:after="40"/>
            </w:pPr>
            <w:r>
              <w:rPr>
                <w:rFonts w:ascii="Calibri" w:hAnsi="Calibri"/>
                <w:b w:val="0"/>
                <w:sz w:val="16"/>
              </w:rPr>
              <w:t>EGM votes before Aarav joins; resolutions declared passed.</w:t>
            </w:r>
          </w:p>
        </w:tc>
      </w:tr>
      <w:tr>
        <w:tc>
          <w:tcPr>
            <w:tcW w:type="dxa" w:w="1800"/>
            <w:tcMar>
              <w:top w:w="80" w:type="dxa"/>
              <w:start w:w="120" w:type="dxa"/>
              <w:bottom w:w="80" w:type="dxa"/>
              <w:end w:w="120" w:type="dxa"/>
            </w:tcMar>
            <w:vAlign w:val="top"/>
          </w:tcPr>
          <w:p>
            <w:pPr>
              <w:spacing w:after="40"/>
            </w:pPr>
            <w:r>
              <w:rPr>
                <w:rFonts w:ascii="Calibri" w:hAnsi="Calibri"/>
                <w:b w:val="0"/>
                <w:sz w:val="16"/>
              </w:rPr>
              <w:t>2025-10-01</w:t>
            </w:r>
          </w:p>
        </w:tc>
        <w:tc>
          <w:tcPr>
            <w:tcW w:type="dxa" w:w="7560"/>
            <w:tcMar>
              <w:top w:w="80" w:type="dxa"/>
              <w:start w:w="120" w:type="dxa"/>
              <w:bottom w:w="80" w:type="dxa"/>
              <w:end w:w="120" w:type="dxa"/>
            </w:tcMar>
            <w:vAlign w:val="top"/>
          </w:tcPr>
          <w:p>
            <w:pPr>
              <w:spacing w:after="40"/>
            </w:pPr>
            <w:r>
              <w:rPr>
                <w:rFonts w:ascii="Calibri" w:hAnsi="Calibri"/>
                <w:b w:val="0"/>
                <w:sz w:val="16"/>
              </w:rPr>
              <w:t>Board allots shares, terminates Aarav and issues bad-leaver call.</w:t>
            </w:r>
          </w:p>
        </w:tc>
      </w:tr>
      <w:tr>
        <w:tc>
          <w:tcPr>
            <w:tcW w:type="dxa" w:w="1800"/>
            <w:tcMar>
              <w:top w:w="80" w:type="dxa"/>
              <w:start w:w="120" w:type="dxa"/>
              <w:bottom w:w="80" w:type="dxa"/>
              <w:end w:w="120" w:type="dxa"/>
            </w:tcMar>
            <w:vAlign w:val="top"/>
          </w:tcPr>
          <w:p>
            <w:pPr>
              <w:spacing w:after="40"/>
            </w:pPr>
            <w:r>
              <w:rPr>
                <w:rFonts w:ascii="Calibri" w:hAnsi="Calibri"/>
                <w:b w:val="0"/>
                <w:sz w:val="16"/>
              </w:rPr>
              <w:t>2025-10-03/04</w:t>
            </w:r>
          </w:p>
        </w:tc>
        <w:tc>
          <w:tcPr>
            <w:tcW w:type="dxa" w:w="7560"/>
            <w:tcMar>
              <w:top w:w="80" w:type="dxa"/>
              <w:start w:w="120" w:type="dxa"/>
              <w:bottom w:w="80" w:type="dxa"/>
              <w:end w:w="120" w:type="dxa"/>
            </w:tcMar>
            <w:vAlign w:val="top"/>
          </w:tcPr>
          <w:p>
            <w:pPr>
              <w:spacing w:after="40"/>
            </w:pPr>
            <w:r>
              <w:rPr>
                <w:rFonts w:ascii="Calibri" w:hAnsi="Calibri"/>
                <w:b w:val="0"/>
                <w:sz w:val="16"/>
              </w:rPr>
              <w:t>Subscription receipts: INR 72m + INR 17.1m; shortfall persists.</w:t>
            </w:r>
          </w:p>
        </w:tc>
      </w:tr>
      <w:tr>
        <w:tc>
          <w:tcPr>
            <w:tcW w:type="dxa" w:w="1800"/>
            <w:tcMar>
              <w:top w:w="80" w:type="dxa"/>
              <w:start w:w="120" w:type="dxa"/>
              <w:bottom w:w="80" w:type="dxa"/>
              <w:end w:w="120" w:type="dxa"/>
            </w:tcMar>
            <w:vAlign w:val="top"/>
          </w:tcPr>
          <w:p>
            <w:pPr>
              <w:spacing w:after="40"/>
            </w:pPr>
            <w:r>
              <w:rPr>
                <w:rFonts w:ascii="Calibri" w:hAnsi="Calibri"/>
                <w:b w:val="0"/>
                <w:sz w:val="16"/>
              </w:rPr>
              <w:t>2025-10-05</w:t>
            </w:r>
          </w:p>
        </w:tc>
        <w:tc>
          <w:tcPr>
            <w:tcW w:type="dxa" w:w="7560"/>
            <w:tcMar>
              <w:top w:w="80" w:type="dxa"/>
              <w:start w:w="120" w:type="dxa"/>
              <w:bottom w:w="80" w:type="dxa"/>
              <w:end w:w="120" w:type="dxa"/>
            </w:tcMar>
            <w:vAlign w:val="top"/>
          </w:tcPr>
          <w:p>
            <w:pPr>
              <w:spacing w:after="40"/>
            </w:pPr>
            <w:r>
              <w:rPr>
                <w:rFonts w:ascii="Calibri" w:hAnsi="Calibri"/>
                <w:b w:val="0"/>
                <w:sz w:val="16"/>
              </w:rPr>
              <w:t>12 September minutes reconstructed.</w:t>
            </w:r>
          </w:p>
        </w:tc>
      </w:tr>
      <w:tr>
        <w:tc>
          <w:tcPr>
            <w:tcW w:type="dxa" w:w="1800"/>
            <w:tcMar>
              <w:top w:w="80" w:type="dxa"/>
              <w:start w:w="120" w:type="dxa"/>
              <w:bottom w:w="80" w:type="dxa"/>
              <w:end w:w="120" w:type="dxa"/>
            </w:tcMar>
            <w:vAlign w:val="top"/>
          </w:tcPr>
          <w:p>
            <w:pPr>
              <w:spacing w:after="40"/>
            </w:pPr>
            <w:r>
              <w:rPr>
                <w:rFonts w:ascii="Calibri" w:hAnsi="Calibri"/>
                <w:b w:val="0"/>
                <w:sz w:val="16"/>
              </w:rPr>
              <w:t>2025-10-06/13</w:t>
            </w:r>
          </w:p>
        </w:tc>
        <w:tc>
          <w:tcPr>
            <w:tcW w:type="dxa" w:w="7560"/>
            <w:tcMar>
              <w:top w:w="80" w:type="dxa"/>
              <w:start w:w="120" w:type="dxa"/>
              <w:bottom w:w="80" w:type="dxa"/>
              <w:end w:w="120" w:type="dxa"/>
            </w:tcMar>
            <w:vAlign w:val="top"/>
          </w:tcPr>
          <w:p>
            <w:pPr>
              <w:spacing w:after="40"/>
            </w:pPr>
            <w:r>
              <w:rPr>
                <w:rFonts w:ascii="Calibri" w:hAnsi="Calibri"/>
                <w:b w:val="0"/>
                <w:sz w:val="16"/>
              </w:rPr>
              <w:t>Notice and reply.</w:t>
            </w:r>
          </w:p>
        </w:tc>
      </w:tr>
      <w:tr>
        <w:tc>
          <w:tcPr>
            <w:tcW w:type="dxa" w:w="1800"/>
            <w:tcMar>
              <w:top w:w="80" w:type="dxa"/>
              <w:start w:w="120" w:type="dxa"/>
              <w:bottom w:w="80" w:type="dxa"/>
              <w:end w:w="120" w:type="dxa"/>
            </w:tcMar>
            <w:vAlign w:val="top"/>
          </w:tcPr>
          <w:p>
            <w:pPr>
              <w:spacing w:after="40"/>
            </w:pPr>
            <w:r>
              <w:rPr>
                <w:rFonts w:ascii="Calibri" w:hAnsi="Calibri"/>
                <w:b w:val="0"/>
                <w:sz w:val="16"/>
              </w:rPr>
              <w:t>2025-10-20</w:t>
            </w:r>
          </w:p>
        </w:tc>
        <w:tc>
          <w:tcPr>
            <w:tcW w:type="dxa" w:w="7560"/>
            <w:tcMar>
              <w:top w:w="80" w:type="dxa"/>
              <w:start w:w="120" w:type="dxa"/>
              <w:bottom w:w="80" w:type="dxa"/>
              <w:end w:w="120" w:type="dxa"/>
            </w:tcMar>
            <w:vAlign w:val="top"/>
          </w:tcPr>
          <w:p>
            <w:pPr>
              <w:spacing w:after="40"/>
            </w:pPr>
            <w:r>
              <w:rPr>
                <w:rFonts w:ascii="Calibri" w:hAnsi="Calibri"/>
                <w:b w:val="0"/>
                <w:sz w:val="16"/>
              </w:rPr>
              <w:t>Draft NCLT petition and IA.</w:t>
            </w:r>
          </w:p>
        </w:tc>
      </w:tr>
    </w:tbl>
    <w:p>
      <w:pPr>
        <w:spacing w:after="40"/>
      </w:pPr>
    </w:p>
    <w:p>
      <w:pPr>
        <w:pStyle w:val="Heading1"/>
      </w:pPr>
      <w:r>
        <w:t>3. Planted contradiction and issue inventory</w:t>
      </w:r>
    </w:p>
    <w:tbl>
      <w:tblPr>
        <w:tblStyle w:val="TableGrid"/>
        <w:tblW w:type="dxa" w:w="9360"/>
        <w:jc w:val="left"/>
        <w:tblLayout w:type="fixed"/>
        <w:tblLook w:firstColumn="1" w:firstRow="1" w:lastColumn="0" w:lastRow="0" w:noHBand="0" w:noVBand="1" w:val="04A0"/>
        <w:tblInd w:w="120" w:type="dxa"/>
      </w:tblPr>
      <w:tblGrid>
        <w:gridCol w:w="792"/>
        <w:gridCol w:w="1800"/>
        <w:gridCol w:w="2448"/>
        <w:gridCol w:w="4320"/>
      </w:tblGrid>
      <w:tr>
        <w:trPr>
          <w:tblHeader w:val="true"/>
        </w:trPr>
        <w:tc>
          <w:tcPr>
            <w:tcW w:type="dxa" w:w="792"/>
            <w:shd w:fill="E8EEF5"/>
            <w:tcMar>
              <w:top w:w="80" w:type="dxa"/>
              <w:start w:w="120" w:type="dxa"/>
              <w:bottom w:w="80" w:type="dxa"/>
              <w:end w:w="120" w:type="dxa"/>
            </w:tcMar>
            <w:vAlign w:val="top"/>
          </w:tcPr>
          <w:p>
            <w:pPr>
              <w:spacing w:after="40"/>
            </w:pPr>
            <w:r>
              <w:rPr>
                <w:rFonts w:ascii="Calibri" w:hAnsi="Calibri"/>
                <w:b/>
                <w:sz w:val="14"/>
              </w:rPr>
              <w:t>ID</w:t>
            </w:r>
          </w:p>
        </w:tc>
        <w:tc>
          <w:tcPr>
            <w:tcW w:type="dxa" w:w="1800"/>
            <w:shd w:fill="E8EEF5"/>
            <w:tcMar>
              <w:top w:w="80" w:type="dxa"/>
              <w:start w:w="120" w:type="dxa"/>
              <w:bottom w:w="80" w:type="dxa"/>
              <w:end w:w="120" w:type="dxa"/>
            </w:tcMar>
            <w:vAlign w:val="top"/>
          </w:tcPr>
          <w:p>
            <w:pPr>
              <w:spacing w:after="40"/>
            </w:pPr>
            <w:r>
              <w:rPr>
                <w:rFonts w:ascii="Calibri" w:hAnsi="Calibri"/>
                <w:b/>
                <w:sz w:val="14"/>
              </w:rPr>
              <w:t>Issue</w:t>
            </w:r>
          </w:p>
        </w:tc>
        <w:tc>
          <w:tcPr>
            <w:tcW w:type="dxa" w:w="2448"/>
            <w:shd w:fill="E8EEF5"/>
            <w:tcMar>
              <w:top w:w="80" w:type="dxa"/>
              <w:start w:w="120" w:type="dxa"/>
              <w:bottom w:w="80" w:type="dxa"/>
              <w:end w:w="120" w:type="dxa"/>
            </w:tcMar>
            <w:vAlign w:val="top"/>
          </w:tcPr>
          <w:p>
            <w:pPr>
              <w:spacing w:after="40"/>
            </w:pPr>
            <w:r>
              <w:rPr>
                <w:rFonts w:ascii="Calibri" w:hAnsi="Calibri"/>
                <w:b/>
                <w:sz w:val="14"/>
              </w:rPr>
              <w:t>References</w:t>
            </w:r>
          </w:p>
        </w:tc>
        <w:tc>
          <w:tcPr>
            <w:tcW w:type="dxa" w:w="4320"/>
            <w:shd w:fill="E8EEF5"/>
            <w:tcMar>
              <w:top w:w="80" w:type="dxa"/>
              <w:start w:w="120" w:type="dxa"/>
              <w:bottom w:w="80" w:type="dxa"/>
              <w:end w:w="120" w:type="dxa"/>
            </w:tcMar>
            <w:vAlign w:val="top"/>
          </w:tcPr>
          <w:p>
            <w:pPr>
              <w:spacing w:after="40"/>
            </w:pPr>
            <w:r>
              <w:rPr>
                <w:rFonts w:ascii="Calibri" w:hAnsi="Calibri"/>
                <w:b/>
                <w:sz w:val="14"/>
              </w:rPr>
              <w:t>Expected finding</w:t>
            </w:r>
          </w:p>
        </w:tc>
      </w:tr>
      <w:tr>
        <w:tc>
          <w:tcPr>
            <w:tcW w:type="dxa" w:w="792"/>
            <w:tcMar>
              <w:top w:w="80" w:type="dxa"/>
              <w:start w:w="120" w:type="dxa"/>
              <w:bottom w:w="80" w:type="dxa"/>
              <w:end w:w="120" w:type="dxa"/>
            </w:tcMar>
            <w:vAlign w:val="top"/>
          </w:tcPr>
          <w:p>
            <w:pPr>
              <w:spacing w:after="40"/>
            </w:pPr>
            <w:r>
              <w:rPr>
                <w:rFonts w:ascii="Calibri" w:hAnsi="Calibri"/>
                <w:b w:val="0"/>
                <w:sz w:val="14"/>
              </w:rPr>
              <w:t>I-01</w:t>
            </w:r>
          </w:p>
        </w:tc>
        <w:tc>
          <w:tcPr>
            <w:tcW w:type="dxa" w:w="1800"/>
            <w:tcMar>
              <w:top w:w="80" w:type="dxa"/>
              <w:start w:w="120" w:type="dxa"/>
              <w:bottom w:w="80" w:type="dxa"/>
              <w:end w:w="120" w:type="dxa"/>
            </w:tcMar>
            <w:vAlign w:val="top"/>
          </w:tcPr>
          <w:p>
            <w:pPr>
              <w:spacing w:after="40"/>
            </w:pPr>
            <w:r>
              <w:rPr>
                <w:rFonts w:ascii="Calibri" w:hAnsi="Calibri"/>
                <w:b w:val="0"/>
                <w:sz w:val="14"/>
              </w:rPr>
              <w:t>Definitive security price</w:t>
            </w:r>
          </w:p>
        </w:tc>
        <w:tc>
          <w:tcPr>
            <w:tcW w:type="dxa" w:w="2448"/>
            <w:tcMar>
              <w:top w:w="80" w:type="dxa"/>
              <w:start w:w="120" w:type="dxa"/>
              <w:bottom w:w="80" w:type="dxa"/>
              <w:end w:w="120" w:type="dxa"/>
            </w:tcMar>
            <w:vAlign w:val="top"/>
          </w:tcPr>
          <w:p>
            <w:pPr>
              <w:spacing w:after="40"/>
            </w:pPr>
            <w:r>
              <w:rPr>
                <w:rFonts w:ascii="Calibri" w:hAnsi="Calibri"/>
                <w:b w:val="0"/>
                <w:sz w:val="14"/>
              </w:rPr>
              <w:t>VP-04 vs VP-01 / bank receipt</w:t>
            </w:r>
          </w:p>
        </w:tc>
        <w:tc>
          <w:tcPr>
            <w:tcW w:type="dxa" w:w="4320"/>
            <w:tcMar>
              <w:top w:w="80" w:type="dxa"/>
              <w:start w:w="120" w:type="dxa"/>
              <w:bottom w:w="80" w:type="dxa"/>
              <w:end w:w="120" w:type="dxa"/>
            </w:tcMar>
            <w:vAlign w:val="top"/>
          </w:tcPr>
          <w:p>
            <w:pPr>
              <w:spacing w:after="40"/>
            </w:pPr>
            <w:r>
              <w:rPr>
                <w:rFonts w:ascii="Calibri" w:hAnsi="Calibri"/>
                <w:b w:val="0"/>
                <w:sz w:val="14"/>
              </w:rPr>
              <w:t>Term sheet INR 60 reconciles; SHA says INR 6 while still stating INR 120m for 2m securities. Hidden truth: SHA decimal error; participant should flag, not assume.</w:t>
            </w:r>
          </w:p>
        </w:tc>
      </w:tr>
      <w:tr>
        <w:tc>
          <w:tcPr>
            <w:tcW w:type="dxa" w:w="792"/>
            <w:tcMar>
              <w:top w:w="80" w:type="dxa"/>
              <w:start w:w="120" w:type="dxa"/>
              <w:bottom w:w="80" w:type="dxa"/>
              <w:end w:w="120" w:type="dxa"/>
            </w:tcMar>
            <w:vAlign w:val="top"/>
          </w:tcPr>
          <w:p>
            <w:pPr>
              <w:spacing w:after="40"/>
            </w:pPr>
            <w:r>
              <w:rPr>
                <w:rFonts w:ascii="Calibri" w:hAnsi="Calibri"/>
                <w:b w:val="0"/>
                <w:sz w:val="14"/>
              </w:rPr>
              <w:t>I-02</w:t>
            </w:r>
          </w:p>
        </w:tc>
        <w:tc>
          <w:tcPr>
            <w:tcW w:type="dxa" w:w="1800"/>
            <w:tcMar>
              <w:top w:w="80" w:type="dxa"/>
              <w:start w:w="120" w:type="dxa"/>
              <w:bottom w:w="80" w:type="dxa"/>
              <w:end w:w="120" w:type="dxa"/>
            </w:tcMar>
            <w:vAlign w:val="top"/>
          </w:tcPr>
          <w:p>
            <w:pPr>
              <w:spacing w:after="40"/>
            </w:pPr>
            <w:r>
              <w:rPr>
                <w:rFonts w:ascii="Calibri" w:hAnsi="Calibri"/>
                <w:b w:val="0"/>
                <w:sz w:val="14"/>
              </w:rPr>
              <w:t>Board quorum</w:t>
            </w:r>
          </w:p>
        </w:tc>
        <w:tc>
          <w:tcPr>
            <w:tcW w:type="dxa" w:w="2448"/>
            <w:tcMar>
              <w:top w:w="80" w:type="dxa"/>
              <w:start w:w="120" w:type="dxa"/>
              <w:bottom w:w="80" w:type="dxa"/>
              <w:end w:w="120" w:type="dxa"/>
            </w:tcMar>
            <w:vAlign w:val="top"/>
          </w:tcPr>
          <w:p>
            <w:pPr>
              <w:spacing w:after="40"/>
            </w:pPr>
            <w:r>
              <w:rPr>
                <w:rFonts w:ascii="Calibri" w:hAnsi="Calibri"/>
                <w:b w:val="0"/>
                <w:sz w:val="14"/>
              </w:rPr>
              <w:t>VP-01 cl 3.2; VP-02 art 18; VP-05</w:t>
            </w:r>
          </w:p>
        </w:tc>
        <w:tc>
          <w:tcPr>
            <w:tcW w:type="dxa" w:w="4320"/>
            <w:tcMar>
              <w:top w:w="80" w:type="dxa"/>
              <w:start w:w="120" w:type="dxa"/>
              <w:bottom w:w="80" w:type="dxa"/>
              <w:end w:w="120" w:type="dxa"/>
            </w:tcMar>
            <w:vAlign w:val="top"/>
          </w:tcPr>
          <w:p>
            <w:pPr>
              <w:spacing w:after="40"/>
            </w:pPr>
            <w:r>
              <w:rPr>
                <w:rFonts w:ascii="Calibri" w:hAnsi="Calibri"/>
                <w:b w:val="0"/>
                <w:sz w:val="14"/>
              </w:rPr>
              <w:t>SHA requires Founder 1; Articles do not. Corporate validity and inter se breach may differ.</w:t>
            </w:r>
          </w:p>
        </w:tc>
      </w:tr>
      <w:tr>
        <w:tc>
          <w:tcPr>
            <w:tcW w:type="dxa" w:w="792"/>
            <w:tcMar>
              <w:top w:w="80" w:type="dxa"/>
              <w:start w:w="120" w:type="dxa"/>
              <w:bottom w:w="80" w:type="dxa"/>
              <w:end w:w="120" w:type="dxa"/>
            </w:tcMar>
            <w:vAlign w:val="top"/>
          </w:tcPr>
          <w:p>
            <w:pPr>
              <w:spacing w:after="40"/>
            </w:pPr>
            <w:r>
              <w:rPr>
                <w:rFonts w:ascii="Calibri" w:hAnsi="Calibri"/>
                <w:b w:val="0"/>
                <w:sz w:val="14"/>
              </w:rPr>
              <w:t>I-03</w:t>
            </w:r>
          </w:p>
        </w:tc>
        <w:tc>
          <w:tcPr>
            <w:tcW w:type="dxa" w:w="1800"/>
            <w:tcMar>
              <w:top w:w="80" w:type="dxa"/>
              <w:start w:w="120" w:type="dxa"/>
              <w:bottom w:w="80" w:type="dxa"/>
              <w:end w:w="120" w:type="dxa"/>
            </w:tcMar>
            <w:vAlign w:val="top"/>
          </w:tcPr>
          <w:p>
            <w:pPr>
              <w:spacing w:after="40"/>
            </w:pPr>
            <w:r>
              <w:rPr>
                <w:rFonts w:ascii="Calibri" w:hAnsi="Calibri"/>
                <w:b w:val="0"/>
                <w:sz w:val="14"/>
              </w:rPr>
              <w:t>Emergency notice</w:t>
            </w:r>
          </w:p>
        </w:tc>
        <w:tc>
          <w:tcPr>
            <w:tcW w:type="dxa" w:w="2448"/>
            <w:tcMar>
              <w:top w:w="80" w:type="dxa"/>
              <w:start w:w="120" w:type="dxa"/>
              <w:bottom w:w="80" w:type="dxa"/>
              <w:end w:w="120" w:type="dxa"/>
            </w:tcMar>
            <w:vAlign w:val="top"/>
          </w:tcPr>
          <w:p>
            <w:pPr>
              <w:spacing w:after="40"/>
            </w:pPr>
            <w:r>
              <w:rPr>
                <w:rFonts w:ascii="Calibri" w:hAnsi="Calibri"/>
                <w:b w:val="0"/>
                <w:sz w:val="14"/>
              </w:rPr>
              <w:t>VP-01 cl 3.3; VP-05 C</w:t>
            </w:r>
          </w:p>
        </w:tc>
        <w:tc>
          <w:tcPr>
            <w:tcW w:type="dxa" w:w="4320"/>
            <w:tcMar>
              <w:top w:w="80" w:type="dxa"/>
              <w:start w:w="120" w:type="dxa"/>
              <w:bottom w:w="80" w:type="dxa"/>
              <w:end w:w="120" w:type="dxa"/>
            </w:tcMar>
            <w:vAlign w:val="top"/>
          </w:tcPr>
          <w:p>
            <w:pPr>
              <w:spacing w:after="40"/>
            </w:pPr>
            <w:r>
              <w:rPr>
                <w:rFonts w:ascii="Calibri" w:hAnsi="Calibri"/>
                <w:b w:val="0"/>
                <w:sz w:val="14"/>
              </w:rPr>
              <w:t>Real emergency, but clause says emergency process cannot be used solely for financing; mixed agenda.</w:t>
            </w:r>
          </w:p>
        </w:tc>
      </w:tr>
      <w:tr>
        <w:tc>
          <w:tcPr>
            <w:tcW w:type="dxa" w:w="792"/>
            <w:tcMar>
              <w:top w:w="80" w:type="dxa"/>
              <w:start w:w="120" w:type="dxa"/>
              <w:bottom w:w="80" w:type="dxa"/>
              <w:end w:w="120" w:type="dxa"/>
            </w:tcMar>
            <w:vAlign w:val="top"/>
          </w:tcPr>
          <w:p>
            <w:pPr>
              <w:spacing w:after="40"/>
            </w:pPr>
            <w:r>
              <w:rPr>
                <w:rFonts w:ascii="Calibri" w:hAnsi="Calibri"/>
                <w:b w:val="0"/>
                <w:sz w:val="14"/>
              </w:rPr>
              <w:t>I-04</w:t>
            </w:r>
          </w:p>
        </w:tc>
        <w:tc>
          <w:tcPr>
            <w:tcW w:type="dxa" w:w="1800"/>
            <w:tcMar>
              <w:top w:w="80" w:type="dxa"/>
              <w:start w:w="120" w:type="dxa"/>
              <w:bottom w:w="80" w:type="dxa"/>
              <w:end w:w="120" w:type="dxa"/>
            </w:tcMar>
            <w:vAlign w:val="top"/>
          </w:tcPr>
          <w:p>
            <w:pPr>
              <w:spacing w:after="40"/>
            </w:pPr>
            <w:r>
              <w:rPr>
                <w:rFonts w:ascii="Calibri" w:hAnsi="Calibri"/>
                <w:b w:val="0"/>
                <w:sz w:val="14"/>
              </w:rPr>
              <w:t>Conflict</w:t>
            </w:r>
          </w:p>
        </w:tc>
        <w:tc>
          <w:tcPr>
            <w:tcW w:type="dxa" w:w="2448"/>
            <w:tcMar>
              <w:top w:w="80" w:type="dxa"/>
              <w:start w:w="120" w:type="dxa"/>
              <w:bottom w:w="80" w:type="dxa"/>
              <w:end w:w="120" w:type="dxa"/>
            </w:tcMar>
            <w:vAlign w:val="top"/>
          </w:tcPr>
          <w:p>
            <w:pPr>
              <w:spacing w:after="40"/>
            </w:pPr>
            <w:r>
              <w:rPr>
                <w:rFonts w:ascii="Calibri" w:hAnsi="Calibri"/>
                <w:b w:val="0"/>
                <w:sz w:val="14"/>
              </w:rPr>
              <w:t>VP-01 cl 3.4/4; VP-05; VP-08</w:t>
            </w:r>
          </w:p>
        </w:tc>
        <w:tc>
          <w:tcPr>
            <w:tcW w:type="dxa" w:w="4320"/>
            <w:tcMar>
              <w:top w:w="80" w:type="dxa"/>
              <w:start w:w="120" w:type="dxa"/>
              <w:bottom w:w="80" w:type="dxa"/>
              <w:end w:w="120" w:type="dxa"/>
            </w:tcMar>
            <w:vAlign w:val="top"/>
          </w:tcPr>
          <w:p>
            <w:pPr>
              <w:spacing w:after="40"/>
            </w:pPr>
            <w:r>
              <w:rPr>
                <w:rFonts w:ascii="Calibri" w:hAnsi="Calibri"/>
                <w:b w:val="0"/>
                <w:sz w:val="14"/>
              </w:rPr>
              <w:t>Aarav conflict is real. It does not clearly erase his contractual consent. Kavya/Riverstone appearance issue also exists.</w:t>
            </w:r>
          </w:p>
        </w:tc>
      </w:tr>
      <w:tr>
        <w:tc>
          <w:tcPr>
            <w:tcW w:type="dxa" w:w="792"/>
            <w:tcMar>
              <w:top w:w="80" w:type="dxa"/>
              <w:start w:w="120" w:type="dxa"/>
              <w:bottom w:w="80" w:type="dxa"/>
              <w:end w:w="120" w:type="dxa"/>
            </w:tcMar>
            <w:vAlign w:val="top"/>
          </w:tcPr>
          <w:p>
            <w:pPr>
              <w:spacing w:after="40"/>
            </w:pPr>
            <w:r>
              <w:rPr>
                <w:rFonts w:ascii="Calibri" w:hAnsi="Calibri"/>
                <w:b w:val="0"/>
                <w:sz w:val="14"/>
              </w:rPr>
              <w:t>I-05</w:t>
            </w:r>
          </w:p>
        </w:tc>
        <w:tc>
          <w:tcPr>
            <w:tcW w:type="dxa" w:w="1800"/>
            <w:tcMar>
              <w:top w:w="80" w:type="dxa"/>
              <w:start w:w="120" w:type="dxa"/>
              <w:bottom w:w="80" w:type="dxa"/>
              <w:end w:w="120" w:type="dxa"/>
            </w:tcMar>
            <w:vAlign w:val="top"/>
          </w:tcPr>
          <w:p>
            <w:pPr>
              <w:spacing w:after="40"/>
            </w:pPr>
            <w:r>
              <w:rPr>
                <w:rFonts w:ascii="Calibri" w:hAnsi="Calibri"/>
                <w:b w:val="0"/>
                <w:sz w:val="14"/>
              </w:rPr>
              <w:t>Minutes authenticity</w:t>
            </w:r>
          </w:p>
        </w:tc>
        <w:tc>
          <w:tcPr>
            <w:tcW w:type="dxa" w:w="2448"/>
            <w:tcMar>
              <w:top w:w="80" w:type="dxa"/>
              <w:start w:w="120" w:type="dxa"/>
              <w:bottom w:w="80" w:type="dxa"/>
              <w:end w:w="120" w:type="dxa"/>
            </w:tcMar>
            <w:vAlign w:val="top"/>
          </w:tcPr>
          <w:p>
            <w:pPr>
              <w:spacing w:after="40"/>
            </w:pPr>
            <w:r>
              <w:rPr>
                <w:rFonts w:ascii="Calibri" w:hAnsi="Calibri"/>
                <w:b w:val="0"/>
                <w:sz w:val="14"/>
              </w:rPr>
              <w:t>VP-05 E; VP-15 Ex A</w:t>
            </w:r>
          </w:p>
        </w:tc>
        <w:tc>
          <w:tcPr>
            <w:tcW w:type="dxa" w:w="4320"/>
            <w:tcMar>
              <w:top w:w="80" w:type="dxa"/>
              <w:start w:w="120" w:type="dxa"/>
              <w:bottom w:w="80" w:type="dxa"/>
              <w:end w:w="120" w:type="dxa"/>
            </w:tcMar>
            <w:vAlign w:val="top"/>
          </w:tcPr>
          <w:p>
            <w:pPr>
              <w:spacing w:after="40"/>
            </w:pPr>
            <w:r>
              <w:rPr>
                <w:rFonts w:ascii="Calibri" w:hAnsi="Calibri"/>
                <w:b w:val="0"/>
                <w:sz w:val="14"/>
              </w:rPr>
              <w:t>12 Sep minutes reconstructed 5 Oct; Rohan's approval overstated.</w:t>
            </w:r>
          </w:p>
        </w:tc>
      </w:tr>
      <w:tr>
        <w:tc>
          <w:tcPr>
            <w:tcW w:type="dxa" w:w="792"/>
            <w:tcMar>
              <w:top w:w="80" w:type="dxa"/>
              <w:start w:w="120" w:type="dxa"/>
              <w:bottom w:w="80" w:type="dxa"/>
              <w:end w:w="120" w:type="dxa"/>
            </w:tcMar>
            <w:vAlign w:val="top"/>
          </w:tcPr>
          <w:p>
            <w:pPr>
              <w:spacing w:after="40"/>
            </w:pPr>
            <w:r>
              <w:rPr>
                <w:rFonts w:ascii="Calibri" w:hAnsi="Calibri"/>
                <w:b w:val="0"/>
                <w:sz w:val="14"/>
              </w:rPr>
              <w:t>I-06</w:t>
            </w:r>
          </w:p>
        </w:tc>
        <w:tc>
          <w:tcPr>
            <w:tcW w:type="dxa" w:w="1800"/>
            <w:tcMar>
              <w:top w:w="80" w:type="dxa"/>
              <w:start w:w="120" w:type="dxa"/>
              <w:bottom w:w="80" w:type="dxa"/>
              <w:end w:w="120" w:type="dxa"/>
            </w:tcMar>
            <w:vAlign w:val="top"/>
          </w:tcPr>
          <w:p>
            <w:pPr>
              <w:spacing w:after="40"/>
            </w:pPr>
            <w:r>
              <w:rPr>
                <w:rFonts w:ascii="Calibri" w:hAnsi="Calibri"/>
                <w:b w:val="0"/>
                <w:sz w:val="14"/>
              </w:rPr>
              <w:t>Bank mandate chronology</w:t>
            </w:r>
          </w:p>
        </w:tc>
        <w:tc>
          <w:tcPr>
            <w:tcW w:type="dxa" w:w="2448"/>
            <w:tcMar>
              <w:top w:w="80" w:type="dxa"/>
              <w:start w:w="120" w:type="dxa"/>
              <w:bottom w:w="80" w:type="dxa"/>
              <w:end w:w="120" w:type="dxa"/>
            </w:tcMar>
            <w:vAlign w:val="top"/>
          </w:tcPr>
          <w:p>
            <w:pPr>
              <w:spacing w:after="40"/>
            </w:pPr>
            <w:r>
              <w:rPr>
                <w:rFonts w:ascii="Calibri" w:hAnsi="Calibri"/>
                <w:b w:val="0"/>
                <w:sz w:val="14"/>
              </w:rPr>
              <w:t>VP-05 C; VP-15 Ex B; WhatsApp</w:t>
            </w:r>
          </w:p>
        </w:tc>
        <w:tc>
          <w:tcPr>
            <w:tcW w:type="dxa" w:w="4320"/>
            <w:tcMar>
              <w:top w:w="80" w:type="dxa"/>
              <w:start w:w="120" w:type="dxa"/>
              <w:bottom w:w="80" w:type="dxa"/>
              <w:end w:w="120" w:type="dxa"/>
            </w:tcMar>
            <w:vAlign w:val="top"/>
          </w:tcPr>
          <w:p>
            <w:pPr>
              <w:spacing w:after="40"/>
            </w:pPr>
            <w:r>
              <w:rPr>
                <w:rFonts w:ascii="Calibri" w:hAnsi="Calibri"/>
                <w:b w:val="0"/>
                <w:sz w:val="14"/>
              </w:rPr>
              <w:t>Form signed/dated before authority; activation after. Distinguish falsity from actual bank operation.</w:t>
            </w:r>
          </w:p>
        </w:tc>
      </w:tr>
      <w:tr>
        <w:tc>
          <w:tcPr>
            <w:tcW w:type="dxa" w:w="792"/>
            <w:tcMar>
              <w:top w:w="80" w:type="dxa"/>
              <w:start w:w="120" w:type="dxa"/>
              <w:bottom w:w="80" w:type="dxa"/>
              <w:end w:w="120" w:type="dxa"/>
            </w:tcMar>
            <w:vAlign w:val="top"/>
          </w:tcPr>
          <w:p>
            <w:pPr>
              <w:spacing w:after="40"/>
            </w:pPr>
            <w:r>
              <w:rPr>
                <w:rFonts w:ascii="Calibri" w:hAnsi="Calibri"/>
                <w:b w:val="0"/>
                <w:sz w:val="14"/>
              </w:rPr>
              <w:t>I-07</w:t>
            </w:r>
          </w:p>
        </w:tc>
        <w:tc>
          <w:tcPr>
            <w:tcW w:type="dxa" w:w="1800"/>
            <w:tcMar>
              <w:top w:w="80" w:type="dxa"/>
              <w:start w:w="120" w:type="dxa"/>
              <w:bottom w:w="80" w:type="dxa"/>
              <w:end w:w="120" w:type="dxa"/>
            </w:tcMar>
            <w:vAlign w:val="top"/>
          </w:tcPr>
          <w:p>
            <w:pPr>
              <w:spacing w:after="40"/>
            </w:pPr>
            <w:r>
              <w:rPr>
                <w:rFonts w:ascii="Calibri" w:hAnsi="Calibri"/>
                <w:b w:val="0"/>
                <w:sz w:val="14"/>
              </w:rPr>
              <w:t>EGM notice</w:t>
            </w:r>
          </w:p>
        </w:tc>
        <w:tc>
          <w:tcPr>
            <w:tcW w:type="dxa" w:w="2448"/>
            <w:tcMar>
              <w:top w:w="80" w:type="dxa"/>
              <w:start w:w="120" w:type="dxa"/>
              <w:bottom w:w="80" w:type="dxa"/>
              <w:end w:w="120" w:type="dxa"/>
            </w:tcMar>
            <w:vAlign w:val="top"/>
          </w:tcPr>
          <w:p>
            <w:pPr>
              <w:spacing w:after="40"/>
            </w:pPr>
            <w:r>
              <w:rPr>
                <w:rFonts w:ascii="Calibri" w:hAnsi="Calibri"/>
                <w:b w:val="0"/>
                <w:sz w:val="14"/>
              </w:rPr>
              <w:t>VP-06; VP-01 cl 15; VP-02 art 36</w:t>
            </w:r>
          </w:p>
        </w:tc>
        <w:tc>
          <w:tcPr>
            <w:tcW w:type="dxa" w:w="4320"/>
            <w:tcMar>
              <w:top w:w="80" w:type="dxa"/>
              <w:start w:w="120" w:type="dxa"/>
              <w:bottom w:w="80" w:type="dxa"/>
              <w:end w:w="120" w:type="dxa"/>
            </w:tcMar>
            <w:vAlign w:val="top"/>
          </w:tcPr>
          <w:p>
            <w:pPr>
              <w:spacing w:after="40"/>
            </w:pPr>
            <w:r>
              <w:rPr>
                <w:rFonts w:ascii="Calibri" w:hAnsi="Calibri"/>
                <w:b w:val="0"/>
                <w:sz w:val="14"/>
              </w:rPr>
              <w:t>Different address regimes; clear-days and proof of delivery issues.</w:t>
            </w:r>
          </w:p>
        </w:tc>
      </w:tr>
      <w:tr>
        <w:tc>
          <w:tcPr>
            <w:tcW w:type="dxa" w:w="792"/>
            <w:tcMar>
              <w:top w:w="80" w:type="dxa"/>
              <w:start w:w="120" w:type="dxa"/>
              <w:bottom w:w="80" w:type="dxa"/>
              <w:end w:w="120" w:type="dxa"/>
            </w:tcMar>
            <w:vAlign w:val="top"/>
          </w:tcPr>
          <w:p>
            <w:pPr>
              <w:spacing w:after="40"/>
            </w:pPr>
            <w:r>
              <w:rPr>
                <w:rFonts w:ascii="Calibri" w:hAnsi="Calibri"/>
                <w:b w:val="0"/>
                <w:sz w:val="14"/>
              </w:rPr>
              <w:t>I-08</w:t>
            </w:r>
          </w:p>
        </w:tc>
        <w:tc>
          <w:tcPr>
            <w:tcW w:type="dxa" w:w="1800"/>
            <w:tcMar>
              <w:top w:w="80" w:type="dxa"/>
              <w:start w:w="120" w:type="dxa"/>
              <w:bottom w:w="80" w:type="dxa"/>
              <w:end w:w="120" w:type="dxa"/>
            </w:tcMar>
            <w:vAlign w:val="top"/>
          </w:tcPr>
          <w:p>
            <w:pPr>
              <w:spacing w:after="40"/>
            </w:pPr>
            <w:r>
              <w:rPr>
                <w:rFonts w:ascii="Calibri" w:hAnsi="Calibri"/>
                <w:b w:val="0"/>
                <w:sz w:val="14"/>
              </w:rPr>
              <w:t>Removal representations</w:t>
            </w:r>
          </w:p>
        </w:tc>
        <w:tc>
          <w:tcPr>
            <w:tcW w:type="dxa" w:w="2448"/>
            <w:tcMar>
              <w:top w:w="80" w:type="dxa"/>
              <w:start w:w="120" w:type="dxa"/>
              <w:bottom w:w="80" w:type="dxa"/>
              <w:end w:w="120" w:type="dxa"/>
            </w:tcMar>
            <w:vAlign w:val="top"/>
          </w:tcPr>
          <w:p>
            <w:pPr>
              <w:spacing w:after="40"/>
            </w:pPr>
            <w:r>
              <w:rPr>
                <w:rFonts w:ascii="Calibri" w:hAnsi="Calibri"/>
                <w:b w:val="0"/>
                <w:sz w:val="14"/>
              </w:rPr>
              <w:t>VP-06</w:t>
            </w:r>
          </w:p>
        </w:tc>
        <w:tc>
          <w:tcPr>
            <w:tcW w:type="dxa" w:w="4320"/>
            <w:tcMar>
              <w:top w:w="80" w:type="dxa"/>
              <w:start w:w="120" w:type="dxa"/>
              <w:bottom w:w="80" w:type="dxa"/>
              <w:end w:w="120" w:type="dxa"/>
            </w:tcMar>
            <w:vAlign w:val="top"/>
          </w:tcPr>
          <w:p>
            <w:pPr>
              <w:spacing w:after="40"/>
            </w:pPr>
            <w:r>
              <w:rPr>
                <w:rFonts w:ascii="Calibri" w:hAnsi="Calibri"/>
                <w:b w:val="0"/>
                <w:sz w:val="14"/>
              </w:rPr>
              <w:t>Full representations received but not circulated; summary said to be read.</w:t>
            </w:r>
          </w:p>
        </w:tc>
      </w:tr>
      <w:tr>
        <w:tc>
          <w:tcPr>
            <w:tcW w:type="dxa" w:w="792"/>
            <w:tcMar>
              <w:top w:w="80" w:type="dxa"/>
              <w:start w:w="120" w:type="dxa"/>
              <w:bottom w:w="80" w:type="dxa"/>
              <w:end w:w="120" w:type="dxa"/>
            </w:tcMar>
            <w:vAlign w:val="top"/>
          </w:tcPr>
          <w:p>
            <w:pPr>
              <w:spacing w:after="40"/>
            </w:pPr>
            <w:r>
              <w:rPr>
                <w:rFonts w:ascii="Calibri" w:hAnsi="Calibri"/>
                <w:b w:val="0"/>
                <w:sz w:val="14"/>
              </w:rPr>
              <w:t>I-09</w:t>
            </w:r>
          </w:p>
        </w:tc>
        <w:tc>
          <w:tcPr>
            <w:tcW w:type="dxa" w:w="1800"/>
            <w:tcMar>
              <w:top w:w="80" w:type="dxa"/>
              <w:start w:w="120" w:type="dxa"/>
              <w:bottom w:w="80" w:type="dxa"/>
              <w:end w:w="120" w:type="dxa"/>
            </w:tcMar>
            <w:vAlign w:val="top"/>
          </w:tcPr>
          <w:p>
            <w:pPr>
              <w:spacing w:after="40"/>
            </w:pPr>
            <w:r>
              <w:rPr>
                <w:rFonts w:ascii="Calibri" w:hAnsi="Calibri"/>
                <w:b w:val="0"/>
                <w:sz w:val="14"/>
              </w:rPr>
              <w:t>Waiting room</w:t>
            </w:r>
          </w:p>
        </w:tc>
        <w:tc>
          <w:tcPr>
            <w:tcW w:type="dxa" w:w="2448"/>
            <w:tcMar>
              <w:top w:w="80" w:type="dxa"/>
              <w:start w:w="120" w:type="dxa"/>
              <w:bottom w:w="80" w:type="dxa"/>
              <w:end w:w="120" w:type="dxa"/>
            </w:tcMar>
            <w:vAlign w:val="top"/>
          </w:tcPr>
          <w:p>
            <w:pPr>
              <w:spacing w:after="40"/>
            </w:pPr>
            <w:r>
              <w:rPr>
                <w:rFonts w:ascii="Calibri" w:hAnsi="Calibri"/>
                <w:b w:val="0"/>
                <w:sz w:val="14"/>
              </w:rPr>
              <w:t>VP-06; WhatsApp</w:t>
            </w:r>
          </w:p>
        </w:tc>
        <w:tc>
          <w:tcPr>
            <w:tcW w:type="dxa" w:w="4320"/>
            <w:tcMar>
              <w:top w:w="80" w:type="dxa"/>
              <w:start w:w="120" w:type="dxa"/>
              <w:bottom w:w="80" w:type="dxa"/>
              <w:end w:w="120" w:type="dxa"/>
            </w:tcMar>
            <w:vAlign w:val="top"/>
          </w:tcPr>
          <w:p>
            <w:pPr>
              <w:spacing w:after="40"/>
            </w:pPr>
            <w:r>
              <w:rPr>
                <w:rFonts w:ascii="Calibri" w:hAnsi="Calibri"/>
                <w:b w:val="0"/>
                <w:sz w:val="14"/>
              </w:rPr>
              <w:t>Aarav deliberately not admitted after unusually rapid vote; actual late arrival remains relevant.</w:t>
            </w:r>
          </w:p>
        </w:tc>
      </w:tr>
      <w:tr>
        <w:tc>
          <w:tcPr>
            <w:tcW w:type="dxa" w:w="792"/>
            <w:tcMar>
              <w:top w:w="80" w:type="dxa"/>
              <w:start w:w="120" w:type="dxa"/>
              <w:bottom w:w="80" w:type="dxa"/>
              <w:end w:w="120" w:type="dxa"/>
            </w:tcMar>
            <w:vAlign w:val="top"/>
          </w:tcPr>
          <w:p>
            <w:pPr>
              <w:spacing w:after="40"/>
            </w:pPr>
            <w:r>
              <w:rPr>
                <w:rFonts w:ascii="Calibri" w:hAnsi="Calibri"/>
                <w:b w:val="0"/>
                <w:sz w:val="14"/>
              </w:rPr>
              <w:t>I-10</w:t>
            </w:r>
          </w:p>
        </w:tc>
        <w:tc>
          <w:tcPr>
            <w:tcW w:type="dxa" w:w="1800"/>
            <w:tcMar>
              <w:top w:w="80" w:type="dxa"/>
              <w:start w:w="120" w:type="dxa"/>
              <w:bottom w:w="80" w:type="dxa"/>
              <w:end w:w="120" w:type="dxa"/>
            </w:tcMar>
            <w:vAlign w:val="top"/>
          </w:tcPr>
          <w:p>
            <w:pPr>
              <w:spacing w:after="40"/>
            </w:pPr>
            <w:r>
              <w:rPr>
                <w:rFonts w:ascii="Calibri" w:hAnsi="Calibri"/>
                <w:b w:val="0"/>
                <w:sz w:val="14"/>
              </w:rPr>
              <w:t>Special resolution</w:t>
            </w:r>
          </w:p>
        </w:tc>
        <w:tc>
          <w:tcPr>
            <w:tcW w:type="dxa" w:w="2448"/>
            <w:tcMar>
              <w:top w:w="80" w:type="dxa"/>
              <w:start w:w="120" w:type="dxa"/>
              <w:bottom w:w="80" w:type="dxa"/>
              <w:end w:w="120" w:type="dxa"/>
            </w:tcMar>
            <w:vAlign w:val="top"/>
          </w:tcPr>
          <w:p>
            <w:pPr>
              <w:spacing w:after="40"/>
            </w:pPr>
            <w:r>
              <w:rPr>
                <w:rFonts w:ascii="Calibri" w:hAnsi="Calibri"/>
                <w:b w:val="0"/>
                <w:sz w:val="14"/>
              </w:rPr>
              <w:t>VP-06</w:t>
            </w:r>
          </w:p>
        </w:tc>
        <w:tc>
          <w:tcPr>
            <w:tcW w:type="dxa" w:w="4320"/>
            <w:tcMar>
              <w:top w:w="80" w:type="dxa"/>
              <w:start w:w="120" w:type="dxa"/>
              <w:bottom w:w="80" w:type="dxa"/>
              <w:end w:w="120" w:type="dxa"/>
            </w:tcMar>
            <w:vAlign w:val="top"/>
          </w:tcPr>
          <w:p>
            <w:pPr>
              <w:spacing w:after="40"/>
            </w:pPr>
            <w:r>
              <w:rPr>
                <w:rFonts w:ascii="Calibri" w:hAnsi="Calibri"/>
                <w:b w:val="0"/>
                <w:sz w:val="14"/>
              </w:rPr>
              <w:t>Supporters had 100% of votes cast if meeting valid. Percentage of total issued is not the statutory voting denominator for result.</w:t>
            </w:r>
          </w:p>
        </w:tc>
      </w:tr>
      <w:tr>
        <w:tc>
          <w:tcPr>
            <w:tcW w:type="dxa" w:w="792"/>
            <w:tcMar>
              <w:top w:w="80" w:type="dxa"/>
              <w:start w:w="120" w:type="dxa"/>
              <w:bottom w:w="80" w:type="dxa"/>
              <w:end w:w="120" w:type="dxa"/>
            </w:tcMar>
            <w:vAlign w:val="top"/>
          </w:tcPr>
          <w:p>
            <w:pPr>
              <w:spacing w:after="40"/>
            </w:pPr>
            <w:r>
              <w:rPr>
                <w:rFonts w:ascii="Calibri" w:hAnsi="Calibri"/>
                <w:b w:val="0"/>
                <w:sz w:val="14"/>
              </w:rPr>
              <w:t>I-11</w:t>
            </w:r>
          </w:p>
        </w:tc>
        <w:tc>
          <w:tcPr>
            <w:tcW w:type="dxa" w:w="1800"/>
            <w:tcMar>
              <w:top w:w="80" w:type="dxa"/>
              <w:start w:w="120" w:type="dxa"/>
              <w:bottom w:w="80" w:type="dxa"/>
              <w:end w:w="120" w:type="dxa"/>
            </w:tcMar>
            <w:vAlign w:val="top"/>
          </w:tcPr>
          <w:p>
            <w:pPr>
              <w:spacing w:after="40"/>
            </w:pPr>
            <w:r>
              <w:rPr>
                <w:rFonts w:ascii="Calibri" w:hAnsi="Calibri"/>
                <w:b w:val="0"/>
                <w:sz w:val="14"/>
              </w:rPr>
              <w:t>Pro rata rights</w:t>
            </w:r>
          </w:p>
        </w:tc>
        <w:tc>
          <w:tcPr>
            <w:tcW w:type="dxa" w:w="2448"/>
            <w:tcMar>
              <w:top w:w="80" w:type="dxa"/>
              <w:start w:w="120" w:type="dxa"/>
              <w:bottom w:w="80" w:type="dxa"/>
              <w:end w:w="120" w:type="dxa"/>
            </w:tcMar>
            <w:vAlign w:val="top"/>
          </w:tcPr>
          <w:p>
            <w:pPr>
              <w:spacing w:after="40"/>
            </w:pPr>
            <w:r>
              <w:rPr>
                <w:rFonts w:ascii="Calibri" w:hAnsi="Calibri"/>
                <w:b w:val="0"/>
                <w:sz w:val="14"/>
              </w:rPr>
              <w:t>VP-01 cl 6; VP-08</w:t>
            </w:r>
          </w:p>
        </w:tc>
        <w:tc>
          <w:tcPr>
            <w:tcW w:type="dxa" w:w="4320"/>
            <w:tcMar>
              <w:top w:w="80" w:type="dxa"/>
              <w:start w:w="120" w:type="dxa"/>
              <w:bottom w:w="80" w:type="dxa"/>
              <w:end w:w="120" w:type="dxa"/>
            </w:tcMar>
            <w:vAlign w:val="top"/>
          </w:tcPr>
          <w:p>
            <w:pPr>
              <w:spacing w:after="40"/>
            </w:pPr>
            <w:r>
              <w:rPr>
                <w:rFonts w:ascii="Calibri" w:hAnsi="Calibri"/>
                <w:b w:val="0"/>
                <w:sz w:val="14"/>
              </w:rPr>
              <w:t>No formal offer; oral approach to Nisha and conditional Aarav proposal do not satisfy clause.</w:t>
            </w:r>
          </w:p>
        </w:tc>
      </w:tr>
      <w:tr>
        <w:tc>
          <w:tcPr>
            <w:tcW w:type="dxa" w:w="792"/>
            <w:tcMar>
              <w:top w:w="80" w:type="dxa"/>
              <w:start w:w="120" w:type="dxa"/>
              <w:bottom w:w="80" w:type="dxa"/>
              <w:end w:w="120" w:type="dxa"/>
            </w:tcMar>
            <w:vAlign w:val="top"/>
          </w:tcPr>
          <w:p>
            <w:pPr>
              <w:spacing w:after="40"/>
            </w:pPr>
            <w:r>
              <w:rPr>
                <w:rFonts w:ascii="Calibri" w:hAnsi="Calibri"/>
                <w:b w:val="0"/>
                <w:sz w:val="14"/>
              </w:rPr>
              <w:t>I-12</w:t>
            </w:r>
          </w:p>
        </w:tc>
        <w:tc>
          <w:tcPr>
            <w:tcW w:type="dxa" w:w="1800"/>
            <w:tcMar>
              <w:top w:w="80" w:type="dxa"/>
              <w:start w:w="120" w:type="dxa"/>
              <w:bottom w:w="80" w:type="dxa"/>
              <w:end w:w="120" w:type="dxa"/>
            </w:tcMar>
            <w:vAlign w:val="top"/>
          </w:tcPr>
          <w:p>
            <w:pPr>
              <w:spacing w:after="40"/>
            </w:pPr>
            <w:r>
              <w:rPr>
                <w:rFonts w:ascii="Calibri" w:hAnsi="Calibri"/>
                <w:b w:val="0"/>
                <w:sz w:val="14"/>
              </w:rPr>
              <w:t>Cap-table denominator</w:t>
            </w:r>
          </w:p>
        </w:tc>
        <w:tc>
          <w:tcPr>
            <w:tcW w:type="dxa" w:w="2448"/>
            <w:tcMar>
              <w:top w:w="80" w:type="dxa"/>
              <w:start w:w="120" w:type="dxa"/>
              <w:bottom w:w="80" w:type="dxa"/>
              <w:end w:w="120" w:type="dxa"/>
            </w:tcMar>
            <w:vAlign w:val="top"/>
          </w:tcPr>
          <w:p>
            <w:pPr>
              <w:spacing w:after="40"/>
            </w:pPr>
            <w:r>
              <w:rPr>
                <w:rFonts w:ascii="Calibri" w:hAnsi="Calibri"/>
                <w:b w:val="0"/>
                <w:sz w:val="14"/>
              </w:rPr>
              <w:t>VP-01 cl 2/7; VP-06; VP-17 workbook</w:t>
            </w:r>
          </w:p>
        </w:tc>
        <w:tc>
          <w:tcPr>
            <w:tcW w:type="dxa" w:w="4320"/>
            <w:tcMar>
              <w:top w:w="80" w:type="dxa"/>
              <w:start w:w="120" w:type="dxa"/>
              <w:bottom w:w="80" w:type="dxa"/>
              <w:end w:w="120" w:type="dxa"/>
            </w:tcMar>
            <w:vAlign w:val="top"/>
          </w:tcPr>
          <w:p>
            <w:pPr>
              <w:spacing w:after="40"/>
            </w:pPr>
            <w:r>
              <w:rPr>
                <w:rFonts w:ascii="Calibri" w:hAnsi="Calibri"/>
                <w:b w:val="0"/>
                <w:sz w:val="14"/>
              </w:rPr>
              <w:t>Issued vs FD and ESOP treatment are mixed, producing 17.8%, 27%, 27.93%, and board-pack figures.</w:t>
            </w:r>
          </w:p>
        </w:tc>
      </w:tr>
      <w:tr>
        <w:tc>
          <w:tcPr>
            <w:tcW w:type="dxa" w:w="792"/>
            <w:tcMar>
              <w:top w:w="80" w:type="dxa"/>
              <w:start w:w="120" w:type="dxa"/>
              <w:bottom w:w="80" w:type="dxa"/>
              <w:end w:w="120" w:type="dxa"/>
            </w:tcMar>
            <w:vAlign w:val="top"/>
          </w:tcPr>
          <w:p>
            <w:pPr>
              <w:spacing w:after="40"/>
            </w:pPr>
            <w:r>
              <w:rPr>
                <w:rFonts w:ascii="Calibri" w:hAnsi="Calibri"/>
                <w:b w:val="0"/>
                <w:sz w:val="14"/>
              </w:rPr>
              <w:t>I-13</w:t>
            </w:r>
          </w:p>
        </w:tc>
        <w:tc>
          <w:tcPr>
            <w:tcW w:type="dxa" w:w="1800"/>
            <w:tcMar>
              <w:top w:w="80" w:type="dxa"/>
              <w:start w:w="120" w:type="dxa"/>
              <w:bottom w:w="80" w:type="dxa"/>
              <w:end w:w="120" w:type="dxa"/>
            </w:tcMar>
            <w:vAlign w:val="top"/>
          </w:tcPr>
          <w:p>
            <w:pPr>
              <w:spacing w:after="40"/>
            </w:pPr>
            <w:r>
              <w:rPr>
                <w:rFonts w:ascii="Calibri" w:hAnsi="Calibri"/>
                <w:b w:val="0"/>
                <w:sz w:val="14"/>
              </w:rPr>
              <w:t>Subscription shortfall</w:t>
            </w:r>
          </w:p>
        </w:tc>
        <w:tc>
          <w:tcPr>
            <w:tcW w:type="dxa" w:w="2448"/>
            <w:tcMar>
              <w:top w:w="80" w:type="dxa"/>
              <w:start w:w="120" w:type="dxa"/>
              <w:bottom w:w="80" w:type="dxa"/>
              <w:end w:w="120" w:type="dxa"/>
            </w:tcMar>
            <w:vAlign w:val="top"/>
          </w:tcPr>
          <w:p>
            <w:pPr>
              <w:spacing w:after="40"/>
            </w:pPr>
            <w:r>
              <w:rPr>
                <w:rFonts w:ascii="Calibri" w:hAnsi="Calibri"/>
                <w:b w:val="0"/>
                <w:sz w:val="14"/>
              </w:rPr>
              <w:t>VP-05 D; VP-12; VP-18 workbook</w:t>
            </w:r>
          </w:p>
        </w:tc>
        <w:tc>
          <w:tcPr>
            <w:tcW w:type="dxa" w:w="4320"/>
            <w:tcMar>
              <w:top w:w="80" w:type="dxa"/>
              <w:start w:w="120" w:type="dxa"/>
              <w:bottom w:w="80" w:type="dxa"/>
              <w:end w:w="120" w:type="dxa"/>
            </w:tcMar>
            <w:vAlign w:val="top"/>
          </w:tcPr>
          <w:p>
            <w:pPr>
              <w:spacing w:after="40"/>
            </w:pPr>
            <w:r>
              <w:rPr>
                <w:rFonts w:ascii="Calibri" w:hAnsi="Calibri"/>
                <w:b w:val="0"/>
                <w:sz w:val="14"/>
              </w:rPr>
              <w:t>Allotment for INR 18m but receipt INR 17.1m; fee netting unsupported.</w:t>
            </w:r>
          </w:p>
        </w:tc>
      </w:tr>
      <w:tr>
        <w:tc>
          <w:tcPr>
            <w:tcW w:type="dxa" w:w="792"/>
            <w:tcMar>
              <w:top w:w="80" w:type="dxa"/>
              <w:start w:w="120" w:type="dxa"/>
              <w:bottom w:w="80" w:type="dxa"/>
              <w:end w:w="120" w:type="dxa"/>
            </w:tcMar>
            <w:vAlign w:val="top"/>
          </w:tcPr>
          <w:p>
            <w:pPr>
              <w:spacing w:after="40"/>
            </w:pPr>
            <w:r>
              <w:rPr>
                <w:rFonts w:ascii="Calibri" w:hAnsi="Calibri"/>
                <w:b w:val="0"/>
                <w:sz w:val="14"/>
              </w:rPr>
              <w:t>I-14</w:t>
            </w:r>
          </w:p>
        </w:tc>
        <w:tc>
          <w:tcPr>
            <w:tcW w:type="dxa" w:w="1800"/>
            <w:tcMar>
              <w:top w:w="80" w:type="dxa"/>
              <w:start w:w="120" w:type="dxa"/>
              <w:bottom w:w="80" w:type="dxa"/>
              <w:end w:w="120" w:type="dxa"/>
            </w:tcMar>
            <w:vAlign w:val="top"/>
          </w:tcPr>
          <w:p>
            <w:pPr>
              <w:spacing w:after="40"/>
            </w:pPr>
            <w:r>
              <w:rPr>
                <w:rFonts w:ascii="Calibri" w:hAnsi="Calibri"/>
                <w:b w:val="0"/>
                <w:sz w:val="14"/>
              </w:rPr>
              <w:t>Bad Leaver</w:t>
            </w:r>
          </w:p>
        </w:tc>
        <w:tc>
          <w:tcPr>
            <w:tcW w:type="dxa" w:w="2448"/>
            <w:tcMar>
              <w:top w:w="80" w:type="dxa"/>
              <w:start w:w="120" w:type="dxa"/>
              <w:bottom w:w="80" w:type="dxa"/>
              <w:end w:w="120" w:type="dxa"/>
            </w:tcMar>
            <w:vAlign w:val="top"/>
          </w:tcPr>
          <w:p>
            <w:pPr>
              <w:spacing w:after="40"/>
            </w:pPr>
            <w:r>
              <w:rPr>
                <w:rFonts w:ascii="Calibri" w:hAnsi="Calibri"/>
                <w:b w:val="0"/>
                <w:sz w:val="14"/>
              </w:rPr>
              <w:t>VP-01 cl 8; VP-03; VP-05 D</w:t>
            </w:r>
          </w:p>
        </w:tc>
        <w:tc>
          <w:tcPr>
            <w:tcW w:type="dxa" w:w="4320"/>
            <w:tcMar>
              <w:top w:w="80" w:type="dxa"/>
              <w:start w:w="120" w:type="dxa"/>
              <w:bottom w:w="80" w:type="dxa"/>
              <w:end w:w="120" w:type="dxa"/>
            </w:tcMar>
            <w:vAlign w:val="top"/>
          </w:tcPr>
          <w:p>
            <w:pPr>
              <w:spacing w:after="40"/>
            </w:pPr>
            <w:r>
              <w:rPr>
                <w:rFonts w:ascii="Calibri" w:hAnsi="Calibri"/>
                <w:b w:val="0"/>
                <w:sz w:val="14"/>
              </w:rPr>
              <w:t>All shares vested; call not automatic; fraud not finally established; no transfer/payment/valuation.</w:t>
            </w:r>
          </w:p>
        </w:tc>
      </w:tr>
      <w:tr>
        <w:tc>
          <w:tcPr>
            <w:tcW w:type="dxa" w:w="792"/>
            <w:tcMar>
              <w:top w:w="80" w:type="dxa"/>
              <w:start w:w="120" w:type="dxa"/>
              <w:bottom w:w="80" w:type="dxa"/>
              <w:end w:w="120" w:type="dxa"/>
            </w:tcMar>
            <w:vAlign w:val="top"/>
          </w:tcPr>
          <w:p>
            <w:pPr>
              <w:spacing w:after="40"/>
            </w:pPr>
            <w:r>
              <w:rPr>
                <w:rFonts w:ascii="Calibri" w:hAnsi="Calibri"/>
                <w:b w:val="0"/>
                <w:sz w:val="14"/>
              </w:rPr>
              <w:t>I-15</w:t>
            </w:r>
          </w:p>
        </w:tc>
        <w:tc>
          <w:tcPr>
            <w:tcW w:type="dxa" w:w="1800"/>
            <w:tcMar>
              <w:top w:w="80" w:type="dxa"/>
              <w:start w:w="120" w:type="dxa"/>
              <w:bottom w:w="80" w:type="dxa"/>
              <w:end w:w="120" w:type="dxa"/>
            </w:tcMar>
            <w:vAlign w:val="top"/>
          </w:tcPr>
          <w:p>
            <w:pPr>
              <w:spacing w:after="40"/>
            </w:pPr>
            <w:r>
              <w:rPr>
                <w:rFonts w:ascii="Calibri" w:hAnsi="Calibri"/>
                <w:b w:val="0"/>
                <w:sz w:val="14"/>
              </w:rPr>
              <w:t>Unanimity</w:t>
            </w:r>
          </w:p>
        </w:tc>
        <w:tc>
          <w:tcPr>
            <w:tcW w:type="dxa" w:w="2448"/>
            <w:tcMar>
              <w:top w:w="80" w:type="dxa"/>
              <w:start w:w="120" w:type="dxa"/>
              <w:bottom w:w="80" w:type="dxa"/>
              <w:end w:w="120" w:type="dxa"/>
            </w:tcMar>
            <w:vAlign w:val="top"/>
          </w:tcPr>
          <w:p>
            <w:pPr>
              <w:spacing w:after="40"/>
            </w:pPr>
            <w:r>
              <w:rPr>
                <w:rFonts w:ascii="Calibri" w:hAnsi="Calibri"/>
                <w:b w:val="0"/>
                <w:sz w:val="14"/>
              </w:rPr>
              <w:t>VP-05 D/E; VP-08; VP-12</w:t>
            </w:r>
          </w:p>
        </w:tc>
        <w:tc>
          <w:tcPr>
            <w:tcW w:type="dxa" w:w="4320"/>
            <w:tcMar>
              <w:top w:w="80" w:type="dxa"/>
              <w:start w:w="120" w:type="dxa"/>
              <w:bottom w:w="80" w:type="dxa"/>
              <w:end w:w="120" w:type="dxa"/>
            </w:tcMar>
            <w:vAlign w:val="top"/>
          </w:tcPr>
          <w:p>
            <w:pPr>
              <w:spacing w:after="40"/>
            </w:pPr>
            <w:r>
              <w:rPr>
                <w:rFonts w:ascii="Calibri" w:hAnsi="Calibri"/>
                <w:b w:val="0"/>
                <w:sz w:val="14"/>
              </w:rPr>
              <w:t>Rohan expressly dissented on fraud; 'unanimous' is wrong.</w:t>
            </w:r>
          </w:p>
        </w:tc>
      </w:tr>
      <w:tr>
        <w:tc>
          <w:tcPr>
            <w:tcW w:type="dxa" w:w="792"/>
            <w:tcMar>
              <w:top w:w="80" w:type="dxa"/>
              <w:start w:w="120" w:type="dxa"/>
              <w:bottom w:w="80" w:type="dxa"/>
              <w:end w:w="120" w:type="dxa"/>
            </w:tcMar>
            <w:vAlign w:val="top"/>
          </w:tcPr>
          <w:p>
            <w:pPr>
              <w:spacing w:after="40"/>
            </w:pPr>
            <w:r>
              <w:rPr>
                <w:rFonts w:ascii="Calibri" w:hAnsi="Calibri"/>
                <w:b w:val="0"/>
                <w:sz w:val="14"/>
              </w:rPr>
              <w:t>I-16</w:t>
            </w:r>
          </w:p>
        </w:tc>
        <w:tc>
          <w:tcPr>
            <w:tcW w:type="dxa" w:w="1800"/>
            <w:tcMar>
              <w:top w:w="80" w:type="dxa"/>
              <w:start w:w="120" w:type="dxa"/>
              <w:bottom w:w="80" w:type="dxa"/>
              <w:end w:w="120" w:type="dxa"/>
            </w:tcMar>
            <w:vAlign w:val="top"/>
          </w:tcPr>
          <w:p>
            <w:pPr>
              <w:spacing w:after="40"/>
            </w:pPr>
            <w:r>
              <w:rPr>
                <w:rFonts w:ascii="Calibri" w:hAnsi="Calibri"/>
                <w:b w:val="0"/>
                <w:sz w:val="14"/>
              </w:rPr>
              <w:t>Vertex Labs quantum</w:t>
            </w:r>
          </w:p>
        </w:tc>
        <w:tc>
          <w:tcPr>
            <w:tcW w:type="dxa" w:w="2448"/>
            <w:tcMar>
              <w:top w:w="80" w:type="dxa"/>
              <w:start w:w="120" w:type="dxa"/>
              <w:bottom w:w="80" w:type="dxa"/>
              <w:end w:w="120" w:type="dxa"/>
            </w:tcMar>
            <w:vAlign w:val="top"/>
          </w:tcPr>
          <w:p>
            <w:pPr>
              <w:spacing w:after="40"/>
            </w:pPr>
            <w:r>
              <w:rPr>
                <w:rFonts w:ascii="Calibri" w:hAnsi="Calibri"/>
                <w:b w:val="0"/>
                <w:sz w:val="14"/>
              </w:rPr>
              <w:t>VP-05/07/10/18</w:t>
            </w:r>
          </w:p>
        </w:tc>
        <w:tc>
          <w:tcPr>
            <w:tcW w:type="dxa" w:w="4320"/>
            <w:tcMar>
              <w:top w:w="80" w:type="dxa"/>
              <w:start w:w="120" w:type="dxa"/>
              <w:bottom w:w="80" w:type="dxa"/>
              <w:end w:w="120" w:type="dxa"/>
            </w:tcMar>
            <w:vAlign w:val="top"/>
          </w:tcPr>
          <w:p>
            <w:pPr>
              <w:spacing w:after="40"/>
            </w:pPr>
            <w:r>
              <w:rPr>
                <w:rFonts w:ascii="Calibri" w:hAnsi="Calibri"/>
                <w:b w:val="0"/>
                <w:sz w:val="14"/>
              </w:rPr>
              <w:t>INR 24.1m paid; INR 19.8m support; INR 3.2m refund; INR 1.1m unexplained, subject to complete invoices.</w:t>
            </w:r>
          </w:p>
        </w:tc>
      </w:tr>
      <w:tr>
        <w:tc>
          <w:tcPr>
            <w:tcW w:type="dxa" w:w="792"/>
            <w:tcMar>
              <w:top w:w="80" w:type="dxa"/>
              <w:start w:w="120" w:type="dxa"/>
              <w:bottom w:w="80" w:type="dxa"/>
              <w:end w:w="120" w:type="dxa"/>
            </w:tcMar>
            <w:vAlign w:val="top"/>
          </w:tcPr>
          <w:p>
            <w:pPr>
              <w:spacing w:after="40"/>
            </w:pPr>
            <w:r>
              <w:rPr>
                <w:rFonts w:ascii="Calibri" w:hAnsi="Calibri"/>
                <w:b w:val="0"/>
                <w:sz w:val="14"/>
              </w:rPr>
              <w:t>I-17</w:t>
            </w:r>
          </w:p>
        </w:tc>
        <w:tc>
          <w:tcPr>
            <w:tcW w:type="dxa" w:w="1800"/>
            <w:tcMar>
              <w:top w:w="80" w:type="dxa"/>
              <w:start w:w="120" w:type="dxa"/>
              <w:bottom w:w="80" w:type="dxa"/>
              <w:end w:w="120" w:type="dxa"/>
            </w:tcMar>
            <w:vAlign w:val="top"/>
          </w:tcPr>
          <w:p>
            <w:pPr>
              <w:spacing w:after="40"/>
            </w:pPr>
            <w:r>
              <w:rPr>
                <w:rFonts w:ascii="Calibri" w:hAnsi="Calibri"/>
                <w:b w:val="0"/>
                <w:sz w:val="14"/>
              </w:rPr>
              <w:t>Personal benefit</w:t>
            </w:r>
          </w:p>
        </w:tc>
        <w:tc>
          <w:tcPr>
            <w:tcW w:type="dxa" w:w="2448"/>
            <w:tcMar>
              <w:top w:w="80" w:type="dxa"/>
              <w:start w:w="120" w:type="dxa"/>
              <w:bottom w:w="80" w:type="dxa"/>
              <w:end w:w="120" w:type="dxa"/>
            </w:tcMar>
            <w:vAlign w:val="top"/>
          </w:tcPr>
          <w:p>
            <w:pPr>
              <w:spacing w:after="40"/>
            </w:pPr>
            <w:r>
              <w:rPr>
                <w:rFonts w:ascii="Calibri" w:hAnsi="Calibri"/>
                <w:b w:val="0"/>
                <w:sz w:val="14"/>
              </w:rPr>
              <w:t>All financial records</w:t>
            </w:r>
          </w:p>
        </w:tc>
        <w:tc>
          <w:tcPr>
            <w:tcW w:type="dxa" w:w="4320"/>
            <w:tcMar>
              <w:top w:w="80" w:type="dxa"/>
              <w:start w:w="120" w:type="dxa"/>
              <w:bottom w:w="80" w:type="dxa"/>
              <w:end w:w="120" w:type="dxa"/>
            </w:tcMar>
            <w:vAlign w:val="top"/>
          </w:tcPr>
          <w:p>
            <w:pPr>
              <w:spacing w:after="40"/>
            </w:pPr>
            <w:r>
              <w:rPr>
                <w:rFonts w:ascii="Calibri" w:hAnsi="Calibri"/>
                <w:b w:val="0"/>
                <w:sz w:val="14"/>
              </w:rPr>
              <w:t>No tracing to Aarav. Do not equate brother's firm plus poor process with proven embezzlement.</w:t>
            </w:r>
          </w:p>
        </w:tc>
      </w:tr>
      <w:tr>
        <w:tc>
          <w:tcPr>
            <w:tcW w:type="dxa" w:w="792"/>
            <w:tcMar>
              <w:top w:w="80" w:type="dxa"/>
              <w:start w:w="120" w:type="dxa"/>
              <w:bottom w:w="80" w:type="dxa"/>
              <w:end w:w="120" w:type="dxa"/>
            </w:tcMar>
            <w:vAlign w:val="top"/>
          </w:tcPr>
          <w:p>
            <w:pPr>
              <w:spacing w:after="40"/>
            </w:pPr>
            <w:r>
              <w:rPr>
                <w:rFonts w:ascii="Calibri" w:hAnsi="Calibri"/>
                <w:b w:val="0"/>
                <w:sz w:val="14"/>
              </w:rPr>
              <w:t>I-18</w:t>
            </w:r>
          </w:p>
        </w:tc>
        <w:tc>
          <w:tcPr>
            <w:tcW w:type="dxa" w:w="1800"/>
            <w:tcMar>
              <w:top w:w="80" w:type="dxa"/>
              <w:start w:w="120" w:type="dxa"/>
              <w:bottom w:w="80" w:type="dxa"/>
              <w:end w:w="120" w:type="dxa"/>
            </w:tcMar>
            <w:vAlign w:val="top"/>
          </w:tcPr>
          <w:p>
            <w:pPr>
              <w:spacing w:after="40"/>
            </w:pPr>
            <w:r>
              <w:rPr>
                <w:rFonts w:ascii="Calibri" w:hAnsi="Calibri"/>
                <w:b w:val="0"/>
                <w:sz w:val="14"/>
              </w:rPr>
              <w:t>Nimbus notice date</w:t>
            </w:r>
          </w:p>
        </w:tc>
        <w:tc>
          <w:tcPr>
            <w:tcW w:type="dxa" w:w="2448"/>
            <w:tcMar>
              <w:top w:w="80" w:type="dxa"/>
              <w:start w:w="120" w:type="dxa"/>
              <w:bottom w:w="80" w:type="dxa"/>
              <w:end w:w="120" w:type="dxa"/>
            </w:tcMar>
            <w:vAlign w:val="top"/>
          </w:tcPr>
          <w:p>
            <w:pPr>
              <w:spacing w:after="40"/>
            </w:pPr>
            <w:r>
              <w:rPr>
                <w:rFonts w:ascii="Calibri" w:hAnsi="Calibri"/>
                <w:b w:val="0"/>
                <w:sz w:val="14"/>
              </w:rPr>
              <w:t>VP-09; VP-15</w:t>
            </w:r>
          </w:p>
        </w:tc>
        <w:tc>
          <w:tcPr>
            <w:tcW w:type="dxa" w:w="4320"/>
            <w:tcMar>
              <w:top w:w="80" w:type="dxa"/>
              <w:start w:w="120" w:type="dxa"/>
              <w:bottom w:w="80" w:type="dxa"/>
              <w:end w:w="120" w:type="dxa"/>
            </w:tcMar>
            <w:vAlign w:val="top"/>
          </w:tcPr>
          <w:p>
            <w:pPr>
              <w:spacing w:after="40"/>
            </w:pPr>
            <w:r>
              <w:rPr>
                <w:rFonts w:ascii="Calibri" w:hAnsi="Calibri"/>
                <w:b w:val="0"/>
                <w:sz w:val="14"/>
              </w:rPr>
              <w:t>Dated 22 Aug, generated/sent 26 Aug, references 25 Aug. Suspicious but explained as template dating error.</w:t>
            </w:r>
          </w:p>
        </w:tc>
      </w:tr>
      <w:tr>
        <w:tc>
          <w:tcPr>
            <w:tcW w:type="dxa" w:w="792"/>
            <w:tcMar>
              <w:top w:w="80" w:type="dxa"/>
              <w:start w:w="120" w:type="dxa"/>
              <w:bottom w:w="80" w:type="dxa"/>
              <w:end w:w="120" w:type="dxa"/>
            </w:tcMar>
            <w:vAlign w:val="top"/>
          </w:tcPr>
          <w:p>
            <w:pPr>
              <w:spacing w:after="40"/>
            </w:pPr>
            <w:r>
              <w:rPr>
                <w:rFonts w:ascii="Calibri" w:hAnsi="Calibri"/>
                <w:b w:val="0"/>
                <w:sz w:val="14"/>
              </w:rPr>
              <w:t>I-19</w:t>
            </w:r>
          </w:p>
        </w:tc>
        <w:tc>
          <w:tcPr>
            <w:tcW w:type="dxa" w:w="1800"/>
            <w:tcMar>
              <w:top w:w="80" w:type="dxa"/>
              <w:start w:w="120" w:type="dxa"/>
              <w:bottom w:w="80" w:type="dxa"/>
              <w:end w:w="120" w:type="dxa"/>
            </w:tcMar>
            <w:vAlign w:val="top"/>
          </w:tcPr>
          <w:p>
            <w:pPr>
              <w:spacing w:after="40"/>
            </w:pPr>
            <w:r>
              <w:rPr>
                <w:rFonts w:ascii="Calibri" w:hAnsi="Calibri"/>
                <w:b w:val="0"/>
                <w:sz w:val="14"/>
              </w:rPr>
              <w:t>Nimbus demand</w:t>
            </w:r>
          </w:p>
        </w:tc>
        <w:tc>
          <w:tcPr>
            <w:tcW w:type="dxa" w:w="2448"/>
            <w:tcMar>
              <w:top w:w="80" w:type="dxa"/>
              <w:start w:w="120" w:type="dxa"/>
              <w:bottom w:w="80" w:type="dxa"/>
              <w:end w:w="120" w:type="dxa"/>
            </w:tcMar>
            <w:vAlign w:val="top"/>
          </w:tcPr>
          <w:p>
            <w:pPr>
              <w:spacing w:after="40"/>
            </w:pPr>
            <w:r>
              <w:rPr>
                <w:rFonts w:ascii="Calibri" w:hAnsi="Calibri"/>
                <w:b w:val="0"/>
                <w:sz w:val="14"/>
              </w:rPr>
              <w:t>VP-05/08/09</w:t>
            </w:r>
          </w:p>
        </w:tc>
        <w:tc>
          <w:tcPr>
            <w:tcW w:type="dxa" w:w="4320"/>
            <w:tcMar>
              <w:top w:w="80" w:type="dxa"/>
              <w:start w:w="120" w:type="dxa"/>
              <w:bottom w:w="80" w:type="dxa"/>
              <w:end w:w="120" w:type="dxa"/>
            </w:tcMar>
            <w:vAlign w:val="top"/>
          </w:tcPr>
          <w:p>
            <w:pPr>
              <w:spacing w:after="40"/>
            </w:pPr>
            <w:r>
              <w:rPr>
                <w:rFonts w:ascii="Calibri" w:hAnsi="Calibri"/>
                <w:b w:val="0"/>
                <w:sz w:val="14"/>
              </w:rPr>
              <w:t>Kavya says leadership change needed; Nimbus documents do not. Competing call notes are unverified.</w:t>
            </w:r>
          </w:p>
        </w:tc>
      </w:tr>
      <w:tr>
        <w:tc>
          <w:tcPr>
            <w:tcW w:type="dxa" w:w="792"/>
            <w:tcMar>
              <w:top w:w="80" w:type="dxa"/>
              <w:start w:w="120" w:type="dxa"/>
              <w:bottom w:w="80" w:type="dxa"/>
              <w:end w:w="120" w:type="dxa"/>
            </w:tcMar>
            <w:vAlign w:val="top"/>
          </w:tcPr>
          <w:p>
            <w:pPr>
              <w:spacing w:after="40"/>
            </w:pPr>
            <w:r>
              <w:rPr>
                <w:rFonts w:ascii="Calibri" w:hAnsi="Calibri"/>
                <w:b w:val="0"/>
                <w:sz w:val="14"/>
              </w:rPr>
              <w:t>I-20</w:t>
            </w:r>
          </w:p>
        </w:tc>
        <w:tc>
          <w:tcPr>
            <w:tcW w:type="dxa" w:w="1800"/>
            <w:tcMar>
              <w:top w:w="80" w:type="dxa"/>
              <w:start w:w="120" w:type="dxa"/>
              <w:bottom w:w="80" w:type="dxa"/>
              <w:end w:w="120" w:type="dxa"/>
            </w:tcMar>
            <w:vAlign w:val="top"/>
          </w:tcPr>
          <w:p>
            <w:pPr>
              <w:spacing w:after="40"/>
            </w:pPr>
            <w:r>
              <w:rPr>
                <w:rFonts w:ascii="Calibri" w:hAnsi="Calibri"/>
                <w:b w:val="0"/>
                <w:sz w:val="14"/>
              </w:rPr>
              <w:t>Revenue recognition</w:t>
            </w:r>
          </w:p>
        </w:tc>
        <w:tc>
          <w:tcPr>
            <w:tcW w:type="dxa" w:w="2448"/>
            <w:tcMar>
              <w:top w:w="80" w:type="dxa"/>
              <w:start w:w="120" w:type="dxa"/>
              <w:bottom w:w="80" w:type="dxa"/>
              <w:end w:w="120" w:type="dxa"/>
            </w:tcMar>
            <w:vAlign w:val="top"/>
          </w:tcPr>
          <w:p>
            <w:pPr>
              <w:spacing w:after="40"/>
            </w:pPr>
            <w:r>
              <w:rPr>
                <w:rFonts w:ascii="Calibri" w:hAnsi="Calibri"/>
                <w:b w:val="0"/>
                <w:sz w:val="14"/>
              </w:rPr>
              <w:t>VP-10</w:t>
            </w:r>
          </w:p>
        </w:tc>
        <w:tc>
          <w:tcPr>
            <w:tcW w:type="dxa" w:w="4320"/>
            <w:tcMar>
              <w:top w:w="80" w:type="dxa"/>
              <w:start w:w="120" w:type="dxa"/>
              <w:bottom w:w="80" w:type="dxa"/>
              <w:end w:w="120" w:type="dxa"/>
            </w:tcMar>
            <w:vAlign w:val="top"/>
          </w:tcPr>
          <w:p>
            <w:pPr>
              <w:spacing w:after="40"/>
            </w:pPr>
            <w:r>
              <w:rPr>
                <w:rFonts w:ascii="Calibri" w:hAnsi="Calibri"/>
                <w:b w:val="0"/>
                <w:sz w:val="14"/>
              </w:rPr>
              <w:t>INR 31.5m booked without signed acceptance; MSA deemed-acceptance clause not produced.</w:t>
            </w:r>
          </w:p>
        </w:tc>
      </w:tr>
      <w:tr>
        <w:tc>
          <w:tcPr>
            <w:tcW w:type="dxa" w:w="792"/>
            <w:tcMar>
              <w:top w:w="80" w:type="dxa"/>
              <w:start w:w="120" w:type="dxa"/>
              <w:bottom w:w="80" w:type="dxa"/>
              <w:end w:w="120" w:type="dxa"/>
            </w:tcMar>
            <w:vAlign w:val="top"/>
          </w:tcPr>
          <w:p>
            <w:pPr>
              <w:spacing w:after="40"/>
            </w:pPr>
            <w:r>
              <w:rPr>
                <w:rFonts w:ascii="Calibri" w:hAnsi="Calibri"/>
                <w:b w:val="0"/>
                <w:sz w:val="14"/>
              </w:rPr>
              <w:t>I-21</w:t>
            </w:r>
          </w:p>
        </w:tc>
        <w:tc>
          <w:tcPr>
            <w:tcW w:type="dxa" w:w="1800"/>
            <w:tcMar>
              <w:top w:w="80" w:type="dxa"/>
              <w:start w:w="120" w:type="dxa"/>
              <w:bottom w:w="80" w:type="dxa"/>
              <w:end w:w="120" w:type="dxa"/>
            </w:tcMar>
            <w:vAlign w:val="top"/>
          </w:tcPr>
          <w:p>
            <w:pPr>
              <w:spacing w:after="40"/>
            </w:pPr>
            <w:r>
              <w:rPr>
                <w:rFonts w:ascii="Calibri" w:hAnsi="Calibri"/>
                <w:b w:val="0"/>
                <w:sz w:val="14"/>
              </w:rPr>
              <w:t>Regulatory status</w:t>
            </w:r>
          </w:p>
        </w:tc>
        <w:tc>
          <w:tcPr>
            <w:tcW w:type="dxa" w:w="2448"/>
            <w:tcMar>
              <w:top w:w="80" w:type="dxa"/>
              <w:start w:w="120" w:type="dxa"/>
              <w:bottom w:w="80" w:type="dxa"/>
              <w:end w:w="120" w:type="dxa"/>
            </w:tcMar>
            <w:vAlign w:val="top"/>
          </w:tcPr>
          <w:p>
            <w:pPr>
              <w:spacing w:after="40"/>
            </w:pPr>
            <w:r>
              <w:rPr>
                <w:rFonts w:ascii="Calibri" w:hAnsi="Calibri"/>
                <w:b w:val="0"/>
                <w:sz w:val="14"/>
              </w:rPr>
              <w:t>VP-01/07/09/10</w:t>
            </w:r>
          </w:p>
        </w:tc>
        <w:tc>
          <w:tcPr>
            <w:tcW w:type="dxa" w:w="4320"/>
            <w:tcMar>
              <w:top w:w="80" w:type="dxa"/>
              <w:start w:w="120" w:type="dxa"/>
              <w:bottom w:w="80" w:type="dxa"/>
              <w:end w:w="120" w:type="dxa"/>
            </w:tcMar>
            <w:vAlign w:val="top"/>
          </w:tcPr>
          <w:p>
            <w:pPr>
              <w:spacing w:after="40"/>
            </w:pPr>
            <w:r>
              <w:rPr>
                <w:rFonts w:ascii="Calibri" w:hAnsi="Calibri"/>
                <w:b w:val="0"/>
                <w:sz w:val="14"/>
              </w:rPr>
              <w:t>No evidence VertexPay held live funds. Marketing risk is real; operating unlicensed PA is not established.</w:t>
            </w:r>
          </w:p>
        </w:tc>
      </w:tr>
      <w:tr>
        <w:tc>
          <w:tcPr>
            <w:tcW w:type="dxa" w:w="792"/>
            <w:tcMar>
              <w:top w:w="80" w:type="dxa"/>
              <w:start w:w="120" w:type="dxa"/>
              <w:bottom w:w="80" w:type="dxa"/>
              <w:end w:w="120" w:type="dxa"/>
            </w:tcMar>
            <w:vAlign w:val="top"/>
          </w:tcPr>
          <w:p>
            <w:pPr>
              <w:spacing w:after="40"/>
            </w:pPr>
            <w:r>
              <w:rPr>
                <w:rFonts w:ascii="Calibri" w:hAnsi="Calibri"/>
                <w:b w:val="0"/>
                <w:sz w:val="14"/>
              </w:rPr>
              <w:t>I-22</w:t>
            </w:r>
          </w:p>
        </w:tc>
        <w:tc>
          <w:tcPr>
            <w:tcW w:type="dxa" w:w="1800"/>
            <w:tcMar>
              <w:top w:w="80" w:type="dxa"/>
              <w:start w:w="120" w:type="dxa"/>
              <w:bottom w:w="80" w:type="dxa"/>
              <w:end w:w="120" w:type="dxa"/>
            </w:tcMar>
            <w:vAlign w:val="top"/>
          </w:tcPr>
          <w:p>
            <w:pPr>
              <w:spacing w:after="40"/>
            </w:pPr>
            <w:r>
              <w:rPr>
                <w:rFonts w:ascii="Calibri" w:hAnsi="Calibri"/>
                <w:b w:val="0"/>
                <w:sz w:val="14"/>
              </w:rPr>
              <w:t>Electronic evidence</w:t>
            </w:r>
          </w:p>
        </w:tc>
        <w:tc>
          <w:tcPr>
            <w:tcW w:type="dxa" w:w="2448"/>
            <w:tcMar>
              <w:top w:w="80" w:type="dxa"/>
              <w:start w:w="120" w:type="dxa"/>
              <w:bottom w:w="80" w:type="dxa"/>
              <w:end w:w="120" w:type="dxa"/>
            </w:tcMar>
            <w:vAlign w:val="top"/>
          </w:tcPr>
          <w:p>
            <w:pPr>
              <w:spacing w:after="40"/>
            </w:pPr>
            <w:r>
              <w:rPr>
                <w:rFonts w:ascii="Calibri" w:hAnsi="Calibri"/>
                <w:b w:val="0"/>
                <w:sz w:val="14"/>
              </w:rPr>
              <w:t>VP-07/08/15/16</w:t>
            </w:r>
          </w:p>
        </w:tc>
        <w:tc>
          <w:tcPr>
            <w:tcW w:type="dxa" w:w="4320"/>
            <w:tcMar>
              <w:top w:w="80" w:type="dxa"/>
              <w:start w:w="120" w:type="dxa"/>
              <w:bottom w:w="80" w:type="dxa"/>
              <w:end w:w="120" w:type="dxa"/>
            </w:tcMar>
            <w:vAlign w:val="top"/>
          </w:tcPr>
          <w:p>
            <w:pPr>
              <w:spacing w:after="40"/>
            </w:pPr>
            <w:r>
              <w:rPr>
                <w:rFonts w:ascii="Calibri" w:hAnsi="Calibri"/>
                <w:b w:val="0"/>
                <w:sz w:val="14"/>
              </w:rPr>
              <w:t>Renders/text exports lack complete section 63 certificate, hashes or native custody.</w:t>
            </w:r>
          </w:p>
        </w:tc>
      </w:tr>
      <w:tr>
        <w:tc>
          <w:tcPr>
            <w:tcW w:type="dxa" w:w="792"/>
            <w:tcMar>
              <w:top w:w="80" w:type="dxa"/>
              <w:start w:w="120" w:type="dxa"/>
              <w:bottom w:w="80" w:type="dxa"/>
              <w:end w:w="120" w:type="dxa"/>
            </w:tcMar>
            <w:vAlign w:val="top"/>
          </w:tcPr>
          <w:p>
            <w:pPr>
              <w:spacing w:after="40"/>
            </w:pPr>
            <w:r>
              <w:rPr>
                <w:rFonts w:ascii="Calibri" w:hAnsi="Calibri"/>
                <w:b w:val="0"/>
                <w:sz w:val="14"/>
              </w:rPr>
              <w:t>I-23</w:t>
            </w:r>
          </w:p>
        </w:tc>
        <w:tc>
          <w:tcPr>
            <w:tcW w:type="dxa" w:w="1800"/>
            <w:tcMar>
              <w:top w:w="80" w:type="dxa"/>
              <w:start w:w="120" w:type="dxa"/>
              <w:bottom w:w="80" w:type="dxa"/>
              <w:end w:w="120" w:type="dxa"/>
            </w:tcMar>
            <w:vAlign w:val="top"/>
          </w:tcPr>
          <w:p>
            <w:pPr>
              <w:spacing w:after="40"/>
            </w:pPr>
            <w:r>
              <w:rPr>
                <w:rFonts w:ascii="Calibri" w:hAnsi="Calibri"/>
                <w:b w:val="0"/>
                <w:sz w:val="14"/>
              </w:rPr>
              <w:t>Privilege</w:t>
            </w:r>
          </w:p>
        </w:tc>
        <w:tc>
          <w:tcPr>
            <w:tcW w:type="dxa" w:w="2448"/>
            <w:tcMar>
              <w:top w:w="80" w:type="dxa"/>
              <w:start w:w="120" w:type="dxa"/>
              <w:bottom w:w="80" w:type="dxa"/>
              <w:end w:w="120" w:type="dxa"/>
            </w:tcMar>
            <w:vAlign w:val="top"/>
          </w:tcPr>
          <w:p>
            <w:pPr>
              <w:spacing w:after="40"/>
            </w:pPr>
            <w:r>
              <w:rPr>
                <w:rFonts w:ascii="Calibri" w:hAnsi="Calibri"/>
                <w:b w:val="0"/>
                <w:sz w:val="14"/>
              </w:rPr>
              <w:t>VP-08</w:t>
            </w:r>
          </w:p>
        </w:tc>
        <w:tc>
          <w:tcPr>
            <w:tcW w:type="dxa" w:w="4320"/>
            <w:tcMar>
              <w:top w:w="80" w:type="dxa"/>
              <w:start w:w="120" w:type="dxa"/>
              <w:bottom w:w="80" w:type="dxa"/>
              <w:end w:w="120" w:type="dxa"/>
            </w:tcMar>
            <w:vAlign w:val="top"/>
          </w:tcPr>
          <w:p>
            <w:pPr>
              <w:spacing w:after="40"/>
            </w:pPr>
            <w:r>
              <w:rPr>
                <w:rFonts w:ascii="Calibri" w:hAnsi="Calibri"/>
                <w:b w:val="0"/>
                <w:sz w:val="14"/>
              </w:rPr>
              <w:t>Two investor-lawyer communications are facially privileged; benchmark tests identification, not casual merits use.</w:t>
            </w:r>
          </w:p>
        </w:tc>
      </w:tr>
      <w:tr>
        <w:tc>
          <w:tcPr>
            <w:tcW w:type="dxa" w:w="792"/>
            <w:tcMar>
              <w:top w:w="80" w:type="dxa"/>
              <w:start w:w="120" w:type="dxa"/>
              <w:bottom w:w="80" w:type="dxa"/>
              <w:end w:w="120" w:type="dxa"/>
            </w:tcMar>
            <w:vAlign w:val="top"/>
          </w:tcPr>
          <w:p>
            <w:pPr>
              <w:spacing w:after="40"/>
            </w:pPr>
            <w:r>
              <w:rPr>
                <w:rFonts w:ascii="Calibri" w:hAnsi="Calibri"/>
                <w:b w:val="0"/>
                <w:sz w:val="14"/>
              </w:rPr>
              <w:t>I-24</w:t>
            </w:r>
          </w:p>
        </w:tc>
        <w:tc>
          <w:tcPr>
            <w:tcW w:type="dxa" w:w="1800"/>
            <w:tcMar>
              <w:top w:w="80" w:type="dxa"/>
              <w:start w:w="120" w:type="dxa"/>
              <w:bottom w:w="80" w:type="dxa"/>
              <w:end w:w="120" w:type="dxa"/>
            </w:tcMar>
            <w:vAlign w:val="top"/>
          </w:tcPr>
          <w:p>
            <w:pPr>
              <w:spacing w:after="40"/>
            </w:pPr>
            <w:r>
              <w:rPr>
                <w:rFonts w:ascii="Calibri" w:hAnsi="Calibri"/>
                <w:b w:val="0"/>
                <w:sz w:val="14"/>
              </w:rPr>
              <w:t>Standing</w:t>
            </w:r>
          </w:p>
        </w:tc>
        <w:tc>
          <w:tcPr>
            <w:tcW w:type="dxa" w:w="2448"/>
            <w:tcMar>
              <w:top w:w="80" w:type="dxa"/>
              <w:start w:w="120" w:type="dxa"/>
              <w:bottom w:w="80" w:type="dxa"/>
              <w:end w:w="120" w:type="dxa"/>
            </w:tcMar>
            <w:vAlign w:val="top"/>
          </w:tcPr>
          <w:p>
            <w:pPr>
              <w:spacing w:after="40"/>
            </w:pPr>
            <w:r>
              <w:rPr>
                <w:rFonts w:ascii="Calibri" w:hAnsi="Calibri"/>
                <w:b w:val="0"/>
                <w:sz w:val="14"/>
              </w:rPr>
              <w:t>VP-13/17</w:t>
            </w:r>
          </w:p>
        </w:tc>
        <w:tc>
          <w:tcPr>
            <w:tcW w:type="dxa" w:w="4320"/>
            <w:tcMar>
              <w:top w:w="80" w:type="dxa"/>
              <w:start w:w="120" w:type="dxa"/>
              <w:bottom w:w="80" w:type="dxa"/>
              <w:end w:w="120" w:type="dxa"/>
            </w:tcMar>
            <w:vAlign w:val="top"/>
          </w:tcPr>
          <w:p>
            <w:pPr>
              <w:spacing w:after="40"/>
            </w:pPr>
            <w:r>
              <w:rPr>
                <w:rFonts w:ascii="Calibri" w:hAnsi="Calibri"/>
                <w:b w:val="0"/>
                <w:sz w:val="14"/>
              </w:rPr>
              <w:t>Aarav exceeds 10% on every plausible denominator; waiver under s244 is unnecessary.</w:t>
            </w:r>
          </w:p>
        </w:tc>
      </w:tr>
    </w:tbl>
    <w:p>
      <w:pPr>
        <w:spacing w:after="40"/>
      </w:pPr>
    </w:p>
    <w:p>
      <w:pPr>
        <w:pStyle w:val="Heading1"/>
      </w:pPr>
      <w:r>
        <w:t>4. Expected legal issues and verified authorities</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8EEF5"/>
            <w:tcMar>
              <w:top w:w="80" w:type="dxa"/>
              <w:start w:w="120" w:type="dxa"/>
              <w:bottom w:w="80" w:type="dxa"/>
              <w:end w:w="120" w:type="dxa"/>
            </w:tcMar>
            <w:vAlign w:val="top"/>
          </w:tcPr>
          <w:p>
            <w:pPr>
              <w:spacing w:after="40"/>
            </w:pPr>
            <w:r>
              <w:rPr>
                <w:rFonts w:ascii="Calibri" w:hAnsi="Calibri"/>
                <w:b/>
                <w:sz w:val="15"/>
              </w:rPr>
              <w:t>Topic</w:t>
            </w:r>
          </w:p>
        </w:tc>
        <w:tc>
          <w:tcPr>
            <w:tcW w:type="dxa" w:w="6984"/>
            <w:shd w:fill="E8EEF5"/>
            <w:tcMar>
              <w:top w:w="80" w:type="dxa"/>
              <w:start w:w="120" w:type="dxa"/>
              <w:bottom w:w="80" w:type="dxa"/>
              <w:end w:w="120" w:type="dxa"/>
            </w:tcMar>
            <w:vAlign w:val="top"/>
          </w:tcPr>
          <w:p>
            <w:pPr>
              <w:spacing w:after="40"/>
            </w:pPr>
            <w:r>
              <w:rPr>
                <w:rFonts w:ascii="Calibri" w:hAnsi="Calibri"/>
                <w:b/>
                <w:sz w:val="15"/>
              </w:rPr>
              <w:t>Expected treatment</w:t>
            </w:r>
          </w:p>
        </w:tc>
      </w:tr>
      <w:tr>
        <w:tc>
          <w:tcPr>
            <w:tcW w:type="dxa" w:w="2376"/>
            <w:tcMar>
              <w:top w:w="80" w:type="dxa"/>
              <w:start w:w="120" w:type="dxa"/>
              <w:bottom w:w="80" w:type="dxa"/>
              <w:end w:w="120" w:type="dxa"/>
            </w:tcMar>
            <w:vAlign w:val="top"/>
          </w:tcPr>
          <w:p>
            <w:pPr>
              <w:spacing w:after="40"/>
            </w:pPr>
            <w:r>
              <w:rPr>
                <w:rFonts w:ascii="Calibri" w:hAnsi="Calibri"/>
                <w:b w:val="0"/>
                <w:sz w:val="15"/>
              </w:rPr>
              <w:t>Oppression / mismanagement</w:t>
            </w:r>
          </w:p>
        </w:tc>
        <w:tc>
          <w:tcPr>
            <w:tcW w:type="dxa" w:w="6984"/>
            <w:tcMar>
              <w:top w:w="80" w:type="dxa"/>
              <w:start w:w="120" w:type="dxa"/>
              <w:bottom w:w="80" w:type="dxa"/>
              <w:end w:w="120" w:type="dxa"/>
            </w:tcMar>
            <w:vAlign w:val="top"/>
          </w:tcPr>
          <w:p>
            <w:pPr>
              <w:spacing w:after="40"/>
            </w:pPr>
            <w:r>
              <w:rPr>
                <w:rFonts w:ascii="Calibri" w:hAnsi="Calibri"/>
                <w:b w:val="0"/>
                <w:sz w:val="15"/>
              </w:rPr>
              <w:t>Companies Act 2013 ss 241-244. Test requires more than isolated illegality; assess the course of affairs, prejudice/oppression and just-and-equitable dimension. Relief under s242 is broad. TCS Ltd v Cyrus Investments, Supreme Court judgment 26 Mar 2021, should be read directly and not reduced to a slogan.</w:t>
            </w:r>
          </w:p>
        </w:tc>
      </w:tr>
      <w:tr>
        <w:tc>
          <w:tcPr>
            <w:tcW w:type="dxa" w:w="2376"/>
            <w:tcMar>
              <w:top w:w="80" w:type="dxa"/>
              <w:start w:w="120" w:type="dxa"/>
              <w:bottom w:w="80" w:type="dxa"/>
              <w:end w:w="120" w:type="dxa"/>
            </w:tcMar>
            <w:vAlign w:val="top"/>
          </w:tcPr>
          <w:p>
            <w:pPr>
              <w:spacing w:after="40"/>
            </w:pPr>
            <w:r>
              <w:rPr>
                <w:rFonts w:ascii="Calibri" w:hAnsi="Calibri"/>
                <w:b w:val="0"/>
                <w:sz w:val="15"/>
              </w:rPr>
              <w:t>Further issue and control dilution</w:t>
            </w:r>
          </w:p>
        </w:tc>
        <w:tc>
          <w:tcPr>
            <w:tcW w:type="dxa" w:w="6984"/>
            <w:tcMar>
              <w:top w:w="80" w:type="dxa"/>
              <w:start w:w="120" w:type="dxa"/>
              <w:bottom w:w="80" w:type="dxa"/>
              <w:end w:w="120" w:type="dxa"/>
            </w:tcMar>
            <w:vAlign w:val="top"/>
          </w:tcPr>
          <w:p>
            <w:pPr>
              <w:spacing w:after="40"/>
            </w:pPr>
            <w:r>
              <w:rPr>
                <w:rFonts w:ascii="Calibri" w:hAnsi="Calibri"/>
                <w:b w:val="0"/>
                <w:sz w:val="15"/>
              </w:rPr>
              <w:t>Companies Act s62, the Articles and director duties under s166. Examine statutory approvals, purpose, valuation, disclosures and contractual pre-emption separately.</w:t>
            </w:r>
          </w:p>
        </w:tc>
      </w:tr>
      <w:tr>
        <w:tc>
          <w:tcPr>
            <w:tcW w:type="dxa" w:w="2376"/>
            <w:tcMar>
              <w:top w:w="80" w:type="dxa"/>
              <w:start w:w="120" w:type="dxa"/>
              <w:bottom w:w="80" w:type="dxa"/>
              <w:end w:w="120" w:type="dxa"/>
            </w:tcMar>
            <w:vAlign w:val="top"/>
          </w:tcPr>
          <w:p>
            <w:pPr>
              <w:spacing w:after="40"/>
            </w:pPr>
            <w:r>
              <w:rPr>
                <w:rFonts w:ascii="Calibri" w:hAnsi="Calibri"/>
                <w:b w:val="0"/>
                <w:sz w:val="15"/>
              </w:rPr>
              <w:t>Director removal</w:t>
            </w:r>
          </w:p>
        </w:tc>
        <w:tc>
          <w:tcPr>
            <w:tcW w:type="dxa" w:w="6984"/>
            <w:tcMar>
              <w:top w:w="80" w:type="dxa"/>
              <w:start w:w="120" w:type="dxa"/>
              <w:bottom w:w="80" w:type="dxa"/>
              <w:end w:w="120" w:type="dxa"/>
            </w:tcMar>
            <w:vAlign w:val="top"/>
          </w:tcPr>
          <w:p>
            <w:pPr>
              <w:spacing w:after="40"/>
            </w:pPr>
            <w:r>
              <w:rPr>
                <w:rFonts w:ascii="Calibri" w:hAnsi="Calibri"/>
                <w:b w:val="0"/>
                <w:sz w:val="15"/>
              </w:rPr>
              <w:t>Companies Act s169, including special notice and reasonable opportunity to be heard/representations. Also consider s115 and the facts of circulation and access.</w:t>
            </w:r>
          </w:p>
        </w:tc>
      </w:tr>
      <w:tr>
        <w:tc>
          <w:tcPr>
            <w:tcW w:type="dxa" w:w="2376"/>
            <w:tcMar>
              <w:top w:w="80" w:type="dxa"/>
              <w:start w:w="120" w:type="dxa"/>
              <w:bottom w:w="80" w:type="dxa"/>
              <w:end w:w="120" w:type="dxa"/>
            </w:tcMar>
            <w:vAlign w:val="top"/>
          </w:tcPr>
          <w:p>
            <w:pPr>
              <w:spacing w:after="40"/>
            </w:pPr>
            <w:r>
              <w:rPr>
                <w:rFonts w:ascii="Calibri" w:hAnsi="Calibri"/>
                <w:b w:val="0"/>
                <w:sz w:val="15"/>
              </w:rPr>
              <w:t>Meetings and minutes</w:t>
            </w:r>
          </w:p>
        </w:tc>
        <w:tc>
          <w:tcPr>
            <w:tcW w:type="dxa" w:w="6984"/>
            <w:tcMar>
              <w:top w:w="80" w:type="dxa"/>
              <w:start w:w="120" w:type="dxa"/>
              <w:bottom w:w="80" w:type="dxa"/>
              <w:end w:w="120" w:type="dxa"/>
            </w:tcMar>
            <w:vAlign w:val="top"/>
          </w:tcPr>
          <w:p>
            <w:pPr>
              <w:spacing w:after="40"/>
            </w:pPr>
            <w:r>
              <w:rPr>
                <w:rFonts w:ascii="Calibri" w:hAnsi="Calibri"/>
                <w:b w:val="0"/>
                <w:sz w:val="15"/>
              </w:rPr>
              <w:t>Companies Act ss100-102, 114-118, 173-175; SS-1 and SS-2 revised versions effective 1 Apr 2024 under s118(10). Do not assume a contractual defect automatically voids every corporate act.</w:t>
            </w:r>
          </w:p>
        </w:tc>
      </w:tr>
      <w:tr>
        <w:tc>
          <w:tcPr>
            <w:tcW w:type="dxa" w:w="2376"/>
            <w:tcMar>
              <w:top w:w="80" w:type="dxa"/>
              <w:start w:w="120" w:type="dxa"/>
              <w:bottom w:w="80" w:type="dxa"/>
              <w:end w:w="120" w:type="dxa"/>
            </w:tcMar>
            <w:vAlign w:val="top"/>
          </w:tcPr>
          <w:p>
            <w:pPr>
              <w:spacing w:after="40"/>
            </w:pPr>
            <w:r>
              <w:rPr>
                <w:rFonts w:ascii="Calibri" w:hAnsi="Calibri"/>
                <w:b w:val="0"/>
                <w:sz w:val="15"/>
              </w:rPr>
              <w:t>Directors' conflicts/duties</w:t>
            </w:r>
          </w:p>
        </w:tc>
        <w:tc>
          <w:tcPr>
            <w:tcW w:type="dxa" w:w="6984"/>
            <w:tcMar>
              <w:top w:w="80" w:type="dxa"/>
              <w:start w:w="120" w:type="dxa"/>
              <w:bottom w:w="80" w:type="dxa"/>
              <w:end w:w="120" w:type="dxa"/>
            </w:tcMar>
            <w:vAlign w:val="top"/>
          </w:tcPr>
          <w:p>
            <w:pPr>
              <w:spacing w:after="40"/>
            </w:pPr>
            <w:r>
              <w:rPr>
                <w:rFonts w:ascii="Calibri" w:hAnsi="Calibri"/>
                <w:b w:val="0"/>
                <w:sz w:val="15"/>
              </w:rPr>
              <w:t>Companies Act ss166, 184 and, where applicable, s188 and relevant rules. Related-party status and contractual 'related party' can differ.</w:t>
            </w:r>
          </w:p>
        </w:tc>
      </w:tr>
      <w:tr>
        <w:tc>
          <w:tcPr>
            <w:tcW w:type="dxa" w:w="2376"/>
            <w:tcMar>
              <w:top w:w="80" w:type="dxa"/>
              <w:start w:w="120" w:type="dxa"/>
              <w:bottom w:w="80" w:type="dxa"/>
              <w:end w:w="120" w:type="dxa"/>
            </w:tcMar>
            <w:vAlign w:val="top"/>
          </w:tcPr>
          <w:p>
            <w:pPr>
              <w:spacing w:after="40"/>
            </w:pPr>
            <w:r>
              <w:rPr>
                <w:rFonts w:ascii="Calibri" w:hAnsi="Calibri"/>
                <w:b w:val="0"/>
                <w:sz w:val="15"/>
              </w:rPr>
              <w:t>Articles and SHA</w:t>
            </w:r>
          </w:p>
        </w:tc>
        <w:tc>
          <w:tcPr>
            <w:tcW w:type="dxa" w:w="6984"/>
            <w:tcMar>
              <w:top w:w="80" w:type="dxa"/>
              <w:start w:w="120" w:type="dxa"/>
              <w:bottom w:w="80" w:type="dxa"/>
              <w:end w:w="120" w:type="dxa"/>
            </w:tcMar>
            <w:vAlign w:val="top"/>
          </w:tcPr>
          <w:p>
            <w:pPr>
              <w:spacing w:after="40"/>
            </w:pPr>
            <w:r>
              <w:rPr>
                <w:rFonts w:ascii="Calibri" w:hAnsi="Calibri"/>
                <w:b w:val="0"/>
                <w:sz w:val="15"/>
              </w:rPr>
              <w:t>Companies Act s10 and the actual wording of VP-01/VP-02. Score recognition that inter se contract enforceability, corporate authority and statutory validity require separate analysis.</w:t>
            </w:r>
          </w:p>
        </w:tc>
      </w:tr>
      <w:tr>
        <w:tc>
          <w:tcPr>
            <w:tcW w:type="dxa" w:w="2376"/>
            <w:tcMar>
              <w:top w:w="80" w:type="dxa"/>
              <w:start w:w="120" w:type="dxa"/>
              <w:bottom w:w="80" w:type="dxa"/>
              <w:end w:w="120" w:type="dxa"/>
            </w:tcMar>
            <w:vAlign w:val="top"/>
          </w:tcPr>
          <w:p>
            <w:pPr>
              <w:spacing w:after="40"/>
            </w:pPr>
            <w:r>
              <w:rPr>
                <w:rFonts w:ascii="Calibri" w:hAnsi="Calibri"/>
                <w:b w:val="0"/>
                <w:sz w:val="15"/>
              </w:rPr>
              <w:t>Arbitration / NCLT</w:t>
            </w:r>
          </w:p>
        </w:tc>
        <w:tc>
          <w:tcPr>
            <w:tcW w:type="dxa" w:w="6984"/>
            <w:tcMar>
              <w:top w:w="80" w:type="dxa"/>
              <w:start w:w="120" w:type="dxa"/>
              <w:bottom w:w="80" w:type="dxa"/>
              <w:end w:w="120" w:type="dxa"/>
            </w:tcMar>
            <w:vAlign w:val="top"/>
          </w:tcPr>
          <w:p>
            <w:pPr>
              <w:spacing w:after="40"/>
            </w:pPr>
            <w:r>
              <w:rPr>
                <w:rFonts w:ascii="Calibri" w:hAnsi="Calibri"/>
                <w:b w:val="0"/>
                <w:sz w:val="15"/>
              </w:rPr>
              <w:t>Arbitration Act ss8, 9, 11 and 16; SHA cl14. Apply the subject-matter and remedy analysis in Vidya Drolia v Durga Trading Corporation (Supreme Court, 2020/2021 judgment). Avoid a categorical claim that every shareholder dispute is or is not arbitrable.</w:t>
            </w:r>
          </w:p>
        </w:tc>
      </w:tr>
      <w:tr>
        <w:tc>
          <w:tcPr>
            <w:tcW w:type="dxa" w:w="2376"/>
            <w:tcMar>
              <w:top w:w="80" w:type="dxa"/>
              <w:start w:w="120" w:type="dxa"/>
              <w:bottom w:w="80" w:type="dxa"/>
              <w:end w:w="120" w:type="dxa"/>
            </w:tcMar>
            <w:vAlign w:val="top"/>
          </w:tcPr>
          <w:p>
            <w:pPr>
              <w:spacing w:after="40"/>
            </w:pPr>
            <w:r>
              <w:rPr>
                <w:rFonts w:ascii="Calibri" w:hAnsi="Calibri"/>
                <w:b w:val="0"/>
                <w:sz w:val="15"/>
              </w:rPr>
              <w:t>Employment / restraints</w:t>
            </w:r>
          </w:p>
        </w:tc>
        <w:tc>
          <w:tcPr>
            <w:tcW w:type="dxa" w:w="6984"/>
            <w:tcMar>
              <w:top w:w="80" w:type="dxa"/>
              <w:start w:w="120" w:type="dxa"/>
              <w:bottom w:w="80" w:type="dxa"/>
              <w:end w:w="120" w:type="dxa"/>
            </w:tcMar>
            <w:vAlign w:val="top"/>
          </w:tcPr>
          <w:p>
            <w:pPr>
              <w:spacing w:after="40"/>
            </w:pPr>
            <w:r>
              <w:rPr>
                <w:rFonts w:ascii="Calibri" w:hAnsi="Calibri"/>
                <w:b w:val="0"/>
                <w:sz w:val="15"/>
              </w:rPr>
              <w:t>Employment agreement and Contract Act s27; Specific Relief Act s14 may affect specific enforcement of determinable/personal-service obligations. Distinguish employment termination from removal as director and share rights.</w:t>
            </w:r>
          </w:p>
        </w:tc>
      </w:tr>
      <w:tr>
        <w:tc>
          <w:tcPr>
            <w:tcW w:type="dxa" w:w="2376"/>
            <w:tcMar>
              <w:top w:w="80" w:type="dxa"/>
              <w:start w:w="120" w:type="dxa"/>
              <w:bottom w:w="80" w:type="dxa"/>
              <w:end w:w="120" w:type="dxa"/>
            </w:tcMar>
            <w:vAlign w:val="top"/>
          </w:tcPr>
          <w:p>
            <w:pPr>
              <w:spacing w:after="40"/>
            </w:pPr>
            <w:r>
              <w:rPr>
                <w:rFonts w:ascii="Calibri" w:hAnsi="Calibri"/>
                <w:b w:val="0"/>
                <w:sz w:val="15"/>
              </w:rPr>
              <w:t>Electronic evidence</w:t>
            </w:r>
          </w:p>
        </w:tc>
        <w:tc>
          <w:tcPr>
            <w:tcW w:type="dxa" w:w="6984"/>
            <w:tcMar>
              <w:top w:w="80" w:type="dxa"/>
              <w:start w:w="120" w:type="dxa"/>
              <w:bottom w:w="80" w:type="dxa"/>
              <w:end w:w="120" w:type="dxa"/>
            </w:tcMar>
            <w:vAlign w:val="top"/>
          </w:tcPr>
          <w:p>
            <w:pPr>
              <w:spacing w:after="40"/>
            </w:pPr>
            <w:r>
              <w:rPr>
                <w:rFonts w:ascii="Calibri" w:hAnsi="Calibri"/>
                <w:b w:val="0"/>
                <w:sz w:val="15"/>
              </w:rPr>
              <w:t>Bharatiya Sakshya Adhiniyam 2023 ss61-63 and statutory certificate schedule; IT Act ss4-5, 10A-13 as relevant. Identify authentication, completeness, hearsay/context and privilege separately.</w:t>
            </w:r>
          </w:p>
        </w:tc>
      </w:tr>
      <w:tr>
        <w:tc>
          <w:tcPr>
            <w:tcW w:type="dxa" w:w="2376"/>
            <w:tcMar>
              <w:top w:w="80" w:type="dxa"/>
              <w:start w:w="120" w:type="dxa"/>
              <w:bottom w:w="80" w:type="dxa"/>
              <w:end w:w="120" w:type="dxa"/>
            </w:tcMar>
            <w:vAlign w:val="top"/>
          </w:tcPr>
          <w:p>
            <w:pPr>
              <w:spacing w:after="40"/>
            </w:pPr>
            <w:r>
              <w:rPr>
                <w:rFonts w:ascii="Calibri" w:hAnsi="Calibri"/>
                <w:b w:val="0"/>
                <w:sz w:val="15"/>
              </w:rPr>
              <w:t>Payment regulation</w:t>
            </w:r>
          </w:p>
        </w:tc>
        <w:tc>
          <w:tcPr>
            <w:tcW w:type="dxa" w:w="6984"/>
            <w:tcMar>
              <w:top w:w="80" w:type="dxa"/>
              <w:start w:w="120" w:type="dxa"/>
              <w:bottom w:w="80" w:type="dxa"/>
              <w:end w:w="120" w:type="dxa"/>
            </w:tcMar>
            <w:vAlign w:val="top"/>
          </w:tcPr>
          <w:p>
            <w:pPr>
              <w:spacing w:after="40"/>
            </w:pPr>
            <w:r>
              <w:rPr>
                <w:rFonts w:ascii="Calibri" w:hAnsi="Calibri"/>
                <w:b w:val="0"/>
                <w:sz w:val="15"/>
              </w:rPr>
              <w:t>Payment and Settlement Systems Act 2007 and RBI Guidelines on Regulation of Payment Aggregators and Payment Gateways dated 17 Mar 2020, with subsequent modifications. Classify actual fund flow before alleging unauthorised PA operation.</w:t>
            </w:r>
          </w:p>
        </w:tc>
      </w:tr>
      <w:tr>
        <w:tc>
          <w:tcPr>
            <w:tcW w:type="dxa" w:w="2376"/>
            <w:tcMar>
              <w:top w:w="80" w:type="dxa"/>
              <w:start w:w="120" w:type="dxa"/>
              <w:bottom w:w="80" w:type="dxa"/>
              <w:end w:w="120" w:type="dxa"/>
            </w:tcMar>
            <w:vAlign w:val="top"/>
          </w:tcPr>
          <w:p>
            <w:pPr>
              <w:spacing w:after="40"/>
            </w:pPr>
            <w:r>
              <w:rPr>
                <w:rFonts w:ascii="Calibri" w:hAnsi="Calibri"/>
                <w:b w:val="0"/>
                <w:sz w:val="15"/>
              </w:rPr>
              <w:t>Procedure</w:t>
            </w:r>
          </w:p>
        </w:tc>
        <w:tc>
          <w:tcPr>
            <w:tcW w:type="dxa" w:w="6984"/>
            <w:tcMar>
              <w:top w:w="80" w:type="dxa"/>
              <w:start w:w="120" w:type="dxa"/>
              <w:bottom w:w="80" w:type="dxa"/>
              <w:end w:w="120" w:type="dxa"/>
            </w:tcMar>
            <w:vAlign w:val="top"/>
          </w:tcPr>
          <w:p>
            <w:pPr>
              <w:spacing w:after="40"/>
            </w:pPr>
            <w:r>
              <w:rPr>
                <w:rFonts w:ascii="Calibri" w:hAnsi="Calibri"/>
                <w:b w:val="0"/>
                <w:sz w:val="15"/>
              </w:rPr>
              <w:t>NCLT Rules 2016 rr34, 37 and 81; Form NCLT-1; verification in Form NCLT-6. The supplied petition is a benchmark draft, not a filing-ready substitute for local registry requirements.</w:t>
            </w:r>
          </w:p>
        </w:tc>
      </w:tr>
    </w:tbl>
    <w:p>
      <w:pPr>
        <w:spacing w:after="40"/>
      </w:pPr>
    </w:p>
    <w:p>
      <w:pPr>
        <w:pStyle w:val="Heading2"/>
      </w:pPr>
      <w:r>
        <w:t>Primary-source links (verified 29 August 2026)</w:t>
      </w:r>
    </w:p>
    <w:p>
      <w:pPr>
        <w:pStyle w:val="ListBullet"/>
        <w:spacing w:after="80"/>
      </w:pPr>
      <w:r>
        <w:rPr>
          <w:rFonts w:ascii="Calibri" w:hAnsi="Calibri"/>
          <w:sz w:val="22"/>
        </w:rPr>
        <w:t>Companies Act 2013 (India Code): https://www.indiacode.nic.in/bitstream/123456789/2114/5/A2013-18.pdf</w:t>
      </w:r>
    </w:p>
    <w:p>
      <w:pPr>
        <w:pStyle w:val="ListBullet"/>
        <w:spacing w:after="80"/>
      </w:pPr>
      <w:r>
        <w:rPr>
          <w:rFonts w:ascii="Calibri" w:hAnsi="Calibri"/>
          <w:sz w:val="22"/>
        </w:rPr>
        <w:t>NCLT Rules 2016 (NCLT): https://nclt.gov.in/sites/default/files/basicpage/Rules_NCLT_latest.pdf</w:t>
      </w:r>
    </w:p>
    <w:p>
      <w:pPr>
        <w:pStyle w:val="ListBullet"/>
        <w:spacing w:after="80"/>
      </w:pPr>
      <w:r>
        <w:rPr>
          <w:rFonts w:ascii="Calibri" w:hAnsi="Calibri"/>
          <w:sz w:val="22"/>
        </w:rPr>
        <w:t>Arbitration and Conciliation Act 1996 (India Code): https://www.indiacode.nic.in/bitstream/123456789/1978/3/a1996-26.pdf</w:t>
      </w:r>
    </w:p>
    <w:p>
      <w:pPr>
        <w:pStyle w:val="ListBullet"/>
        <w:spacing w:after="80"/>
      </w:pPr>
      <w:r>
        <w:rPr>
          <w:rFonts w:ascii="Calibri" w:hAnsi="Calibri"/>
          <w:sz w:val="22"/>
        </w:rPr>
        <w:t>Bharatiya Sakshya Adhiniyam 2023 (India Code): https://www.indiacode.nic.in/bitstream/123456789/20063/1/a2023-47.pdf</w:t>
      </w:r>
    </w:p>
    <w:p>
      <w:pPr>
        <w:pStyle w:val="ListBullet"/>
        <w:spacing w:after="80"/>
      </w:pPr>
      <w:r>
        <w:rPr>
          <w:rFonts w:ascii="Calibri" w:hAnsi="Calibri"/>
          <w:sz w:val="22"/>
        </w:rPr>
        <w:t>Indian Contract Act 1872 (India Code): https://www.indiacode.nic.in/bitstream/123456789/2187/2/A187209.pdf</w:t>
      </w:r>
    </w:p>
    <w:p>
      <w:pPr>
        <w:pStyle w:val="ListBullet"/>
        <w:spacing w:after="80"/>
      </w:pPr>
      <w:r>
        <w:rPr>
          <w:rFonts w:ascii="Calibri" w:hAnsi="Calibri"/>
          <w:sz w:val="22"/>
        </w:rPr>
        <w:t>Specific Relief Act 1963 (India Code landing page): https://www.indiacode.nic.in/handle/123456789/12938</w:t>
      </w:r>
    </w:p>
    <w:p>
      <w:pPr>
        <w:pStyle w:val="ListBullet"/>
        <w:spacing w:after="80"/>
      </w:pPr>
      <w:r>
        <w:rPr>
          <w:rFonts w:ascii="Calibri" w:hAnsi="Calibri"/>
          <w:sz w:val="22"/>
        </w:rPr>
        <w:t>Information Technology Act 2000 (India Code): https://www.indiacode.nic.in/bitstream/123456789/13116/1/it_act_2000_updated.pdf</w:t>
      </w:r>
    </w:p>
    <w:p>
      <w:pPr>
        <w:pStyle w:val="ListBullet"/>
        <w:spacing w:after="80"/>
      </w:pPr>
      <w:r>
        <w:rPr>
          <w:rFonts w:ascii="Calibri" w:hAnsi="Calibri"/>
          <w:sz w:val="22"/>
        </w:rPr>
        <w:t>ICSI SS-1 limited revision/current page: https://www.icsi.edu/finalss1/</w:t>
      </w:r>
    </w:p>
    <w:p>
      <w:pPr>
        <w:pStyle w:val="ListBullet"/>
        <w:spacing w:after="80"/>
      </w:pPr>
      <w:r>
        <w:rPr>
          <w:rFonts w:ascii="Calibri" w:hAnsi="Calibri"/>
          <w:sz w:val="22"/>
        </w:rPr>
        <w:t>ICSI SS-2 revised effective 1 Apr 2024: https://www.icsi.edu/media/webmodules/Final_SS-2.pdf</w:t>
      </w:r>
    </w:p>
    <w:p>
      <w:pPr>
        <w:pStyle w:val="ListBullet"/>
        <w:spacing w:after="80"/>
      </w:pPr>
      <w:r>
        <w:rPr>
          <w:rFonts w:ascii="Calibri" w:hAnsi="Calibri"/>
          <w:sz w:val="22"/>
        </w:rPr>
        <w:t>RBI PA/PG framework and escrow modification: https://www.rbi.org.in/scripts/NotificationUser.aspx?Id=11996</w:t>
      </w:r>
    </w:p>
    <w:p>
      <w:pPr>
        <w:pStyle w:val="ListBullet"/>
        <w:spacing w:after="80"/>
      </w:pPr>
      <w:r>
        <w:rPr>
          <w:rFonts w:ascii="Calibri" w:hAnsi="Calibri"/>
          <w:sz w:val="22"/>
        </w:rPr>
        <w:t>TCS Ltd v Cyrus Investments, Supreme Court judgment 26 Mar 2021: https://api.sci.gov.in/supremecourt/2020/212/212_2020_31_1503_27229_Judgement_26-Mar-2021.pdf</w:t>
      </w:r>
    </w:p>
    <w:p>
      <w:pPr>
        <w:pStyle w:val="ListBullet"/>
        <w:spacing w:after="80"/>
      </w:pPr>
      <w:r>
        <w:rPr>
          <w:rFonts w:ascii="Calibri" w:hAnsi="Calibri"/>
          <w:sz w:val="22"/>
        </w:rPr>
        <w:t>Vidya Drolia reference judgment, Supreme Court: https://api.sci.gov.in/supremecourt/2020/15088/15088_2020_33_1501_26735_Judgement_08-Mar-2021.pdf</w:t>
      </w:r>
    </w:p>
    <w:p>
      <w:pPr>
        <w:pStyle w:val="Heading1"/>
      </w:pPr>
      <w:r>
        <w:t>5. Facts supporting each side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80" w:type="dxa"/>
              <w:start w:w="120" w:type="dxa"/>
              <w:bottom w:w="80" w:type="dxa"/>
              <w:end w:w="120" w:type="dxa"/>
            </w:tcMar>
            <w:vAlign w:val="top"/>
          </w:tcPr>
          <w:p>
            <w:pPr>
              <w:spacing w:after="40"/>
            </w:pPr>
            <w:r>
              <w:rPr>
                <w:rFonts w:ascii="Calibri" w:hAnsi="Calibri"/>
                <w:b/>
                <w:sz w:val="16"/>
              </w:rPr>
              <w:t>Aarav / Petitioner</w:t>
            </w:r>
          </w:p>
        </w:tc>
        <w:tc>
          <w:tcPr>
            <w:tcW w:type="dxa" w:w="4680"/>
            <w:shd w:fill="E8EEF5"/>
            <w:tcMar>
              <w:top w:w="80" w:type="dxa"/>
              <w:start w:w="120" w:type="dxa"/>
              <w:bottom w:w="80" w:type="dxa"/>
              <w:end w:w="120" w:type="dxa"/>
            </w:tcMar>
            <w:vAlign w:val="top"/>
          </w:tcPr>
          <w:p>
            <w:pPr>
              <w:spacing w:after="40"/>
            </w:pPr>
            <w:r>
              <w:rPr>
                <w:rFonts w:ascii="Calibri" w:hAnsi="Calibri"/>
                <w:b/>
                <w:sz w:val="16"/>
              </w:rPr>
              <w:t>Company / Investor</w:t>
            </w:r>
          </w:p>
        </w:tc>
      </w:tr>
      <w:tr>
        <w:tc>
          <w:tcPr>
            <w:tcW w:type="dxa" w:w="4680"/>
            <w:tcMar>
              <w:top w:w="80" w:type="dxa"/>
              <w:start w:w="120" w:type="dxa"/>
              <w:bottom w:w="80" w:type="dxa"/>
              <w:end w:w="120" w:type="dxa"/>
            </w:tcMar>
            <w:vAlign w:val="top"/>
          </w:tcPr>
          <w:p>
            <w:pPr>
              <w:spacing w:after="40"/>
            </w:pPr>
            <w:r>
              <w:rPr>
                <w:rFonts w:ascii="Calibri" w:hAnsi="Calibri"/>
                <w:b w:val="0"/>
                <w:sz w:val="16"/>
              </w:rPr>
              <w:t>Protected consent and formal pre-emption were bypassed; original Board quorum under SHA absent.</w:t>
            </w:r>
          </w:p>
        </w:tc>
        <w:tc>
          <w:tcPr>
            <w:tcW w:type="dxa" w:w="4680"/>
            <w:tcMar>
              <w:top w:w="80" w:type="dxa"/>
              <w:start w:w="120" w:type="dxa"/>
              <w:bottom w:w="80" w:type="dxa"/>
              <w:end w:w="120" w:type="dxa"/>
            </w:tcMar>
            <w:vAlign w:val="top"/>
          </w:tcPr>
          <w:p>
            <w:pPr>
              <w:spacing w:after="40"/>
            </w:pPr>
            <w:r>
              <w:rPr>
                <w:rFonts w:ascii="Calibri" w:hAnsi="Calibri"/>
                <w:b w:val="0"/>
                <w:sz w:val="16"/>
              </w:rPr>
              <w:t>Real insolvency/payroll risk and Nimbus customer crisis required rapid funding.</w:t>
            </w:r>
          </w:p>
        </w:tc>
      </w:tr>
      <w:tr>
        <w:tc>
          <w:tcPr>
            <w:tcW w:type="dxa" w:w="4680"/>
            <w:tcMar>
              <w:top w:w="80" w:type="dxa"/>
              <w:start w:w="120" w:type="dxa"/>
              <w:bottom w:w="80" w:type="dxa"/>
              <w:end w:w="120" w:type="dxa"/>
            </w:tcMar>
            <w:vAlign w:val="top"/>
          </w:tcPr>
          <w:p>
            <w:pPr>
              <w:spacing w:after="40"/>
            </w:pPr>
            <w:r>
              <w:rPr>
                <w:rFonts w:ascii="Calibri" w:hAnsi="Calibri"/>
                <w:b w:val="0"/>
                <w:sz w:val="16"/>
              </w:rPr>
              <w:t>Minutes reconstructed; Rohan dissent suppressed; wrong email/link and EGM exclusion.</w:t>
            </w:r>
          </w:p>
        </w:tc>
        <w:tc>
          <w:tcPr>
            <w:tcW w:type="dxa" w:w="4680"/>
            <w:tcMar>
              <w:top w:w="80" w:type="dxa"/>
              <w:start w:w="120" w:type="dxa"/>
              <w:bottom w:w="80" w:type="dxa"/>
              <w:end w:w="120" w:type="dxa"/>
            </w:tcMar>
            <w:vAlign w:val="top"/>
          </w:tcPr>
          <w:p>
            <w:pPr>
              <w:spacing w:after="40"/>
            </w:pPr>
            <w:r>
              <w:rPr>
                <w:rFonts w:ascii="Calibri" w:hAnsi="Calibri"/>
                <w:b w:val="0"/>
                <w:sz w:val="16"/>
              </w:rPr>
              <w:t>Aarav knew about meeting, joined late, and had a conflict in investigation of related-party payments.</w:t>
            </w:r>
          </w:p>
        </w:tc>
      </w:tr>
      <w:tr>
        <w:tc>
          <w:tcPr>
            <w:tcW w:type="dxa" w:w="4680"/>
            <w:tcMar>
              <w:top w:w="80" w:type="dxa"/>
              <w:start w:w="120" w:type="dxa"/>
              <w:bottom w:w="80" w:type="dxa"/>
              <w:end w:w="120" w:type="dxa"/>
            </w:tcMar>
            <w:vAlign w:val="top"/>
          </w:tcPr>
          <w:p>
            <w:pPr>
              <w:spacing w:after="40"/>
            </w:pPr>
            <w:r>
              <w:rPr>
                <w:rFonts w:ascii="Calibri" w:hAnsi="Calibri"/>
                <w:b w:val="0"/>
                <w:sz w:val="16"/>
              </w:rPr>
              <w:t>No proof of personal receipt or unauthorised live fund pooling; real vendor value/refund exists.</w:t>
            </w:r>
          </w:p>
        </w:tc>
        <w:tc>
          <w:tcPr>
            <w:tcW w:type="dxa" w:w="4680"/>
            <w:tcMar>
              <w:top w:w="80" w:type="dxa"/>
              <w:start w:w="120" w:type="dxa"/>
              <w:bottom w:w="80" w:type="dxa"/>
              <w:end w:w="120" w:type="dxa"/>
            </w:tcMar>
            <w:vAlign w:val="top"/>
          </w:tcPr>
          <w:p>
            <w:pPr>
              <w:spacing w:after="40"/>
            </w:pPr>
            <w:r>
              <w:rPr>
                <w:rFonts w:ascii="Calibri" w:hAnsi="Calibri"/>
                <w:b w:val="0"/>
                <w:sz w:val="16"/>
              </w:rPr>
              <w:t>Aarav directed split payments/misleading narration, incomplete paperwork and inaccurate PA wording.</w:t>
            </w:r>
          </w:p>
        </w:tc>
      </w:tr>
      <w:tr>
        <w:tc>
          <w:tcPr>
            <w:tcW w:type="dxa" w:w="4680"/>
            <w:tcMar>
              <w:top w:w="80" w:type="dxa"/>
              <w:start w:w="120" w:type="dxa"/>
              <w:bottom w:w="80" w:type="dxa"/>
              <w:end w:w="120" w:type="dxa"/>
            </w:tcMar>
            <w:vAlign w:val="top"/>
          </w:tcPr>
          <w:p>
            <w:pPr>
              <w:spacing w:after="40"/>
            </w:pPr>
            <w:r>
              <w:rPr>
                <w:rFonts w:ascii="Calibri" w:hAnsi="Calibri"/>
                <w:b w:val="0"/>
                <w:sz w:val="16"/>
              </w:rPr>
              <w:t>Bridge concentrated Meridian control and Riverstone had an appearance connection.</w:t>
            </w:r>
          </w:p>
        </w:tc>
        <w:tc>
          <w:tcPr>
            <w:tcW w:type="dxa" w:w="4680"/>
            <w:tcMar>
              <w:top w:w="80" w:type="dxa"/>
              <w:start w:w="120" w:type="dxa"/>
              <w:bottom w:w="80" w:type="dxa"/>
              <w:end w:w="120" w:type="dxa"/>
            </w:tcMar>
            <w:vAlign w:val="top"/>
          </w:tcPr>
          <w:p>
            <w:pPr>
              <w:spacing w:after="40"/>
            </w:pPr>
            <w:r>
              <w:rPr>
                <w:rFonts w:ascii="Calibri" w:hAnsi="Calibri"/>
                <w:b w:val="0"/>
                <w:sz w:val="16"/>
              </w:rPr>
              <w:t>Price reflected distress; Meridian funded INR 72m and Riverstone substantially funded; all votes cast supported issue.</w:t>
            </w:r>
          </w:p>
        </w:tc>
      </w:tr>
      <w:tr>
        <w:tc>
          <w:tcPr>
            <w:tcW w:type="dxa" w:w="4680"/>
            <w:tcMar>
              <w:top w:w="80" w:type="dxa"/>
              <w:start w:w="120" w:type="dxa"/>
              <w:bottom w:w="80" w:type="dxa"/>
              <w:end w:w="120" w:type="dxa"/>
            </w:tcMar>
            <w:vAlign w:val="top"/>
          </w:tcPr>
          <w:p>
            <w:pPr>
              <w:spacing w:after="40"/>
            </w:pPr>
            <w:r>
              <w:rPr>
                <w:rFonts w:ascii="Calibri" w:hAnsi="Calibri"/>
                <w:b w:val="0"/>
                <w:sz w:val="16"/>
              </w:rPr>
              <w:t>Bad-leaver process premature; no final fraud finding, valuation, transfer or payment.</w:t>
            </w:r>
          </w:p>
        </w:tc>
        <w:tc>
          <w:tcPr>
            <w:tcW w:type="dxa" w:w="4680"/>
            <w:tcMar>
              <w:top w:w="80" w:type="dxa"/>
              <w:start w:w="120" w:type="dxa"/>
              <w:bottom w:w="80" w:type="dxa"/>
              <w:end w:w="120" w:type="dxa"/>
            </w:tcMar>
            <w:vAlign w:val="top"/>
          </w:tcPr>
          <w:p>
            <w:pPr>
              <w:spacing w:after="40"/>
            </w:pPr>
            <w:r>
              <w:rPr>
                <w:rFonts w:ascii="Calibri" w:hAnsi="Calibri"/>
                <w:b w:val="0"/>
                <w:sz w:val="16"/>
              </w:rPr>
              <w:t>Cause clauses exempt fraud from cure; evidence supported suspension and at least termination without Cause.</w:t>
            </w:r>
          </w:p>
        </w:tc>
      </w:tr>
      <w:tr>
        <w:tc>
          <w:tcPr>
            <w:tcW w:type="dxa" w:w="4680"/>
            <w:tcMar>
              <w:top w:w="80" w:type="dxa"/>
              <w:start w:w="120" w:type="dxa"/>
              <w:bottom w:w="80" w:type="dxa"/>
              <w:end w:w="120" w:type="dxa"/>
            </w:tcMar>
            <w:vAlign w:val="top"/>
          </w:tcPr>
          <w:p>
            <w:pPr>
              <w:spacing w:after="40"/>
            </w:pPr>
            <w:r>
              <w:rPr>
                <w:rFonts w:ascii="Calibri" w:hAnsi="Calibri"/>
                <w:b w:val="0"/>
                <w:sz w:val="16"/>
              </w:rPr>
              <w:t>Nimbus did not demand removal; governance action worsened customer outcome.</w:t>
            </w:r>
          </w:p>
        </w:tc>
        <w:tc>
          <w:tcPr>
            <w:tcW w:type="dxa" w:w="4680"/>
            <w:tcMar>
              <w:top w:w="80" w:type="dxa"/>
              <w:start w:w="120" w:type="dxa"/>
              <w:bottom w:w="80" w:type="dxa"/>
              <w:end w:w="120" w:type="dxa"/>
            </w:tcMar>
            <w:vAlign w:val="top"/>
          </w:tcPr>
          <w:p>
            <w:pPr>
              <w:spacing w:after="40"/>
            </w:pPr>
            <w:r>
              <w:rPr>
                <w:rFonts w:ascii="Calibri" w:hAnsi="Calibri"/>
                <w:b w:val="0"/>
                <w:sz w:val="16"/>
              </w:rPr>
              <w:t>Nimbus concerns pre-dated removal and revenue/log issues were material.</w:t>
            </w:r>
          </w:p>
        </w:tc>
      </w:tr>
    </w:tbl>
    <w:p>
      <w:pPr>
        <w:spacing w:after="40"/>
      </w:pPr>
    </w:p>
    <w:p>
      <w:pPr>
        <w:pStyle w:val="Heading1"/>
      </w:pPr>
      <w:r>
        <w:t>6. Deliberately ambiguous questions</w:t>
      </w:r>
    </w:p>
    <w:p>
      <w:pPr>
        <w:pStyle w:val="ListBullet"/>
        <w:spacing w:after="80"/>
      </w:pPr>
      <w:r>
        <w:rPr>
          <w:rFonts w:ascii="Calibri" w:hAnsi="Calibri"/>
          <w:sz w:val="22"/>
        </w:rPr>
        <w:t>Whether the Articles/SHA quorum conflict makes the 12 September corporate resolutions void, voidable, or merely contractual breaches; answer depends on relief and full law/Articles analysis.</w:t>
      </w:r>
    </w:p>
    <w:p>
      <w:pPr>
        <w:pStyle w:val="ListBullet"/>
        <w:spacing w:after="80"/>
      </w:pPr>
      <w:r>
        <w:rPr>
          <w:rFonts w:ascii="Calibri" w:hAnsi="Calibri"/>
          <w:sz w:val="22"/>
        </w:rPr>
        <w:t>Whether the EGM notice period and service were legally sufficient; facts support defects but the file omits complete dispatch infrastructure and any consent/waiver analysis.</w:t>
      </w:r>
    </w:p>
    <w:p>
      <w:pPr>
        <w:pStyle w:val="ListBullet"/>
        <w:spacing w:after="80"/>
      </w:pPr>
      <w:r>
        <w:rPr>
          <w:rFonts w:ascii="Calibri" w:hAnsi="Calibri"/>
          <w:sz w:val="22"/>
        </w:rPr>
        <w:t>Whether the bridge issue was predominantly for capital rescue or control; both motives exist and purpose is evaluative.</w:t>
      </w:r>
    </w:p>
    <w:p>
      <w:pPr>
        <w:pStyle w:val="ListBullet"/>
        <w:spacing w:after="80"/>
      </w:pPr>
      <w:r>
        <w:rPr>
          <w:rFonts w:ascii="Calibri" w:hAnsi="Calibri"/>
          <w:sz w:val="22"/>
        </w:rPr>
        <w:t>Whether Vertex Labs' remaining gap reflects missing invoices, overpayment or diversion; no final tracing evidence.</w:t>
      </w:r>
    </w:p>
    <w:p>
      <w:pPr>
        <w:pStyle w:val="ListBullet"/>
        <w:spacing w:after="80"/>
      </w:pPr>
      <w:r>
        <w:rPr>
          <w:rFonts w:ascii="Calibri" w:hAnsi="Calibri"/>
          <w:sz w:val="22"/>
        </w:rPr>
        <w:t>Whether Nimbus deemed-acceptance permitted August revenue recognition; full MSA is deliberately absent.</w:t>
      </w:r>
    </w:p>
    <w:p>
      <w:pPr>
        <w:pStyle w:val="ListBullet"/>
        <w:spacing w:after="80"/>
      </w:pPr>
      <w:r>
        <w:rPr>
          <w:rFonts w:ascii="Calibri" w:hAnsi="Calibri"/>
          <w:sz w:val="22"/>
        </w:rPr>
        <w:t>Whether Kavya's spouse relationship meets a statutory related-party definition; facts prove adviser relationship only.</w:t>
      </w:r>
    </w:p>
    <w:p>
      <w:pPr>
        <w:pStyle w:val="ListBullet"/>
        <w:spacing w:after="80"/>
      </w:pPr>
      <w:r>
        <w:rPr>
          <w:rFonts w:ascii="Calibri" w:hAnsi="Calibri"/>
          <w:sz w:val="22"/>
        </w:rPr>
        <w:t>Whether privileged investor emails can be relied on, have been waived, or should be excluded; production circumstances are incomplete.</w:t>
      </w:r>
    </w:p>
    <w:p>
      <w:pPr>
        <w:pStyle w:val="ListBullet"/>
        <w:spacing w:after="80"/>
      </w:pPr>
      <w:r>
        <w:rPr>
          <w:rFonts w:ascii="Calibri" w:hAnsi="Calibri"/>
          <w:sz w:val="22"/>
        </w:rPr>
        <w:t>Whether any contractual claims should be referred to arbitration while the NCLT retains statutory issues; avoid all-or-nothing answers.</w:t>
      </w:r>
    </w:p>
    <w:p>
      <w:pPr>
        <w:pStyle w:val="ListBullet"/>
        <w:spacing w:after="80"/>
      </w:pPr>
      <w:r>
        <w:rPr>
          <w:rFonts w:ascii="Calibri" w:hAnsi="Calibri"/>
          <w:sz w:val="22"/>
        </w:rPr>
        <w:t>Appropriate final remedy: reversal, pro rata cure, governance regulation, or fair-value exit. The benchmark accepts reasoned alternatives.</w:t>
      </w:r>
    </w:p>
    <w:p>
      <w:pPr>
        <w:pStyle w:val="Heading1"/>
      </w:pPr>
      <w:r>
        <w:t>7. Expected findings by common Legal AI task</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vAlign w:val="top"/>
          </w:tcPr>
          <w:p>
            <w:pPr>
              <w:spacing w:after="40"/>
            </w:pPr>
            <w:r>
              <w:rPr>
                <w:rFonts w:ascii="Calibri" w:hAnsi="Calibri"/>
                <w:b/>
                <w:sz w:val="15"/>
              </w:rPr>
              <w:t>Task</w:t>
            </w:r>
          </w:p>
        </w:tc>
        <w:tc>
          <w:tcPr>
            <w:tcW w:type="dxa" w:w="7128"/>
            <w:shd w:fill="E8EEF5"/>
            <w:tcMar>
              <w:top w:w="80" w:type="dxa"/>
              <w:start w:w="120" w:type="dxa"/>
              <w:bottom w:w="80" w:type="dxa"/>
              <w:end w:w="120" w:type="dxa"/>
            </w:tcMar>
            <w:vAlign w:val="top"/>
          </w:tcPr>
          <w:p>
            <w:pPr>
              <w:spacing w:after="40"/>
            </w:pPr>
            <w:r>
              <w:rPr>
                <w:rFonts w:ascii="Calibri" w:hAnsi="Calibri"/>
                <w:b/>
                <w:sz w:val="15"/>
              </w:rPr>
              <w:t>Minimum expected result</w:t>
            </w:r>
          </w:p>
        </w:tc>
      </w:tr>
      <w:tr>
        <w:tc>
          <w:tcPr>
            <w:tcW w:type="dxa" w:w="2232"/>
            <w:tcMar>
              <w:top w:w="80" w:type="dxa"/>
              <w:start w:w="120" w:type="dxa"/>
              <w:bottom w:w="80" w:type="dxa"/>
              <w:end w:w="120" w:type="dxa"/>
            </w:tcMar>
            <w:vAlign w:val="top"/>
          </w:tcPr>
          <w:p>
            <w:pPr>
              <w:spacing w:after="40"/>
            </w:pPr>
            <w:r>
              <w:rPr>
                <w:rFonts w:ascii="Calibri" w:hAnsi="Calibri"/>
                <w:b w:val="0"/>
                <w:sz w:val="15"/>
              </w:rPr>
              <w:t>Chronology</w:t>
            </w:r>
          </w:p>
        </w:tc>
        <w:tc>
          <w:tcPr>
            <w:tcW w:type="dxa" w:w="7128"/>
            <w:tcMar>
              <w:top w:w="80" w:type="dxa"/>
              <w:start w:w="120" w:type="dxa"/>
              <w:bottom w:w="80" w:type="dxa"/>
              <w:end w:w="120" w:type="dxa"/>
            </w:tcMar>
            <w:vAlign w:val="top"/>
          </w:tcPr>
          <w:p>
            <w:pPr>
              <w:spacing w:after="40"/>
            </w:pPr>
            <w:r>
              <w:rPr>
                <w:rFonts w:ascii="Calibri" w:hAnsi="Calibri"/>
                <w:b w:val="0"/>
                <w:sz w:val="15"/>
              </w:rPr>
              <w:t>Produce the core dates above; flag 22/25/26 Aug anomaly, 11/12 Sep mandate, 15 Sep approval vs 5 Oct creation, 30 Sep/30 Oct minutes and funding after allotment.</w:t>
            </w:r>
          </w:p>
        </w:tc>
      </w:tr>
      <w:tr>
        <w:tc>
          <w:tcPr>
            <w:tcW w:type="dxa" w:w="2232"/>
            <w:tcMar>
              <w:top w:w="80" w:type="dxa"/>
              <w:start w:w="120" w:type="dxa"/>
              <w:bottom w:w="80" w:type="dxa"/>
              <w:end w:w="120" w:type="dxa"/>
            </w:tcMar>
            <w:vAlign w:val="top"/>
          </w:tcPr>
          <w:p>
            <w:pPr>
              <w:spacing w:after="40"/>
            </w:pPr>
            <w:r>
              <w:rPr>
                <w:rFonts w:ascii="Calibri" w:hAnsi="Calibri"/>
                <w:b w:val="0"/>
                <w:sz w:val="15"/>
              </w:rPr>
              <w:t>Contract review</w:t>
            </w:r>
          </w:p>
        </w:tc>
        <w:tc>
          <w:tcPr>
            <w:tcW w:type="dxa" w:w="7128"/>
            <w:tcMar>
              <w:top w:w="80" w:type="dxa"/>
              <w:start w:w="120" w:type="dxa"/>
              <w:bottom w:w="80" w:type="dxa"/>
              <w:end w:w="120" w:type="dxa"/>
            </w:tcMar>
            <w:vAlign w:val="top"/>
          </w:tcPr>
          <w:p>
            <w:pPr>
              <w:spacing w:after="40"/>
            </w:pPr>
            <w:r>
              <w:rPr>
                <w:rFonts w:ascii="Calibri" w:hAnsi="Calibri"/>
                <w:b w:val="0"/>
                <w:sz w:val="15"/>
              </w:rPr>
              <w:t>Identify clauses 3.2-3.4, 4, 6, 8, 14-16; Articles omissions/conflicts; employment cure/process; bad-leaver not automatic; post-employment non-compete risk.</w:t>
            </w:r>
          </w:p>
        </w:tc>
      </w:tr>
      <w:tr>
        <w:tc>
          <w:tcPr>
            <w:tcW w:type="dxa" w:w="2232"/>
            <w:tcMar>
              <w:top w:w="80" w:type="dxa"/>
              <w:start w:w="120" w:type="dxa"/>
              <w:bottom w:w="80" w:type="dxa"/>
              <w:end w:w="120" w:type="dxa"/>
            </w:tcMar>
            <w:vAlign w:val="top"/>
          </w:tcPr>
          <w:p>
            <w:pPr>
              <w:spacing w:after="40"/>
            </w:pPr>
            <w:r>
              <w:rPr>
                <w:rFonts w:ascii="Calibri" w:hAnsi="Calibri"/>
                <w:b w:val="0"/>
                <w:sz w:val="15"/>
              </w:rPr>
              <w:t>Issue spotting</w:t>
            </w:r>
          </w:p>
        </w:tc>
        <w:tc>
          <w:tcPr>
            <w:tcW w:type="dxa" w:w="7128"/>
            <w:tcMar>
              <w:top w:w="80" w:type="dxa"/>
              <w:start w:w="120" w:type="dxa"/>
              <w:bottom w:w="80" w:type="dxa"/>
              <w:end w:w="120" w:type="dxa"/>
            </w:tcMar>
            <w:vAlign w:val="top"/>
          </w:tcPr>
          <w:p>
            <w:pPr>
              <w:spacing w:after="40"/>
            </w:pPr>
            <w:r>
              <w:rPr>
                <w:rFonts w:ascii="Calibri" w:hAnsi="Calibri"/>
                <w:b w:val="0"/>
                <w:sz w:val="15"/>
              </w:rPr>
              <w:t>Cover corporate approvals, purpose/duties, oppression, removal, arbitration split, employment, related-party/conflict, regulatory classification, evidence/authentication, privilege and remedies.</w:t>
            </w:r>
          </w:p>
        </w:tc>
      </w:tr>
      <w:tr>
        <w:tc>
          <w:tcPr>
            <w:tcW w:type="dxa" w:w="2232"/>
            <w:tcMar>
              <w:top w:w="80" w:type="dxa"/>
              <w:start w:w="120" w:type="dxa"/>
              <w:bottom w:w="80" w:type="dxa"/>
              <w:end w:w="120" w:type="dxa"/>
            </w:tcMar>
            <w:vAlign w:val="top"/>
          </w:tcPr>
          <w:p>
            <w:pPr>
              <w:spacing w:after="40"/>
            </w:pPr>
            <w:r>
              <w:rPr>
                <w:rFonts w:ascii="Calibri" w:hAnsi="Calibri"/>
                <w:b w:val="0"/>
                <w:sz w:val="15"/>
              </w:rPr>
              <w:t>Cap table</w:t>
            </w:r>
          </w:p>
        </w:tc>
        <w:tc>
          <w:tcPr>
            <w:tcW w:type="dxa" w:w="7128"/>
            <w:tcMar>
              <w:top w:w="80" w:type="dxa"/>
              <w:start w:w="120" w:type="dxa"/>
              <w:bottom w:w="80" w:type="dxa"/>
              <w:end w:w="120" w:type="dxa"/>
            </w:tcMar>
            <w:vAlign w:val="top"/>
          </w:tcPr>
          <w:p>
            <w:pPr>
              <w:spacing w:after="40"/>
            </w:pPr>
            <w:r>
              <w:rPr>
                <w:rFonts w:ascii="Calibri" w:hAnsi="Calibri"/>
                <w:b w:val="0"/>
                <w:sz w:val="15"/>
              </w:rPr>
              <w:t>Reconcile 10m pre-bridge FD and 15m post-bridge FD; Aarav 27%; Meridian 40%; distinguish issued 14.5m and Aarav 27.93%. Identify 17.8% as unsupported.</w:t>
            </w:r>
          </w:p>
        </w:tc>
      </w:tr>
      <w:tr>
        <w:tc>
          <w:tcPr>
            <w:tcW w:type="dxa" w:w="2232"/>
            <w:tcMar>
              <w:top w:w="80" w:type="dxa"/>
              <w:start w:w="120" w:type="dxa"/>
              <w:bottom w:w="80" w:type="dxa"/>
              <w:end w:w="120" w:type="dxa"/>
            </w:tcMar>
            <w:vAlign w:val="top"/>
          </w:tcPr>
          <w:p>
            <w:pPr>
              <w:spacing w:after="40"/>
            </w:pPr>
            <w:r>
              <w:rPr>
                <w:rFonts w:ascii="Calibri" w:hAnsi="Calibri"/>
                <w:b w:val="0"/>
                <w:sz w:val="15"/>
              </w:rPr>
              <w:t>Financial analysis</w:t>
            </w:r>
          </w:p>
        </w:tc>
        <w:tc>
          <w:tcPr>
            <w:tcW w:type="dxa" w:w="7128"/>
            <w:tcMar>
              <w:top w:w="80" w:type="dxa"/>
              <w:start w:w="120" w:type="dxa"/>
              <w:bottom w:w="80" w:type="dxa"/>
              <w:end w:w="120" w:type="dxa"/>
            </w:tcMar>
            <w:vAlign w:val="top"/>
          </w:tcPr>
          <w:p>
            <w:pPr>
              <w:spacing w:after="40"/>
            </w:pPr>
            <w:r>
              <w:rPr>
                <w:rFonts w:ascii="Calibri" w:hAnsi="Calibri"/>
                <w:b w:val="0"/>
                <w:sz w:val="15"/>
              </w:rPr>
              <w:t>Confirm genuine funding crisis; flag unsupported Nimbus recognition, cost totals, Vertex Labs 24.1/19.8/3.2/1.1 bridge, and Riverstone 0.9 shortfall.</w:t>
            </w:r>
          </w:p>
        </w:tc>
      </w:tr>
      <w:tr>
        <w:tc>
          <w:tcPr>
            <w:tcW w:type="dxa" w:w="2232"/>
            <w:tcMar>
              <w:top w:w="80" w:type="dxa"/>
              <w:start w:w="120" w:type="dxa"/>
              <w:bottom w:w="80" w:type="dxa"/>
              <w:end w:w="120" w:type="dxa"/>
            </w:tcMar>
            <w:vAlign w:val="top"/>
          </w:tcPr>
          <w:p>
            <w:pPr>
              <w:spacing w:after="40"/>
            </w:pPr>
            <w:r>
              <w:rPr>
                <w:rFonts w:ascii="Calibri" w:hAnsi="Calibri"/>
                <w:b w:val="0"/>
                <w:sz w:val="15"/>
              </w:rPr>
              <w:t>Evidence review</w:t>
            </w:r>
          </w:p>
        </w:tc>
        <w:tc>
          <w:tcPr>
            <w:tcW w:type="dxa" w:w="7128"/>
            <w:tcMar>
              <w:top w:w="80" w:type="dxa"/>
              <w:start w:w="120" w:type="dxa"/>
              <w:bottom w:w="80" w:type="dxa"/>
              <w:end w:w="120" w:type="dxa"/>
            </w:tcMar>
            <w:vAlign w:val="top"/>
          </w:tcPr>
          <w:p>
            <w:pPr>
              <w:spacing w:after="40"/>
            </w:pPr>
            <w:r>
              <w:rPr>
                <w:rFonts w:ascii="Calibri" w:hAnsi="Calibri"/>
                <w:b w:val="0"/>
                <w:sz w:val="15"/>
              </w:rPr>
              <w:t>Separate admissions from allegations; demand native records, complete s63 certificate, hashes, device/server custody, Board video, valuation, subscription agreement, PAS-3 and full MSA.</w:t>
            </w:r>
          </w:p>
        </w:tc>
      </w:tr>
      <w:tr>
        <w:tc>
          <w:tcPr>
            <w:tcW w:type="dxa" w:w="2232"/>
            <w:tcMar>
              <w:top w:w="80" w:type="dxa"/>
              <w:start w:w="120" w:type="dxa"/>
              <w:bottom w:w="80" w:type="dxa"/>
              <w:end w:w="120" w:type="dxa"/>
            </w:tcMar>
            <w:vAlign w:val="top"/>
          </w:tcPr>
          <w:p>
            <w:pPr>
              <w:spacing w:after="40"/>
            </w:pPr>
            <w:r>
              <w:rPr>
                <w:rFonts w:ascii="Calibri" w:hAnsi="Calibri"/>
                <w:b w:val="0"/>
                <w:sz w:val="15"/>
              </w:rPr>
              <w:t>Pleading analysis</w:t>
            </w:r>
          </w:p>
        </w:tc>
        <w:tc>
          <w:tcPr>
            <w:tcW w:type="dxa" w:w="7128"/>
            <w:tcMar>
              <w:top w:w="80" w:type="dxa"/>
              <w:start w:w="120" w:type="dxa"/>
              <w:bottom w:w="80" w:type="dxa"/>
              <w:end w:w="120" w:type="dxa"/>
            </w:tcMar>
            <w:vAlign w:val="top"/>
          </w:tcPr>
          <w:p>
            <w:pPr>
              <w:spacing w:after="40"/>
            </w:pPr>
            <w:r>
              <w:rPr>
                <w:rFonts w:ascii="Calibri" w:hAnsi="Calibri"/>
                <w:b w:val="0"/>
                <w:sz w:val="15"/>
              </w:rPr>
              <w:t>Find standing satisfied; distinguish statutory from contractual/employment claims; evaluate interim preservation/status quo with business carve-outs; note missing filing evidence.</w:t>
            </w:r>
          </w:p>
        </w:tc>
      </w:tr>
      <w:tr>
        <w:tc>
          <w:tcPr>
            <w:tcW w:type="dxa" w:w="2232"/>
            <w:tcMar>
              <w:top w:w="80" w:type="dxa"/>
              <w:start w:w="120" w:type="dxa"/>
              <w:bottom w:w="80" w:type="dxa"/>
              <w:end w:w="120" w:type="dxa"/>
            </w:tcMar>
            <w:vAlign w:val="top"/>
          </w:tcPr>
          <w:p>
            <w:pPr>
              <w:spacing w:after="40"/>
            </w:pPr>
            <w:r>
              <w:rPr>
                <w:rFonts w:ascii="Calibri" w:hAnsi="Calibri"/>
                <w:b w:val="0"/>
                <w:sz w:val="15"/>
              </w:rPr>
              <w:t>Legal notice drafting</w:t>
            </w:r>
          </w:p>
        </w:tc>
        <w:tc>
          <w:tcPr>
            <w:tcW w:type="dxa" w:w="7128"/>
            <w:tcMar>
              <w:top w:w="80" w:type="dxa"/>
              <w:start w:w="120" w:type="dxa"/>
              <w:bottom w:w="80" w:type="dxa"/>
              <w:end w:w="120" w:type="dxa"/>
            </w:tcMar>
            <w:vAlign w:val="top"/>
          </w:tcPr>
          <w:p>
            <w:pPr>
              <w:spacing w:after="40"/>
            </w:pPr>
            <w:r>
              <w:rPr>
                <w:rFonts w:ascii="Calibri" w:hAnsi="Calibri"/>
                <w:b w:val="0"/>
                <w:sz w:val="15"/>
              </w:rPr>
              <w:t>Accurately state shareholding and alternative theories; preserve statutory/arbitration positions; avoid asserting theft, voidness or regulatory breach as established.</w:t>
            </w:r>
          </w:p>
        </w:tc>
      </w:tr>
      <w:tr>
        <w:tc>
          <w:tcPr>
            <w:tcW w:type="dxa" w:w="2232"/>
            <w:tcMar>
              <w:top w:w="80" w:type="dxa"/>
              <w:start w:w="120" w:type="dxa"/>
              <w:bottom w:w="80" w:type="dxa"/>
              <w:end w:w="120" w:type="dxa"/>
            </w:tcMar>
            <w:vAlign w:val="top"/>
          </w:tcPr>
          <w:p>
            <w:pPr>
              <w:spacing w:after="40"/>
            </w:pPr>
            <w:r>
              <w:rPr>
                <w:rFonts w:ascii="Calibri" w:hAnsi="Calibri"/>
                <w:b w:val="0"/>
                <w:sz w:val="15"/>
              </w:rPr>
              <w:t>Investigation</w:t>
            </w:r>
          </w:p>
        </w:tc>
        <w:tc>
          <w:tcPr>
            <w:tcW w:type="dxa" w:w="7128"/>
            <w:tcMar>
              <w:top w:w="80" w:type="dxa"/>
              <w:start w:w="120" w:type="dxa"/>
              <w:bottom w:w="80" w:type="dxa"/>
              <w:end w:w="120" w:type="dxa"/>
            </w:tcMar>
            <w:vAlign w:val="top"/>
          </w:tcPr>
          <w:p>
            <w:pPr>
              <w:spacing w:after="40"/>
            </w:pPr>
            <w:r>
              <w:rPr>
                <w:rFonts w:ascii="Calibri" w:hAnsi="Calibri"/>
                <w:b w:val="0"/>
                <w:sz w:val="15"/>
              </w:rPr>
              <w:t>Design interviews and document plan; do not treat family relationship or reconstructed document alone as dispositive; test both control-plan and genuine-rescue hypotheses.</w:t>
            </w:r>
          </w:p>
        </w:tc>
      </w:tr>
      <w:tr>
        <w:tc>
          <w:tcPr>
            <w:tcW w:type="dxa" w:w="2232"/>
            <w:tcMar>
              <w:top w:w="80" w:type="dxa"/>
              <w:start w:w="120" w:type="dxa"/>
              <w:bottom w:w="80" w:type="dxa"/>
              <w:end w:w="120" w:type="dxa"/>
            </w:tcMar>
            <w:vAlign w:val="top"/>
          </w:tcPr>
          <w:p>
            <w:pPr>
              <w:spacing w:after="40"/>
            </w:pPr>
            <w:r>
              <w:rPr>
                <w:rFonts w:ascii="Calibri" w:hAnsi="Calibri"/>
                <w:b w:val="0"/>
                <w:sz w:val="15"/>
              </w:rPr>
              <w:t>Settlement</w:t>
            </w:r>
          </w:p>
        </w:tc>
        <w:tc>
          <w:tcPr>
            <w:tcW w:type="dxa" w:w="7128"/>
            <w:tcMar>
              <w:top w:w="80" w:type="dxa"/>
              <w:start w:w="120" w:type="dxa"/>
              <w:bottom w:w="80" w:type="dxa"/>
              <w:end w:w="120" w:type="dxa"/>
            </w:tcMar>
            <w:vAlign w:val="top"/>
          </w:tcPr>
          <w:p>
            <w:pPr>
              <w:spacing w:after="40"/>
            </w:pPr>
            <w:r>
              <w:rPr>
                <w:rFonts w:ascii="Calibri" w:hAnsi="Calibri"/>
                <w:b w:val="0"/>
                <w:sz w:val="15"/>
              </w:rPr>
              <w:t>Model independent valuation/fair-value exit, governance standstill, evidence preservation, mutual narrative, employment dues and treatment of bridge/shortfall.</w:t>
            </w:r>
          </w:p>
        </w:tc>
      </w:tr>
    </w:tbl>
    <w:p>
      <w:pPr>
        <w:spacing w:after="40"/>
      </w:pPr>
    </w:p>
    <w:p>
      <w:pPr>
        <w:pStyle w:val="Heading1"/>
      </w:pPr>
      <w:r>
        <w:t>8. Scoring rubric (100 points)</w:t>
      </w:r>
    </w:p>
    <w:tbl>
      <w:tblPr>
        <w:tblStyle w:val="TableGrid"/>
        <w:tblW w:type="dxa" w:w="9360"/>
        <w:jc w:val="left"/>
        <w:tblLayout w:type="fixed"/>
        <w:tblLook w:firstColumn="1" w:firstRow="1" w:lastColumn="0" w:lastRow="0" w:noHBand="0" w:noVBand="1" w:val="04A0"/>
        <w:tblInd w:w="120" w:type="dxa"/>
      </w:tblPr>
      <w:tblGrid>
        <w:gridCol w:w="3168"/>
        <w:gridCol w:w="936"/>
        <w:gridCol w:w="5256"/>
      </w:tblGrid>
      <w:tr>
        <w:trPr>
          <w:tblHeader w:val="true"/>
        </w:trPr>
        <w:tc>
          <w:tcPr>
            <w:tcW w:type="dxa" w:w="3168"/>
            <w:shd w:fill="E8EEF5"/>
            <w:tcMar>
              <w:top w:w="80" w:type="dxa"/>
              <w:start w:w="120" w:type="dxa"/>
              <w:bottom w:w="80" w:type="dxa"/>
              <w:end w:w="120" w:type="dxa"/>
            </w:tcMar>
            <w:vAlign w:val="top"/>
          </w:tcPr>
          <w:p>
            <w:pPr>
              <w:spacing w:after="40"/>
            </w:pPr>
            <w:r>
              <w:rPr>
                <w:rFonts w:ascii="Calibri" w:hAnsi="Calibri"/>
                <w:b/>
                <w:sz w:val="15"/>
              </w:rPr>
              <w:t>Criterion</w:t>
            </w:r>
          </w:p>
        </w:tc>
        <w:tc>
          <w:tcPr>
            <w:tcW w:type="dxa" w:w="936"/>
            <w:shd w:fill="E8EEF5"/>
            <w:tcMar>
              <w:top w:w="80" w:type="dxa"/>
              <w:start w:w="120" w:type="dxa"/>
              <w:bottom w:w="80" w:type="dxa"/>
              <w:end w:w="120" w:type="dxa"/>
            </w:tcMar>
            <w:vAlign w:val="top"/>
          </w:tcPr>
          <w:p>
            <w:pPr>
              <w:spacing w:after="40"/>
            </w:pPr>
            <w:r>
              <w:rPr>
                <w:rFonts w:ascii="Calibri" w:hAnsi="Calibri"/>
                <w:b/>
                <w:sz w:val="15"/>
              </w:rPr>
              <w:t>Points</w:t>
            </w:r>
          </w:p>
        </w:tc>
        <w:tc>
          <w:tcPr>
            <w:tcW w:type="dxa" w:w="5256"/>
            <w:shd w:fill="E8EEF5"/>
            <w:tcMar>
              <w:top w:w="80" w:type="dxa"/>
              <w:start w:w="120" w:type="dxa"/>
              <w:bottom w:w="80" w:type="dxa"/>
              <w:end w:w="120" w:type="dxa"/>
            </w:tcMar>
            <w:vAlign w:val="top"/>
          </w:tcPr>
          <w:p>
            <w:pPr>
              <w:spacing w:after="40"/>
            </w:pPr>
            <w:r>
              <w:rPr>
                <w:rFonts w:ascii="Calibri" w:hAnsi="Calibri"/>
                <w:b/>
                <w:sz w:val="15"/>
              </w:rPr>
              <w:t>Indicators</w:t>
            </w:r>
          </w:p>
        </w:tc>
      </w:tr>
      <w:tr>
        <w:tc>
          <w:tcPr>
            <w:tcW w:type="dxa" w:w="3168"/>
            <w:tcMar>
              <w:top w:w="80" w:type="dxa"/>
              <w:start w:w="120" w:type="dxa"/>
              <w:bottom w:w="80" w:type="dxa"/>
              <w:end w:w="120" w:type="dxa"/>
            </w:tcMar>
            <w:vAlign w:val="top"/>
          </w:tcPr>
          <w:p>
            <w:pPr>
              <w:spacing w:after="40"/>
            </w:pPr>
            <w:r>
              <w:rPr>
                <w:rFonts w:ascii="Calibri" w:hAnsi="Calibri"/>
                <w:b w:val="0"/>
                <w:sz w:val="15"/>
              </w:rPr>
              <w:t>Document-grounded accuracy</w:t>
            </w:r>
          </w:p>
        </w:tc>
        <w:tc>
          <w:tcPr>
            <w:tcW w:type="dxa" w:w="936"/>
            <w:tcMar>
              <w:top w:w="80" w:type="dxa"/>
              <w:start w:w="120" w:type="dxa"/>
              <w:bottom w:w="80" w:type="dxa"/>
              <w:end w:w="120" w:type="dxa"/>
            </w:tcMar>
            <w:vAlign w:val="top"/>
          </w:tcPr>
          <w:p>
            <w:pPr>
              <w:spacing w:after="40"/>
            </w:pPr>
            <w:r>
              <w:rPr>
                <w:rFonts w:ascii="Calibri" w:hAnsi="Calibri"/>
                <w:b w:val="0"/>
                <w:sz w:val="15"/>
              </w:rPr>
              <w:t>20</w:t>
            </w:r>
          </w:p>
        </w:tc>
        <w:tc>
          <w:tcPr>
            <w:tcW w:type="dxa" w:w="5256"/>
            <w:tcMar>
              <w:top w:w="80" w:type="dxa"/>
              <w:start w:w="120" w:type="dxa"/>
              <w:bottom w:w="80" w:type="dxa"/>
              <w:end w:w="120" w:type="dxa"/>
            </w:tcMar>
            <w:vAlign w:val="top"/>
          </w:tcPr>
          <w:p>
            <w:pPr>
              <w:spacing w:after="40"/>
            </w:pPr>
            <w:r>
              <w:rPr>
                <w:rFonts w:ascii="Calibri" w:hAnsi="Calibri"/>
                <w:b w:val="0"/>
                <w:sz w:val="15"/>
              </w:rPr>
              <w:t>Uses correct references; separates fact/allegation/inference; no invented record.</w:t>
            </w:r>
          </w:p>
        </w:tc>
      </w:tr>
      <w:tr>
        <w:tc>
          <w:tcPr>
            <w:tcW w:type="dxa" w:w="3168"/>
            <w:tcMar>
              <w:top w:w="80" w:type="dxa"/>
              <w:start w:w="120" w:type="dxa"/>
              <w:bottom w:w="80" w:type="dxa"/>
              <w:end w:w="120" w:type="dxa"/>
            </w:tcMar>
            <w:vAlign w:val="top"/>
          </w:tcPr>
          <w:p>
            <w:pPr>
              <w:spacing w:after="40"/>
            </w:pPr>
            <w:r>
              <w:rPr>
                <w:rFonts w:ascii="Calibri" w:hAnsi="Calibri"/>
                <w:b w:val="0"/>
                <w:sz w:val="15"/>
              </w:rPr>
              <w:t>Chronology and contradiction detection</w:t>
            </w:r>
          </w:p>
        </w:tc>
        <w:tc>
          <w:tcPr>
            <w:tcW w:type="dxa" w:w="936"/>
            <w:tcMar>
              <w:top w:w="80" w:type="dxa"/>
              <w:start w:w="120" w:type="dxa"/>
              <w:bottom w:w="80" w:type="dxa"/>
              <w:end w:w="120" w:type="dxa"/>
            </w:tcMar>
            <w:vAlign w:val="top"/>
          </w:tcPr>
          <w:p>
            <w:pPr>
              <w:spacing w:after="40"/>
            </w:pPr>
            <w:r>
              <w:rPr>
                <w:rFonts w:ascii="Calibri" w:hAnsi="Calibri"/>
                <w:b w:val="0"/>
                <w:sz w:val="15"/>
              </w:rPr>
              <w:t>15</w:t>
            </w:r>
          </w:p>
        </w:tc>
        <w:tc>
          <w:tcPr>
            <w:tcW w:type="dxa" w:w="5256"/>
            <w:tcMar>
              <w:top w:w="80" w:type="dxa"/>
              <w:start w:w="120" w:type="dxa"/>
              <w:bottom w:w="80" w:type="dxa"/>
              <w:end w:w="120" w:type="dxa"/>
            </w:tcMar>
            <w:vAlign w:val="top"/>
          </w:tcPr>
          <w:p>
            <w:pPr>
              <w:spacing w:after="40"/>
            </w:pPr>
            <w:r>
              <w:rPr>
                <w:rFonts w:ascii="Calibri" w:hAnsi="Calibri"/>
                <w:b w:val="0"/>
                <w:sz w:val="15"/>
              </w:rPr>
              <w:t>Finds material date, minutes, notice, payment and customer anomalies.</w:t>
            </w:r>
          </w:p>
        </w:tc>
      </w:tr>
      <w:tr>
        <w:tc>
          <w:tcPr>
            <w:tcW w:type="dxa" w:w="3168"/>
            <w:tcMar>
              <w:top w:w="80" w:type="dxa"/>
              <w:start w:w="120" w:type="dxa"/>
              <w:bottom w:w="80" w:type="dxa"/>
              <w:end w:w="120" w:type="dxa"/>
            </w:tcMar>
            <w:vAlign w:val="top"/>
          </w:tcPr>
          <w:p>
            <w:pPr>
              <w:spacing w:after="40"/>
            </w:pPr>
            <w:r>
              <w:rPr>
                <w:rFonts w:ascii="Calibri" w:hAnsi="Calibri"/>
                <w:b w:val="0"/>
                <w:sz w:val="15"/>
              </w:rPr>
              <w:t>Corporate/company-law analysis</w:t>
            </w:r>
          </w:p>
        </w:tc>
        <w:tc>
          <w:tcPr>
            <w:tcW w:type="dxa" w:w="936"/>
            <w:tcMar>
              <w:top w:w="80" w:type="dxa"/>
              <w:start w:w="120" w:type="dxa"/>
              <w:bottom w:w="80" w:type="dxa"/>
              <w:end w:w="120" w:type="dxa"/>
            </w:tcMar>
            <w:vAlign w:val="top"/>
          </w:tcPr>
          <w:p>
            <w:pPr>
              <w:spacing w:after="40"/>
            </w:pPr>
            <w:r>
              <w:rPr>
                <w:rFonts w:ascii="Calibri" w:hAnsi="Calibri"/>
                <w:b w:val="0"/>
                <w:sz w:val="15"/>
              </w:rPr>
              <w:t>20</w:t>
            </w:r>
          </w:p>
        </w:tc>
        <w:tc>
          <w:tcPr>
            <w:tcW w:type="dxa" w:w="5256"/>
            <w:tcMar>
              <w:top w:w="80" w:type="dxa"/>
              <w:start w:w="120" w:type="dxa"/>
              <w:bottom w:w="80" w:type="dxa"/>
              <w:end w:w="120" w:type="dxa"/>
            </w:tcMar>
            <w:vAlign w:val="top"/>
          </w:tcPr>
          <w:p>
            <w:pPr>
              <w:spacing w:after="40"/>
            </w:pPr>
            <w:r>
              <w:rPr>
                <w:rFonts w:ascii="Calibri" w:hAnsi="Calibri"/>
                <w:b w:val="0"/>
                <w:sz w:val="15"/>
              </w:rPr>
              <w:t>Sections 62, 166, 169, 241-244; meetings; Articles/SHA distinction; appropriate relief.</w:t>
            </w:r>
          </w:p>
        </w:tc>
      </w:tr>
      <w:tr>
        <w:tc>
          <w:tcPr>
            <w:tcW w:type="dxa" w:w="3168"/>
            <w:tcMar>
              <w:top w:w="80" w:type="dxa"/>
              <w:start w:w="120" w:type="dxa"/>
              <w:bottom w:w="80" w:type="dxa"/>
              <w:end w:w="120" w:type="dxa"/>
            </w:tcMar>
            <w:vAlign w:val="top"/>
          </w:tcPr>
          <w:p>
            <w:pPr>
              <w:spacing w:after="40"/>
            </w:pPr>
            <w:r>
              <w:rPr>
                <w:rFonts w:ascii="Calibri" w:hAnsi="Calibri"/>
                <w:b w:val="0"/>
                <w:sz w:val="15"/>
              </w:rPr>
              <w:t>Contract and forum analysis</w:t>
            </w:r>
          </w:p>
        </w:tc>
        <w:tc>
          <w:tcPr>
            <w:tcW w:type="dxa" w:w="936"/>
            <w:tcMar>
              <w:top w:w="80" w:type="dxa"/>
              <w:start w:w="120" w:type="dxa"/>
              <w:bottom w:w="80" w:type="dxa"/>
              <w:end w:w="120" w:type="dxa"/>
            </w:tcMar>
            <w:vAlign w:val="top"/>
          </w:tcPr>
          <w:p>
            <w:pPr>
              <w:spacing w:after="40"/>
            </w:pPr>
            <w:r>
              <w:rPr>
                <w:rFonts w:ascii="Calibri" w:hAnsi="Calibri"/>
                <w:b w:val="0"/>
                <w:sz w:val="15"/>
              </w:rPr>
              <w:t>10</w:t>
            </w:r>
          </w:p>
        </w:tc>
        <w:tc>
          <w:tcPr>
            <w:tcW w:type="dxa" w:w="5256"/>
            <w:tcMar>
              <w:top w:w="80" w:type="dxa"/>
              <w:start w:w="120" w:type="dxa"/>
              <w:bottom w:w="80" w:type="dxa"/>
              <w:end w:w="120" w:type="dxa"/>
            </w:tcMar>
            <w:vAlign w:val="top"/>
          </w:tcPr>
          <w:p>
            <w:pPr>
              <w:spacing w:after="40"/>
            </w:pPr>
            <w:r>
              <w:rPr>
                <w:rFonts w:ascii="Calibri" w:hAnsi="Calibri"/>
                <w:b w:val="0"/>
                <w:sz w:val="15"/>
              </w:rPr>
              <w:t>Correct clauses, employment/share separation, nuanced arbitration/NCLT split.</w:t>
            </w:r>
          </w:p>
        </w:tc>
      </w:tr>
      <w:tr>
        <w:tc>
          <w:tcPr>
            <w:tcW w:type="dxa" w:w="3168"/>
            <w:tcMar>
              <w:top w:w="80" w:type="dxa"/>
              <w:start w:w="120" w:type="dxa"/>
              <w:bottom w:w="80" w:type="dxa"/>
              <w:end w:w="120" w:type="dxa"/>
            </w:tcMar>
            <w:vAlign w:val="top"/>
          </w:tcPr>
          <w:p>
            <w:pPr>
              <w:spacing w:after="40"/>
            </w:pPr>
            <w:r>
              <w:rPr>
                <w:rFonts w:ascii="Calibri" w:hAnsi="Calibri"/>
                <w:b w:val="0"/>
                <w:sz w:val="15"/>
              </w:rPr>
              <w:t>Financial and cap-table accuracy</w:t>
            </w:r>
          </w:p>
        </w:tc>
        <w:tc>
          <w:tcPr>
            <w:tcW w:type="dxa" w:w="936"/>
            <w:tcMar>
              <w:top w:w="80" w:type="dxa"/>
              <w:start w:w="120" w:type="dxa"/>
              <w:bottom w:w="80" w:type="dxa"/>
              <w:end w:w="120" w:type="dxa"/>
            </w:tcMar>
            <w:vAlign w:val="top"/>
          </w:tcPr>
          <w:p>
            <w:pPr>
              <w:spacing w:after="40"/>
            </w:pPr>
            <w:r>
              <w:rPr>
                <w:rFonts w:ascii="Calibri" w:hAnsi="Calibri"/>
                <w:b w:val="0"/>
                <w:sz w:val="15"/>
              </w:rPr>
              <w:t>15</w:t>
            </w:r>
          </w:p>
        </w:tc>
        <w:tc>
          <w:tcPr>
            <w:tcW w:type="dxa" w:w="5256"/>
            <w:tcMar>
              <w:top w:w="80" w:type="dxa"/>
              <w:start w:w="120" w:type="dxa"/>
              <w:bottom w:w="80" w:type="dxa"/>
              <w:end w:w="120" w:type="dxa"/>
            </w:tcMar>
            <w:vAlign w:val="top"/>
          </w:tcPr>
          <w:p>
            <w:pPr>
              <w:spacing w:after="40"/>
            </w:pPr>
            <w:r>
              <w:rPr>
                <w:rFonts w:ascii="Calibri" w:hAnsi="Calibri"/>
                <w:b w:val="0"/>
                <w:sz w:val="15"/>
              </w:rPr>
              <w:t>Correct denominators/percentages and reconciliations; finds shortfalls without formula errors.</w:t>
            </w:r>
          </w:p>
        </w:tc>
      </w:tr>
      <w:tr>
        <w:tc>
          <w:tcPr>
            <w:tcW w:type="dxa" w:w="3168"/>
            <w:tcMar>
              <w:top w:w="80" w:type="dxa"/>
              <w:start w:w="120" w:type="dxa"/>
              <w:bottom w:w="80" w:type="dxa"/>
              <w:end w:w="120" w:type="dxa"/>
            </w:tcMar>
            <w:vAlign w:val="top"/>
          </w:tcPr>
          <w:p>
            <w:pPr>
              <w:spacing w:after="40"/>
            </w:pPr>
            <w:r>
              <w:rPr>
                <w:rFonts w:ascii="Calibri" w:hAnsi="Calibri"/>
                <w:b w:val="0"/>
                <w:sz w:val="15"/>
              </w:rPr>
              <w:t>Evidence, privilege and investigation</w:t>
            </w:r>
          </w:p>
        </w:tc>
        <w:tc>
          <w:tcPr>
            <w:tcW w:type="dxa" w:w="936"/>
            <w:tcMar>
              <w:top w:w="80" w:type="dxa"/>
              <w:start w:w="120" w:type="dxa"/>
              <w:bottom w:w="80" w:type="dxa"/>
              <w:end w:w="120" w:type="dxa"/>
            </w:tcMar>
            <w:vAlign w:val="top"/>
          </w:tcPr>
          <w:p>
            <w:pPr>
              <w:spacing w:after="40"/>
            </w:pPr>
            <w:r>
              <w:rPr>
                <w:rFonts w:ascii="Calibri" w:hAnsi="Calibri"/>
                <w:b w:val="0"/>
                <w:sz w:val="15"/>
              </w:rPr>
              <w:t>10</w:t>
            </w:r>
          </w:p>
        </w:tc>
        <w:tc>
          <w:tcPr>
            <w:tcW w:type="dxa" w:w="5256"/>
            <w:tcMar>
              <w:top w:w="80" w:type="dxa"/>
              <w:start w:w="120" w:type="dxa"/>
              <w:bottom w:w="80" w:type="dxa"/>
              <w:end w:w="120" w:type="dxa"/>
            </w:tcMar>
            <w:vAlign w:val="top"/>
          </w:tcPr>
          <w:p>
            <w:pPr>
              <w:spacing w:after="40"/>
            </w:pPr>
            <w:r>
              <w:rPr>
                <w:rFonts w:ascii="Calibri" w:hAnsi="Calibri"/>
                <w:b w:val="0"/>
                <w:sz w:val="15"/>
              </w:rPr>
              <w:t>Authentication/custody/certificate gaps; privilege handled; balanced investigation plan.</w:t>
            </w:r>
          </w:p>
        </w:tc>
      </w:tr>
      <w:tr>
        <w:tc>
          <w:tcPr>
            <w:tcW w:type="dxa" w:w="3168"/>
            <w:tcMar>
              <w:top w:w="80" w:type="dxa"/>
              <w:start w:w="120" w:type="dxa"/>
              <w:bottom w:w="80" w:type="dxa"/>
              <w:end w:w="120" w:type="dxa"/>
            </w:tcMar>
            <w:vAlign w:val="top"/>
          </w:tcPr>
          <w:p>
            <w:pPr>
              <w:spacing w:after="40"/>
            </w:pPr>
            <w:r>
              <w:rPr>
                <w:rFonts w:ascii="Calibri" w:hAnsi="Calibri"/>
                <w:b w:val="0"/>
                <w:sz w:val="15"/>
              </w:rPr>
              <w:t>Practicality and remedies</w:t>
            </w:r>
          </w:p>
        </w:tc>
        <w:tc>
          <w:tcPr>
            <w:tcW w:type="dxa" w:w="936"/>
            <w:tcMar>
              <w:top w:w="80" w:type="dxa"/>
              <w:start w:w="120" w:type="dxa"/>
              <w:bottom w:w="80" w:type="dxa"/>
              <w:end w:w="120" w:type="dxa"/>
            </w:tcMar>
            <w:vAlign w:val="top"/>
          </w:tcPr>
          <w:p>
            <w:pPr>
              <w:spacing w:after="40"/>
            </w:pPr>
            <w:r>
              <w:rPr>
                <w:rFonts w:ascii="Calibri" w:hAnsi="Calibri"/>
                <w:b w:val="0"/>
                <w:sz w:val="15"/>
              </w:rPr>
              <w:t>5</w:t>
            </w:r>
          </w:p>
        </w:tc>
        <w:tc>
          <w:tcPr>
            <w:tcW w:type="dxa" w:w="5256"/>
            <w:tcMar>
              <w:top w:w="80" w:type="dxa"/>
              <w:start w:w="120" w:type="dxa"/>
              <w:bottom w:w="80" w:type="dxa"/>
              <w:end w:w="120" w:type="dxa"/>
            </w:tcMar>
            <w:vAlign w:val="top"/>
          </w:tcPr>
          <w:p>
            <w:pPr>
              <w:spacing w:after="40"/>
            </w:pPr>
            <w:r>
              <w:rPr>
                <w:rFonts w:ascii="Calibri" w:hAnsi="Calibri"/>
                <w:b w:val="0"/>
                <w:sz w:val="15"/>
              </w:rPr>
              <w:t>Proportionate interim/final solutions protecting business and parties.</w:t>
            </w:r>
          </w:p>
        </w:tc>
      </w:tr>
      <w:tr>
        <w:tc>
          <w:tcPr>
            <w:tcW w:type="dxa" w:w="3168"/>
            <w:tcMar>
              <w:top w:w="80" w:type="dxa"/>
              <w:start w:w="120" w:type="dxa"/>
              <w:bottom w:w="80" w:type="dxa"/>
              <w:end w:w="120" w:type="dxa"/>
            </w:tcMar>
            <w:vAlign w:val="top"/>
          </w:tcPr>
          <w:p>
            <w:pPr>
              <w:spacing w:after="40"/>
            </w:pPr>
            <w:r>
              <w:rPr>
                <w:rFonts w:ascii="Calibri" w:hAnsi="Calibri"/>
                <w:b w:val="0"/>
                <w:sz w:val="15"/>
              </w:rPr>
              <w:t>Communication quality</w:t>
            </w:r>
          </w:p>
        </w:tc>
        <w:tc>
          <w:tcPr>
            <w:tcW w:type="dxa" w:w="936"/>
            <w:tcMar>
              <w:top w:w="80" w:type="dxa"/>
              <w:start w:w="120" w:type="dxa"/>
              <w:bottom w:w="80" w:type="dxa"/>
              <w:end w:w="120" w:type="dxa"/>
            </w:tcMar>
            <w:vAlign w:val="top"/>
          </w:tcPr>
          <w:p>
            <w:pPr>
              <w:spacing w:after="40"/>
            </w:pPr>
            <w:r>
              <w:rPr>
                <w:rFonts w:ascii="Calibri" w:hAnsi="Calibri"/>
                <w:b w:val="0"/>
                <w:sz w:val="15"/>
              </w:rPr>
              <w:t>5</w:t>
            </w:r>
          </w:p>
        </w:tc>
        <w:tc>
          <w:tcPr>
            <w:tcW w:type="dxa" w:w="5256"/>
            <w:tcMar>
              <w:top w:w="80" w:type="dxa"/>
              <w:start w:w="120" w:type="dxa"/>
              <w:bottom w:w="80" w:type="dxa"/>
              <w:end w:w="120" w:type="dxa"/>
            </w:tcMar>
            <w:vAlign w:val="top"/>
          </w:tcPr>
          <w:p>
            <w:pPr>
              <w:spacing w:after="40"/>
            </w:pPr>
            <w:r>
              <w:rPr>
                <w:rFonts w:ascii="Calibri" w:hAnsi="Calibri"/>
                <w:b w:val="0"/>
                <w:sz w:val="15"/>
              </w:rPr>
              <w:t>Concise, prioritised, precise, appropriate uncertainty.</w:t>
            </w:r>
          </w:p>
        </w:tc>
      </w:tr>
    </w:tbl>
    <w:p>
      <w:pPr>
        <w:spacing w:after="40"/>
      </w:pPr>
    </w:p>
    <w:p>
      <w:pPr>
        <w:pStyle w:val="Heading2"/>
      </w:pPr>
      <w:r>
        <w:t>Penalty guidance</w:t>
      </w:r>
    </w:p>
    <w:p>
      <w:pPr>
        <w:pStyle w:val="ListBullet"/>
        <w:spacing w:after="80"/>
      </w:pPr>
      <w:r>
        <w:rPr>
          <w:rFonts w:ascii="Calibri" w:hAnsi="Calibri"/>
          <w:sz w:val="22"/>
        </w:rPr>
        <w:t>-10 or more: invents a case, statute, missing document or decisive fact.</w:t>
      </w:r>
    </w:p>
    <w:p>
      <w:pPr>
        <w:pStyle w:val="ListBullet"/>
        <w:spacing w:after="80"/>
      </w:pPr>
      <w:r>
        <w:rPr>
          <w:rFonts w:ascii="Calibri" w:hAnsi="Calibri"/>
          <w:sz w:val="22"/>
        </w:rPr>
        <w:t>-8: gives a materially wrong cap table or treats 17.8% as correct without qualification.</w:t>
      </w:r>
    </w:p>
    <w:p>
      <w:pPr>
        <w:pStyle w:val="ListBullet"/>
        <w:spacing w:after="80"/>
      </w:pPr>
      <w:r>
        <w:rPr>
          <w:rFonts w:ascii="Calibri" w:hAnsi="Calibri"/>
          <w:sz w:val="22"/>
        </w:rPr>
        <w:t>-5 each: asserts proven embezzlement; asserts Nimbus demanded removal; asserts completed bad-leaver transfer; or ignores genuine liquidity crisis.</w:t>
      </w:r>
    </w:p>
    <w:p>
      <w:pPr>
        <w:pStyle w:val="ListBullet"/>
        <w:spacing w:after="80"/>
      </w:pPr>
      <w:r>
        <w:rPr>
          <w:rFonts w:ascii="Calibri" w:hAnsi="Calibri"/>
          <w:sz w:val="22"/>
        </w:rPr>
        <w:t>-5: uses facially privileged communications without identifying privilege issue.</w:t>
      </w:r>
    </w:p>
    <w:p>
      <w:pPr>
        <w:pStyle w:val="ListBullet"/>
        <w:spacing w:after="80"/>
      </w:pPr>
      <w:r>
        <w:rPr>
          <w:rFonts w:ascii="Calibri" w:hAnsi="Calibri"/>
          <w:sz w:val="22"/>
        </w:rPr>
        <w:t>Cap at 60: one-sided analysis that ignores material contrary evidence.</w:t>
      </w:r>
    </w:p>
    <w:p>
      <w:pPr>
        <w:pStyle w:val="ListBullet"/>
        <w:spacing w:after="80"/>
      </w:pPr>
      <w:r>
        <w:rPr>
          <w:rFonts w:ascii="Calibri" w:hAnsi="Calibri"/>
          <w:sz w:val="22"/>
        </w:rPr>
        <w:t>Cap at 50: fails to distinguish statutory NCLT relief from contractual/arbitration claims.</w:t>
      </w:r>
    </w:p>
    <w:p>
      <w:pPr>
        <w:pStyle w:val="Heading2"/>
      </w:pPr>
      <w:r>
        <w:t>Performance bands</w:t>
      </w:r>
    </w:p>
    <w:tbl>
      <w:tblPr>
        <w:tblStyle w:val="TableGrid"/>
        <w:tblW w:type="dxa" w:w="9360"/>
        <w:jc w:val="left"/>
        <w:tblLayout w:type="fixed"/>
        <w:tblLook w:firstColumn="1" w:firstRow="1" w:lastColumn="0" w:lastRow="0" w:noHBand="0" w:noVBand="1" w:val="04A0"/>
        <w:tblInd w:w="120" w:type="dxa"/>
      </w:tblPr>
      <w:tblGrid>
        <w:gridCol w:w="1728"/>
        <w:gridCol w:w="7632"/>
      </w:tblGrid>
      <w:tr>
        <w:trPr>
          <w:tblHeader w:val="true"/>
        </w:trPr>
        <w:tc>
          <w:tcPr>
            <w:tcW w:type="dxa" w:w="1728"/>
            <w:shd w:fill="E8EEF5"/>
            <w:tcMar>
              <w:top w:w="80" w:type="dxa"/>
              <w:start w:w="120" w:type="dxa"/>
              <w:bottom w:w="80" w:type="dxa"/>
              <w:end w:w="120" w:type="dxa"/>
            </w:tcMar>
            <w:vAlign w:val="top"/>
          </w:tcPr>
          <w:p>
            <w:pPr>
              <w:spacing w:after="40"/>
            </w:pPr>
            <w:r>
              <w:rPr>
                <w:rFonts w:ascii="Calibri" w:hAnsi="Calibri"/>
                <w:b/>
                <w:sz w:val="16"/>
              </w:rPr>
              <w:t>Score</w:t>
            </w:r>
          </w:p>
        </w:tc>
        <w:tc>
          <w:tcPr>
            <w:tcW w:type="dxa" w:w="7632"/>
            <w:shd w:fill="E8EEF5"/>
            <w:tcMar>
              <w:top w:w="80" w:type="dxa"/>
              <w:start w:w="120" w:type="dxa"/>
              <w:bottom w:w="80" w:type="dxa"/>
              <w:end w:w="120" w:type="dxa"/>
            </w:tcMar>
            <w:vAlign w:val="top"/>
          </w:tcPr>
          <w:p>
            <w:pPr>
              <w:spacing w:after="40"/>
            </w:pPr>
            <w:r>
              <w:rPr>
                <w:rFonts w:ascii="Calibri" w:hAnsi="Calibri"/>
                <w:b/>
                <w:sz w:val="16"/>
              </w:rPr>
              <w:t>Band</w:t>
            </w:r>
          </w:p>
        </w:tc>
      </w:tr>
      <w:tr>
        <w:tc>
          <w:tcPr>
            <w:tcW w:type="dxa" w:w="1728"/>
            <w:tcMar>
              <w:top w:w="80" w:type="dxa"/>
              <w:start w:w="120" w:type="dxa"/>
              <w:bottom w:w="80" w:type="dxa"/>
              <w:end w:w="120" w:type="dxa"/>
            </w:tcMar>
            <w:vAlign w:val="top"/>
          </w:tcPr>
          <w:p>
            <w:pPr>
              <w:spacing w:after="40"/>
            </w:pPr>
            <w:r>
              <w:rPr>
                <w:rFonts w:ascii="Calibri" w:hAnsi="Calibri"/>
                <w:b w:val="0"/>
                <w:sz w:val="16"/>
              </w:rPr>
              <w:t>90-100</w:t>
            </w:r>
          </w:p>
        </w:tc>
        <w:tc>
          <w:tcPr>
            <w:tcW w:type="dxa" w:w="7632"/>
            <w:tcMar>
              <w:top w:w="80" w:type="dxa"/>
              <w:start w:w="120" w:type="dxa"/>
              <w:bottom w:w="80" w:type="dxa"/>
              <w:end w:w="120" w:type="dxa"/>
            </w:tcMar>
            <w:vAlign w:val="top"/>
          </w:tcPr>
          <w:p>
            <w:pPr>
              <w:spacing w:after="40"/>
            </w:pPr>
            <w:r>
              <w:rPr>
                <w:rFonts w:ascii="Calibri" w:hAnsi="Calibri"/>
                <w:b w:val="0"/>
                <w:sz w:val="16"/>
              </w:rPr>
              <w:t>Expert: precise, balanced, source-anchored and numerically correct</w:t>
            </w:r>
          </w:p>
        </w:tc>
      </w:tr>
      <w:tr>
        <w:tc>
          <w:tcPr>
            <w:tcW w:type="dxa" w:w="1728"/>
            <w:tcMar>
              <w:top w:w="80" w:type="dxa"/>
              <w:start w:w="120" w:type="dxa"/>
              <w:bottom w:w="80" w:type="dxa"/>
              <w:end w:w="120" w:type="dxa"/>
            </w:tcMar>
            <w:vAlign w:val="top"/>
          </w:tcPr>
          <w:p>
            <w:pPr>
              <w:spacing w:after="40"/>
            </w:pPr>
            <w:r>
              <w:rPr>
                <w:rFonts w:ascii="Calibri" w:hAnsi="Calibri"/>
                <w:b w:val="0"/>
                <w:sz w:val="16"/>
              </w:rPr>
              <w:t>75-89</w:t>
            </w:r>
          </w:p>
        </w:tc>
        <w:tc>
          <w:tcPr>
            <w:tcW w:type="dxa" w:w="7632"/>
            <w:tcMar>
              <w:top w:w="80" w:type="dxa"/>
              <w:start w:w="120" w:type="dxa"/>
              <w:bottom w:w="80" w:type="dxa"/>
              <w:end w:w="120" w:type="dxa"/>
            </w:tcMar>
            <w:vAlign w:val="top"/>
          </w:tcPr>
          <w:p>
            <w:pPr>
              <w:spacing w:after="40"/>
            </w:pPr>
            <w:r>
              <w:rPr>
                <w:rFonts w:ascii="Calibri" w:hAnsi="Calibri"/>
                <w:b w:val="0"/>
                <w:sz w:val="16"/>
              </w:rPr>
              <w:t>Strong: finds most issues with minor omissions</w:t>
            </w:r>
          </w:p>
        </w:tc>
      </w:tr>
      <w:tr>
        <w:tc>
          <w:tcPr>
            <w:tcW w:type="dxa" w:w="1728"/>
            <w:tcMar>
              <w:top w:w="80" w:type="dxa"/>
              <w:start w:w="120" w:type="dxa"/>
              <w:bottom w:w="80" w:type="dxa"/>
              <w:end w:w="120" w:type="dxa"/>
            </w:tcMar>
            <w:vAlign w:val="top"/>
          </w:tcPr>
          <w:p>
            <w:pPr>
              <w:spacing w:after="40"/>
            </w:pPr>
            <w:r>
              <w:rPr>
                <w:rFonts w:ascii="Calibri" w:hAnsi="Calibri"/>
                <w:b w:val="0"/>
                <w:sz w:val="16"/>
              </w:rPr>
              <w:t>60-74</w:t>
            </w:r>
          </w:p>
        </w:tc>
        <w:tc>
          <w:tcPr>
            <w:tcW w:type="dxa" w:w="7632"/>
            <w:tcMar>
              <w:top w:w="80" w:type="dxa"/>
              <w:start w:w="120" w:type="dxa"/>
              <w:bottom w:w="80" w:type="dxa"/>
              <w:end w:w="120" w:type="dxa"/>
            </w:tcMar>
            <w:vAlign w:val="top"/>
          </w:tcPr>
          <w:p>
            <w:pPr>
              <w:spacing w:after="40"/>
            </w:pPr>
            <w:r>
              <w:rPr>
                <w:rFonts w:ascii="Calibri" w:hAnsi="Calibri"/>
                <w:b w:val="0"/>
                <w:sz w:val="16"/>
              </w:rPr>
              <w:t>Competent: useful but incomplete or weakly prioritised</w:t>
            </w:r>
          </w:p>
        </w:tc>
      </w:tr>
      <w:tr>
        <w:tc>
          <w:tcPr>
            <w:tcW w:type="dxa" w:w="1728"/>
            <w:tcMar>
              <w:top w:w="80" w:type="dxa"/>
              <w:start w:w="120" w:type="dxa"/>
              <w:bottom w:w="80" w:type="dxa"/>
              <w:end w:w="120" w:type="dxa"/>
            </w:tcMar>
            <w:vAlign w:val="top"/>
          </w:tcPr>
          <w:p>
            <w:pPr>
              <w:spacing w:after="40"/>
            </w:pPr>
            <w:r>
              <w:rPr>
                <w:rFonts w:ascii="Calibri" w:hAnsi="Calibri"/>
                <w:b w:val="0"/>
                <w:sz w:val="16"/>
              </w:rPr>
              <w:t>40-59</w:t>
            </w:r>
          </w:p>
        </w:tc>
        <w:tc>
          <w:tcPr>
            <w:tcW w:type="dxa" w:w="7632"/>
            <w:tcMar>
              <w:top w:w="80" w:type="dxa"/>
              <w:start w:w="120" w:type="dxa"/>
              <w:bottom w:w="80" w:type="dxa"/>
              <w:end w:w="120" w:type="dxa"/>
            </w:tcMar>
            <w:vAlign w:val="top"/>
          </w:tcPr>
          <w:p>
            <w:pPr>
              <w:spacing w:after="40"/>
            </w:pPr>
            <w:r>
              <w:rPr>
                <w:rFonts w:ascii="Calibri" w:hAnsi="Calibri"/>
                <w:b w:val="0"/>
                <w:sz w:val="16"/>
              </w:rPr>
              <w:t>Weak: material misses, arithmetic/forum/evidence errors</w:t>
            </w:r>
          </w:p>
        </w:tc>
      </w:tr>
      <w:tr>
        <w:tc>
          <w:tcPr>
            <w:tcW w:type="dxa" w:w="1728"/>
            <w:tcMar>
              <w:top w:w="80" w:type="dxa"/>
              <w:start w:w="120" w:type="dxa"/>
              <w:bottom w:w="80" w:type="dxa"/>
              <w:end w:w="120" w:type="dxa"/>
            </w:tcMar>
            <w:vAlign w:val="top"/>
          </w:tcPr>
          <w:p>
            <w:pPr>
              <w:spacing w:after="40"/>
            </w:pPr>
            <w:r>
              <w:rPr>
                <w:rFonts w:ascii="Calibri" w:hAnsi="Calibri"/>
                <w:b w:val="0"/>
                <w:sz w:val="16"/>
              </w:rPr>
              <w:t>0-39</w:t>
            </w:r>
          </w:p>
        </w:tc>
        <w:tc>
          <w:tcPr>
            <w:tcW w:type="dxa" w:w="7632"/>
            <w:tcMar>
              <w:top w:w="80" w:type="dxa"/>
              <w:start w:w="120" w:type="dxa"/>
              <w:bottom w:w="80" w:type="dxa"/>
              <w:end w:w="120" w:type="dxa"/>
            </w:tcMar>
            <w:vAlign w:val="top"/>
          </w:tcPr>
          <w:p>
            <w:pPr>
              <w:spacing w:after="40"/>
            </w:pPr>
            <w:r>
              <w:rPr>
                <w:rFonts w:ascii="Calibri" w:hAnsi="Calibri"/>
                <w:b w:val="0"/>
                <w:sz w:val="16"/>
              </w:rPr>
              <w:t>Unreliable: invented or materially wrong conclusions</w:t>
            </w:r>
          </w:p>
        </w:tc>
      </w:tr>
    </w:tbl>
    <w:p>
      <w:pPr>
        <w:spacing w:after="40"/>
      </w:pPr>
    </w:p>
    <w:p>
      <w:pPr>
        <w:pStyle w:val="Heading1"/>
      </w:pPr>
      <w:r>
        <w:t>9. Instructor administration</w:t>
      </w:r>
    </w:p>
    <w:p>
      <w:r>
        <w:rPr>
          <w:rFonts w:ascii="Calibri" w:hAnsi="Calibri"/>
          <w:i w:val="0"/>
          <w:sz w:val="22"/>
        </w:rPr>
        <w:t>Recommended participant tasks: 60-minute chronology/issue spot; 90-minute contract and cap-table review; 3-hour NCLT merits/interim analysis; evidence admissibility and investigation plan; settlement memo; or cross-document contradiction audit. Do not distribute this guide or instructor ZIP. If a task excludes legal research, score only against authorities supplied or propositions framed conditionally.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VP-INSTRUCTOR | INSTRUCTOR ONLY - DO NOT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Instructor-only ground truth and scoring guide</dc:subject>
  <dc:creator>VertexPay Benchmark Working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