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VP-02</w:t>
      </w:r>
    </w:p>
    <w:p>
      <w:pPr>
        <w:spacing w:after="80"/>
      </w:pPr>
      <w:r>
        <w:rPr>
          <w:rFonts w:ascii="Calibri" w:hAnsi="Calibri"/>
          <w:b/>
          <w:color w:val="000000"/>
          <w:sz w:val="46"/>
        </w:rPr>
        <w:t>Articles of Association - Extracts</w:t>
      </w:r>
    </w:p>
    <w:p>
      <w:pPr>
        <w:spacing w:after="240"/>
      </w:pPr>
      <w:r>
        <w:rPr>
          <w:rFonts w:ascii="Calibri" w:hAnsi="Calibri"/>
          <w:color w:val="595959"/>
          <w:sz w:val="24"/>
        </w:rPr>
        <w:t>Certified extract said to be adopted by special resolution on 18 November 2022</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CERTIFIED EXTRACT. VertexPay Technologies Private Limited, CIN U72900MH2019PTC327418, registered office at Unit 704, Meridian Chambers, Lower Parel, Mumbai 400013. The following articles are reproduced from the Company's electronic minute book and MCA-file copy supplied by the Company Secretary. The complete filed Articles are not included in the participant record.</w:t>
      </w:r>
    </w:p>
    <w:p>
      <w:pPr>
        <w:pStyle w:val="Heading1"/>
      </w:pPr>
      <w:r>
        <w:t>Article 4 - Share capital</w:t>
      </w:r>
    </w:p>
    <w:p>
      <w:r>
        <w:rPr>
          <w:rFonts w:ascii="Calibri" w:hAnsi="Calibri"/>
          <w:i w:val="0"/>
          <w:sz w:val="22"/>
        </w:rPr>
        <w:t>4.1 The authorised capital is as stated in the memorandum as altered from time to time. Equity shares and preference shares carry rights stated in their terms of issue and these Articles.</w:t>
      </w:r>
    </w:p>
    <w:p>
      <w:r>
        <w:rPr>
          <w:rFonts w:ascii="Calibri" w:hAnsi="Calibri"/>
          <w:i w:val="0"/>
          <w:sz w:val="22"/>
        </w:rPr>
        <w:t>4.2 Subject to the Act and these Articles, securities are under the control of the Board. The Board shall not allot securities to persons other than existing holders unless the approvals required by the Act and Article 23 are obtained.</w:t>
      </w:r>
    </w:p>
    <w:p>
      <w:pPr>
        <w:pStyle w:val="Heading1"/>
      </w:pPr>
      <w:r>
        <w:t>Article 7 - Transfer restrictions</w:t>
      </w:r>
    </w:p>
    <w:p>
      <w:r>
        <w:rPr>
          <w:rFonts w:ascii="Calibri" w:hAnsi="Calibri"/>
          <w:i w:val="0"/>
          <w:sz w:val="22"/>
        </w:rPr>
        <w:t>A member intending to transfer shares shall first give a transfer notice to the Company. The Board may offer the shares to existing members pro rata at fair value. Transfers to affiliates of an institutional investor are permitted. These Articles do not reproduce the detailed tag, drag or founder bad-leaver transfer provisions appearing in the Shareholders' Agreement.</w:t>
      </w:r>
    </w:p>
    <w:p>
      <w:pPr>
        <w:pStyle w:val="Heading1"/>
      </w:pPr>
      <w:r>
        <w:t>Article 18 - Board</w:t>
      </w:r>
    </w:p>
    <w:p>
      <w:r>
        <w:rPr>
          <w:rFonts w:ascii="Calibri" w:hAnsi="Calibri"/>
          <w:i w:val="0"/>
          <w:sz w:val="22"/>
        </w:rPr>
        <w:t>18.1 Unless otherwise determined by the members, the Board shall comprise up to four directors. Meridian Growth Fund I may nominate one director while holding at least 8% on an as-converted basis. Each Founder holding at least 10% may nominate one director. The fourth director is appointed by the Board.</w:t>
      </w:r>
    </w:p>
    <w:p>
      <w:r>
        <w:rPr>
          <w:rFonts w:ascii="Calibri" w:hAnsi="Calibri"/>
          <w:i w:val="0"/>
          <w:sz w:val="22"/>
        </w:rPr>
        <w:t>18.2 Quorum is three directors including the Investor Nominee. A meeting lacking quorum shall be adjourned for five Business Days; any three directors including the Investor Nominee constitute quorum at the adjourned meeting. Unlike clause 3.2 of the Shareholders' Agreement, this Article does not expressly require the Founder 1 Director at an original meeting.</w:t>
      </w:r>
    </w:p>
    <w:p>
      <w:r>
        <w:rPr>
          <w:rFonts w:ascii="Calibri" w:hAnsi="Calibri"/>
          <w:i w:val="0"/>
          <w:sz w:val="22"/>
        </w:rPr>
        <w:t>18.3 Seven days' notice shall ordinarily be given. The Chair may call an urgent meeting on not less than 48 hours' notice if the notice records the grounds of urgency. Participation by video conference is permitted subject to the Act and applicable rules.</w:t>
      </w:r>
    </w:p>
    <w:p>
      <w:pPr>
        <w:pStyle w:val="Heading1"/>
      </w:pPr>
      <w:r>
        <w:t>Article 21 - Interested directors</w:t>
      </w:r>
    </w:p>
    <w:p>
      <w:r>
        <w:rPr>
          <w:rFonts w:ascii="Calibri" w:hAnsi="Calibri"/>
          <w:i w:val="0"/>
          <w:sz w:val="22"/>
        </w:rPr>
        <w:t>A director shall disclose interests as required by law. Participation and voting by an interested director shall be governed by the Act and rules applicable to a private company at the relevant time. The minutes shall record the disclosure and manner in which quorum was calculated.</w:t>
      </w:r>
    </w:p>
    <w:p>
      <w:pPr>
        <w:pStyle w:val="Heading1"/>
      </w:pPr>
      <w:r>
        <w:t>Article 23 - Protected actions</w:t>
      </w:r>
    </w:p>
    <w:p>
      <w:r>
        <w:rPr>
          <w:rFonts w:ascii="Calibri" w:hAnsi="Calibri"/>
          <w:i w:val="0"/>
          <w:sz w:val="22"/>
        </w:rPr>
        <w:t>For so long as Meridian holds 8%, the following require the affirmative vote of its nominee: issue of securities; material change in business; borrowing above INR 50,000,000; related-party transactions above INR 5,000,000; sale of material IP; and change to bank signatories. These Articles do not include the Shareholders' Agreement requirement for Founder 1 affirmative consent or the INR 2,500,000 single-transaction threshold.</w:t>
      </w:r>
    </w:p>
    <w:p>
      <w:pPr>
        <w:pStyle w:val="Heading1"/>
      </w:pPr>
      <w:r>
        <w:t>Article 31 - General meetings</w:t>
      </w:r>
    </w:p>
    <w:p>
      <w:r>
        <w:rPr>
          <w:rFonts w:ascii="Calibri" w:hAnsi="Calibri"/>
          <w:i w:val="0"/>
          <w:sz w:val="22"/>
        </w:rPr>
        <w:t>General meetings shall be called and conducted under the Act. Two members personally present constitute quorum. A member may participate through permitted electronic means where arrangements are provided. The Chair may adjourn for disorder or technical failure but may not exclude a member merely because of dissent.</w:t>
      </w:r>
    </w:p>
    <w:p>
      <w:pPr>
        <w:pStyle w:val="Heading1"/>
      </w:pPr>
      <w:r>
        <w:t>Article 36 - Electronic communications</w:t>
      </w:r>
    </w:p>
    <w:p>
      <w:r>
        <w:rPr>
          <w:rFonts w:ascii="Calibri" w:hAnsi="Calibri"/>
          <w:i w:val="0"/>
          <w:sz w:val="22"/>
        </w:rPr>
        <w:t>Notices may be sent to the email address registered in the register of members. A member shall notify changes in writing. The Company's register extract dated 31 August 2025 records Aarav's address as aarav@vertexpay.in, while the Shareholders' Agreement notice schedule records aarav.mehta@vertexpay.in with a personal copy address.</w:t>
      </w:r>
    </w:p>
    <w:p>
      <w:pPr>
        <w:pStyle w:val="Heading1"/>
      </w:pPr>
      <w:r>
        <w:t>Certification</w:t>
      </w:r>
    </w:p>
    <w:p>
      <w:r>
        <w:rPr>
          <w:rFonts w:ascii="Calibri" w:hAnsi="Calibri"/>
          <w:i w:val="0"/>
          <w:sz w:val="22"/>
        </w:rPr>
        <w:t>Certified true copy for VertexPay Technologies Private Limited /s/ Priya Sethi, Company Secretary (Consultant), dated 7 October 2025. UDIN: Not applicable. The certification does not state whether the extract matches the version filed in Form MGT-14.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VP-02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