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VP-03</w:t>
      </w:r>
    </w:p>
    <w:p>
      <w:pPr>
        <w:spacing w:after="80"/>
      </w:pPr>
      <w:r>
        <w:rPr>
          <w:rFonts w:ascii="Calibri" w:hAnsi="Calibri"/>
          <w:b/>
          <w:color w:val="000000"/>
          <w:sz w:val="46"/>
        </w:rPr>
        <w:t>Founder Employment Agreement</w:t>
      </w:r>
    </w:p>
    <w:p>
      <w:pPr>
        <w:spacing w:after="240"/>
      </w:pPr>
      <w:r>
        <w:rPr>
          <w:rFonts w:ascii="Calibri" w:hAnsi="Calibri"/>
          <w:color w:val="595959"/>
          <w:sz w:val="24"/>
        </w:rPr>
        <w:t>Aarav Mehta | Managing Director and Chief Executive Officer | 18 November 2022</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This Employment Agreement is between the Company and Aarav Mehta (Executive), effective 18 November 2022. It supplements but does not replace the Shareholders' Agreement.</w:t>
      </w:r>
    </w:p>
    <w:p>
      <w:pPr>
        <w:pStyle w:val="Heading1"/>
      </w:pPr>
      <w:r>
        <w:t>1. Appointment and authority</w:t>
      </w:r>
    </w:p>
    <w:p>
      <w:r>
        <w:rPr>
          <w:rFonts w:ascii="Calibri" w:hAnsi="Calibri"/>
          <w:i w:val="0"/>
          <w:sz w:val="22"/>
        </w:rPr>
        <w:t>The Executive shall serve as Managing Director and CEO, report to the Board, implement the approved budget and strategy, and may bind the Company only within the delegation matrix. Appointment as employee is distinct from office as director; termination of employment does not itself remove the Executive from the Board.</w:t>
      </w:r>
    </w:p>
    <w:p>
      <w:pPr>
        <w:pStyle w:val="Heading1"/>
      </w:pPr>
      <w:r>
        <w:t>2. Duties</w:t>
      </w:r>
    </w:p>
    <w:p>
      <w:r>
        <w:rPr>
          <w:rFonts w:ascii="Calibri" w:hAnsi="Calibri"/>
          <w:i w:val="0"/>
          <w:sz w:val="22"/>
        </w:rPr>
        <w:t>The Executive shall devote full business time; comply with law, Board policy and customer security requirements; maintain accurate books; promptly disclose conflicts; preserve logs and records; and not represent that the Company holds an RBI authorisation unless written confirmation is available from counsel or the regulator.</w:t>
      </w:r>
    </w:p>
    <w:p>
      <w:pPr>
        <w:pStyle w:val="Heading1"/>
      </w:pPr>
      <w:r>
        <w:t>3. Remuneration</w:t>
      </w:r>
    </w:p>
    <w:p>
      <w:r>
        <w:rPr>
          <w:rFonts w:ascii="Calibri" w:hAnsi="Calibri"/>
          <w:i w:val="0"/>
          <w:sz w:val="22"/>
        </w:rPr>
        <w:t>Annual fixed remuneration is INR 8,400,000 plus target bonus of 30%, subject to Board approval. Business expenses require evidence and approval under policy. Payments to an entity in which the Executive or a relative has an interest require written disclosure and the approvals required by law and the Shareholders' Agreement.</w:t>
      </w:r>
    </w:p>
    <w:p>
      <w:pPr>
        <w:pStyle w:val="Heading1"/>
      </w:pPr>
      <w:r>
        <w:t>4. Intellectual property</w:t>
      </w:r>
    </w:p>
    <w:p>
      <w:r>
        <w:rPr>
          <w:rFonts w:ascii="Calibri" w:hAnsi="Calibri"/>
          <w:i w:val="0"/>
          <w:sz w:val="22"/>
        </w:rPr>
        <w:t>All work product made in the course of employment belongs to the Company. Pre-existing material listed in Schedule 1 remains the Executive's property but is licensed to the Company. Schedule 1 lists an open-source routing library but no code owned by Vertex Labs LLP.</w:t>
      </w:r>
    </w:p>
    <w:p>
      <w:pPr>
        <w:pStyle w:val="Heading1"/>
      </w:pPr>
      <w:r>
        <w:t>5. Confidentiality and records</w:t>
      </w:r>
    </w:p>
    <w:p>
      <w:r>
        <w:rPr>
          <w:rFonts w:ascii="Calibri" w:hAnsi="Calibri"/>
          <w:i w:val="0"/>
          <w:sz w:val="22"/>
        </w:rPr>
        <w:t>The Executive shall return devices and credentials on request, but may retain copies reasonably necessary to obtain legal advice, subject to confidentiality. Company systems may be monitored in accordance with policy and law. Deletion or alteration of material records after a preservation notice is misconduct.</w:t>
      </w:r>
    </w:p>
    <w:p>
      <w:pPr>
        <w:pStyle w:val="Heading1"/>
      </w:pPr>
      <w:r>
        <w:t>6. Conflicts and corporate opportunities</w:t>
      </w:r>
    </w:p>
    <w:p>
      <w:r>
        <w:rPr>
          <w:rFonts w:ascii="Calibri" w:hAnsi="Calibri"/>
          <w:i w:val="0"/>
          <w:sz w:val="22"/>
        </w:rPr>
        <w:t>The Executive disclosed that Kunal Mehta, his brother, is a partner of Vertex Labs LLP. No new or increased work may be awarded to Vertex Labs without a written scope, market comparison and approvals. The Executive shall not route Company revenue or customer funds through a personal or related-party account.</w:t>
      </w:r>
    </w:p>
    <w:p>
      <w:pPr>
        <w:pStyle w:val="Heading1"/>
      </w:pPr>
      <w:r>
        <w:t>7. Suspension</w:t>
      </w:r>
    </w:p>
    <w:p>
      <w:r>
        <w:rPr>
          <w:rFonts w:ascii="Calibri" w:hAnsi="Calibri"/>
          <w:i w:val="0"/>
          <w:sz w:val="22"/>
        </w:rPr>
        <w:t>The Board may suspend the Executive on full pay while investigating credible allegations. Suspension is neutral and not a finding of Cause. Access may be limited to protect systems, but the Executive shall receive reasonable access to documents needed to answer allegations, subject to privilege and customer restrictions.</w:t>
      </w:r>
    </w:p>
    <w:p>
      <w:pPr>
        <w:pStyle w:val="Heading1"/>
      </w:pPr>
      <w:r>
        <w:t>8. Termination without Cause</w:t>
      </w:r>
    </w:p>
    <w:p>
      <w:r>
        <w:rPr>
          <w:rFonts w:ascii="Calibri" w:hAnsi="Calibri"/>
          <w:i w:val="0"/>
          <w:sz w:val="22"/>
        </w:rPr>
        <w:t>The Company may terminate on 90 days' notice or base salary in lieu. Accrued salary and approved expenses remain payable. Share treatment is governed by the Shareholders' Agreement.</w:t>
      </w:r>
    </w:p>
    <w:p>
      <w:pPr>
        <w:pStyle w:val="Heading1"/>
      </w:pPr>
      <w:r>
        <w:t>9. Termination for Cause</w:t>
      </w:r>
    </w:p>
    <w:p>
      <w:r>
        <w:rPr>
          <w:rFonts w:ascii="Calibri" w:hAnsi="Calibri"/>
          <w:i w:val="0"/>
          <w:sz w:val="22"/>
        </w:rPr>
        <w:t>Cause has the meaning in clause 8.3 of the Shareholders' Agreement. Except for alleged fraud or deliberate misappropriation, the Company must give a detailed written notice and 15 Business Days to cure. The Executive shall have at least five Business Days to make written representations before a final Board decision. A termination letter must specify whether the Company relies on fraud, misconduct, breach or conviction and identify the supporting material.</w:t>
      </w:r>
    </w:p>
    <w:p>
      <w:pPr>
        <w:pStyle w:val="Heading1"/>
      </w:pPr>
      <w:r>
        <w:t>10. Restrictive covenants</w:t>
      </w:r>
    </w:p>
    <w:p>
      <w:r>
        <w:rPr>
          <w:rFonts w:ascii="Calibri" w:hAnsi="Calibri"/>
          <w:i w:val="0"/>
          <w:sz w:val="22"/>
        </w:rPr>
        <w:t>During employment the Executive shall not compete. For twelve months after termination he shall not solicit senior employees or customers with whom he had material dealings, misuse confidential information or hold himself out as connected with the Company. A separate twelve-month non-compete is stated, but the clause expressly operates only to the extent lawful and is severable.</w:t>
      </w:r>
    </w:p>
    <w:p>
      <w:pPr>
        <w:pStyle w:val="Heading1"/>
      </w:pPr>
      <w:r>
        <w:t>11. Disputes</w:t>
      </w:r>
    </w:p>
    <w:p>
      <w:r>
        <w:rPr>
          <w:rFonts w:ascii="Calibri" w:hAnsi="Calibri"/>
          <w:i w:val="0"/>
          <w:sz w:val="22"/>
        </w:rPr>
        <w:t>Employment and contractual disputes shall follow the arbitration clause in the Shareholders' Agreement. Statutory remedies and matters reserved to a statutory forum remain unaffected. Seat: Mumbai. Governing law: India.</w:t>
      </w:r>
    </w:p>
    <w:p>
      <w:pPr>
        <w:pStyle w:val="Heading1"/>
      </w:pPr>
      <w:r>
        <w:t>12. Notices</w:t>
      </w:r>
    </w:p>
    <w:p>
      <w:r>
        <w:rPr>
          <w:rFonts w:ascii="Calibri" w:hAnsi="Calibri"/>
          <w:i w:val="0"/>
          <w:sz w:val="22"/>
        </w:rPr>
        <w:t>Notice to the Executive shall be sent to aarav.mehta@vertexpay.in and his personal address in Bandra West. HR records later used aarav@vertexpay.in. Email is effective on delivery without bounce; courier requires delivery evidence.</w:t>
      </w:r>
    </w:p>
    <w:p>
      <w:pPr>
        <w:pStyle w:val="Heading1"/>
      </w:pPr>
      <w:r>
        <w:t>Schedule 2 - Delegation matrix extract</w:t>
      </w:r>
    </w:p>
    <w:tbl>
      <w:tblPr>
        <w:tblStyle w:val="TableGrid"/>
        <w:tblW w:type="dxa" w:w="9360"/>
        <w:jc w:val="left"/>
        <w:tblLayout w:type="fixed"/>
        <w:tblLook w:firstColumn="1" w:firstRow="1" w:lastColumn="0" w:lastRow="0" w:noHBand="0" w:noVBand="1" w:val="04A0"/>
        <w:tblInd w:w="120" w:type="dxa"/>
      </w:tblPr>
      <w:tblGrid>
        <w:gridCol w:w="3168"/>
        <w:gridCol w:w="2448"/>
        <w:gridCol w:w="3744"/>
      </w:tblGrid>
      <w:tr>
        <w:trPr>
          <w:tblHeader w:val="true"/>
        </w:trPr>
        <w:tc>
          <w:tcPr>
            <w:tcW w:type="dxa" w:w="3168"/>
            <w:shd w:fill="E8EEF5"/>
            <w:tcMar>
              <w:top w:w="80" w:type="dxa"/>
              <w:start w:w="120" w:type="dxa"/>
              <w:bottom w:w="80" w:type="dxa"/>
              <w:end w:w="120" w:type="dxa"/>
            </w:tcMar>
            <w:vAlign w:val="top"/>
          </w:tcPr>
          <w:p>
            <w:pPr>
              <w:spacing w:after="40"/>
            </w:pPr>
            <w:r>
              <w:rPr>
                <w:rFonts w:ascii="Calibri" w:hAnsi="Calibri"/>
                <w:b/>
                <w:sz w:val="18"/>
              </w:rPr>
              <w:t>Transaction</w:t>
            </w:r>
          </w:p>
        </w:tc>
        <w:tc>
          <w:tcPr>
            <w:tcW w:type="dxa" w:w="2448"/>
            <w:shd w:fill="E8EEF5"/>
            <w:tcMar>
              <w:top w:w="80" w:type="dxa"/>
              <w:start w:w="120" w:type="dxa"/>
              <w:bottom w:w="80" w:type="dxa"/>
              <w:end w:w="120" w:type="dxa"/>
            </w:tcMar>
            <w:vAlign w:val="top"/>
          </w:tcPr>
          <w:p>
            <w:pPr>
              <w:spacing w:after="40"/>
            </w:pPr>
            <w:r>
              <w:rPr>
                <w:rFonts w:ascii="Calibri" w:hAnsi="Calibri"/>
                <w:b/>
                <w:sz w:val="18"/>
              </w:rPr>
              <w:t>CEO authority</w:t>
            </w:r>
          </w:p>
        </w:tc>
        <w:tc>
          <w:tcPr>
            <w:tcW w:type="dxa" w:w="3744"/>
            <w:shd w:fill="E8EEF5"/>
            <w:tcMar>
              <w:top w:w="80" w:type="dxa"/>
              <w:start w:w="120" w:type="dxa"/>
              <w:bottom w:w="80" w:type="dxa"/>
              <w:end w:w="120" w:type="dxa"/>
            </w:tcMar>
            <w:vAlign w:val="top"/>
          </w:tcPr>
          <w:p>
            <w:pPr>
              <w:spacing w:after="40"/>
            </w:pPr>
            <w:r>
              <w:rPr>
                <w:rFonts w:ascii="Calibri" w:hAnsi="Calibri"/>
                <w:b/>
                <w:sz w:val="18"/>
              </w:rPr>
              <w:t>Additional approval</w:t>
            </w:r>
          </w:p>
        </w:tc>
      </w:tr>
      <w:tr>
        <w:tc>
          <w:tcPr>
            <w:tcW w:type="dxa" w:w="3168"/>
            <w:tcMar>
              <w:top w:w="80" w:type="dxa"/>
              <w:start w:w="120" w:type="dxa"/>
              <w:bottom w:w="80" w:type="dxa"/>
              <w:end w:w="120" w:type="dxa"/>
            </w:tcMar>
            <w:vAlign w:val="top"/>
          </w:tcPr>
          <w:p>
            <w:pPr>
              <w:spacing w:after="40"/>
            </w:pPr>
            <w:r>
              <w:rPr>
                <w:rFonts w:ascii="Calibri" w:hAnsi="Calibri"/>
                <w:b w:val="0"/>
                <w:sz w:val="18"/>
              </w:rPr>
              <w:t>Ordinary vendor invoice</w:t>
            </w:r>
          </w:p>
        </w:tc>
        <w:tc>
          <w:tcPr>
            <w:tcW w:type="dxa" w:w="2448"/>
            <w:tcMar>
              <w:top w:w="80" w:type="dxa"/>
              <w:start w:w="120" w:type="dxa"/>
              <w:bottom w:w="80" w:type="dxa"/>
              <w:end w:w="120" w:type="dxa"/>
            </w:tcMar>
            <w:vAlign w:val="top"/>
          </w:tcPr>
          <w:p>
            <w:pPr>
              <w:spacing w:after="40"/>
            </w:pPr>
            <w:r>
              <w:rPr>
                <w:rFonts w:ascii="Calibri" w:hAnsi="Calibri"/>
                <w:b w:val="0"/>
                <w:sz w:val="18"/>
              </w:rPr>
              <w:t>Up to INR 1,000,000</w:t>
            </w:r>
          </w:p>
        </w:tc>
        <w:tc>
          <w:tcPr>
            <w:tcW w:type="dxa" w:w="3744"/>
            <w:tcMar>
              <w:top w:w="80" w:type="dxa"/>
              <w:start w:w="120" w:type="dxa"/>
              <w:bottom w:w="80" w:type="dxa"/>
              <w:end w:w="120" w:type="dxa"/>
            </w:tcMar>
            <w:vAlign w:val="top"/>
          </w:tcPr>
          <w:p>
            <w:pPr>
              <w:spacing w:after="40"/>
            </w:pPr>
            <w:r>
              <w:rPr>
                <w:rFonts w:ascii="Calibri" w:hAnsi="Calibri"/>
                <w:b w:val="0"/>
                <w:sz w:val="18"/>
              </w:rPr>
              <w:t>CFO above threshold</w:t>
            </w:r>
          </w:p>
        </w:tc>
      </w:tr>
      <w:tr>
        <w:tc>
          <w:tcPr>
            <w:tcW w:type="dxa" w:w="3168"/>
            <w:tcMar>
              <w:top w:w="80" w:type="dxa"/>
              <w:start w:w="120" w:type="dxa"/>
              <w:bottom w:w="80" w:type="dxa"/>
              <w:end w:w="120" w:type="dxa"/>
            </w:tcMar>
            <w:vAlign w:val="top"/>
          </w:tcPr>
          <w:p>
            <w:pPr>
              <w:spacing w:after="40"/>
            </w:pPr>
            <w:r>
              <w:rPr>
                <w:rFonts w:ascii="Calibri" w:hAnsi="Calibri"/>
                <w:b w:val="0"/>
                <w:sz w:val="18"/>
              </w:rPr>
              <w:t>Related-party vendor</w:t>
            </w:r>
          </w:p>
        </w:tc>
        <w:tc>
          <w:tcPr>
            <w:tcW w:type="dxa" w:w="2448"/>
            <w:tcMar>
              <w:top w:w="80" w:type="dxa"/>
              <w:start w:w="120" w:type="dxa"/>
              <w:bottom w:w="80" w:type="dxa"/>
              <w:end w:w="120" w:type="dxa"/>
            </w:tcMar>
            <w:vAlign w:val="top"/>
          </w:tcPr>
          <w:p>
            <w:pPr>
              <w:spacing w:after="40"/>
            </w:pPr>
            <w:r>
              <w:rPr>
                <w:rFonts w:ascii="Calibri" w:hAnsi="Calibri"/>
                <w:b w:val="0"/>
                <w:sz w:val="18"/>
              </w:rPr>
              <w:t>No unilateral authority</w:t>
            </w:r>
          </w:p>
        </w:tc>
        <w:tc>
          <w:tcPr>
            <w:tcW w:type="dxa" w:w="3744"/>
            <w:tcMar>
              <w:top w:w="80" w:type="dxa"/>
              <w:start w:w="120" w:type="dxa"/>
              <w:bottom w:w="80" w:type="dxa"/>
              <w:end w:w="120" w:type="dxa"/>
            </w:tcMar>
            <w:vAlign w:val="top"/>
          </w:tcPr>
          <w:p>
            <w:pPr>
              <w:spacing w:after="40"/>
            </w:pPr>
            <w:r>
              <w:rPr>
                <w:rFonts w:ascii="Calibri" w:hAnsi="Calibri"/>
                <w:b w:val="0"/>
                <w:sz w:val="18"/>
              </w:rPr>
              <w:t>Board / contractual approvals</w:t>
            </w:r>
          </w:p>
        </w:tc>
      </w:tr>
      <w:tr>
        <w:tc>
          <w:tcPr>
            <w:tcW w:type="dxa" w:w="3168"/>
            <w:tcMar>
              <w:top w:w="80" w:type="dxa"/>
              <w:start w:w="120" w:type="dxa"/>
              <w:bottom w:w="80" w:type="dxa"/>
              <w:end w:w="120" w:type="dxa"/>
            </w:tcMar>
            <w:vAlign w:val="top"/>
          </w:tcPr>
          <w:p>
            <w:pPr>
              <w:spacing w:after="40"/>
            </w:pPr>
            <w:r>
              <w:rPr>
                <w:rFonts w:ascii="Calibri" w:hAnsi="Calibri"/>
                <w:b w:val="0"/>
                <w:sz w:val="18"/>
              </w:rPr>
              <w:t>Bank transfer</w:t>
            </w:r>
          </w:p>
        </w:tc>
        <w:tc>
          <w:tcPr>
            <w:tcW w:type="dxa" w:w="2448"/>
            <w:tcMar>
              <w:top w:w="80" w:type="dxa"/>
              <w:start w:w="120" w:type="dxa"/>
              <w:bottom w:w="80" w:type="dxa"/>
              <w:end w:w="120" w:type="dxa"/>
            </w:tcMar>
            <w:vAlign w:val="top"/>
          </w:tcPr>
          <w:p>
            <w:pPr>
              <w:spacing w:after="40"/>
            </w:pPr>
            <w:r>
              <w:rPr>
                <w:rFonts w:ascii="Calibri" w:hAnsi="Calibri"/>
                <w:b w:val="0"/>
                <w:sz w:val="18"/>
              </w:rPr>
              <w:t>Joint signatory above INR 2,500,000</w:t>
            </w:r>
          </w:p>
        </w:tc>
        <w:tc>
          <w:tcPr>
            <w:tcW w:type="dxa" w:w="3744"/>
            <w:tcMar>
              <w:top w:w="80" w:type="dxa"/>
              <w:start w:w="120" w:type="dxa"/>
              <w:bottom w:w="80" w:type="dxa"/>
              <w:end w:w="120" w:type="dxa"/>
            </w:tcMar>
            <w:vAlign w:val="top"/>
          </w:tcPr>
          <w:p>
            <w:pPr>
              <w:spacing w:after="40"/>
            </w:pPr>
            <w:r>
              <w:rPr>
                <w:rFonts w:ascii="Calibri" w:hAnsi="Calibri"/>
                <w:b w:val="0"/>
                <w:sz w:val="18"/>
              </w:rPr>
              <w:t>One Founder + CFO or Investor Nominee</w:t>
            </w:r>
          </w:p>
        </w:tc>
      </w:tr>
      <w:tr>
        <w:tc>
          <w:tcPr>
            <w:tcW w:type="dxa" w:w="3168"/>
            <w:tcMar>
              <w:top w:w="80" w:type="dxa"/>
              <w:start w:w="120" w:type="dxa"/>
              <w:bottom w:w="80" w:type="dxa"/>
              <w:end w:w="120" w:type="dxa"/>
            </w:tcMar>
            <w:vAlign w:val="top"/>
          </w:tcPr>
          <w:p>
            <w:pPr>
              <w:spacing w:after="40"/>
            </w:pPr>
            <w:r>
              <w:rPr>
                <w:rFonts w:ascii="Calibri" w:hAnsi="Calibri"/>
                <w:b w:val="0"/>
                <w:sz w:val="18"/>
              </w:rPr>
              <w:t>Customer communication on licence</w:t>
            </w:r>
          </w:p>
        </w:tc>
        <w:tc>
          <w:tcPr>
            <w:tcW w:type="dxa" w:w="2448"/>
            <w:tcMar>
              <w:top w:w="80" w:type="dxa"/>
              <w:start w:w="120" w:type="dxa"/>
              <w:bottom w:w="80" w:type="dxa"/>
              <w:end w:w="120" w:type="dxa"/>
            </w:tcMar>
            <w:vAlign w:val="top"/>
          </w:tcPr>
          <w:p>
            <w:pPr>
              <w:spacing w:after="40"/>
            </w:pPr>
            <w:r>
              <w:rPr>
                <w:rFonts w:ascii="Calibri" w:hAnsi="Calibri"/>
                <w:b w:val="0"/>
                <w:sz w:val="18"/>
              </w:rPr>
              <w:t>Only approved factual statement</w:t>
            </w:r>
          </w:p>
        </w:tc>
        <w:tc>
          <w:tcPr>
            <w:tcW w:type="dxa" w:w="3744"/>
            <w:tcMar>
              <w:top w:w="80" w:type="dxa"/>
              <w:start w:w="120" w:type="dxa"/>
              <w:bottom w:w="80" w:type="dxa"/>
              <w:end w:w="120" w:type="dxa"/>
            </w:tcMar>
            <w:vAlign w:val="top"/>
          </w:tcPr>
          <w:p>
            <w:pPr>
              <w:spacing w:after="40"/>
            </w:pPr>
            <w:r>
              <w:rPr>
                <w:rFonts w:ascii="Calibri" w:hAnsi="Calibri"/>
                <w:b w:val="0"/>
                <w:sz w:val="18"/>
              </w:rPr>
              <w:t>General Counsel / Compliance</w:t>
            </w:r>
          </w:p>
        </w:tc>
      </w:tr>
    </w:tbl>
    <w:p>
      <w:pPr>
        <w:spacing w:after="40"/>
      </w:pPr>
    </w:p>
    <w:p>
      <w:pPr>
        <w:pStyle w:val="Heading1"/>
      </w:pPr>
      <w:r>
        <w:t>Execution</w:t>
      </w:r>
    </w:p>
    <w:p>
      <w:r>
        <w:rPr>
          <w:rFonts w:ascii="Calibri" w:hAnsi="Calibri"/>
          <w:i w:val="0"/>
          <w:sz w:val="22"/>
        </w:rPr>
        <w:t>Signed for the Company by Kavya Menon, Director, and by Aarav Mehta. The signature page is dated 18 November 2022. The copy supplied is a scan; no digital signature certificate accompanies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VP-03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