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VP-04</w:t>
      </w:r>
    </w:p>
    <w:p>
      <w:pPr>
        <w:spacing w:after="80"/>
      </w:pPr>
      <w:r>
        <w:rPr>
          <w:rFonts w:ascii="Calibri" w:hAnsi="Calibri"/>
          <w:b/>
          <w:color w:val="000000"/>
          <w:sz w:val="46"/>
        </w:rPr>
        <w:t>Series A Investment Term Sheet</w:t>
      </w:r>
    </w:p>
    <w:p>
      <w:pPr>
        <w:spacing w:after="240"/>
      </w:pPr>
      <w:r>
        <w:rPr>
          <w:rFonts w:ascii="Calibri" w:hAnsi="Calibri"/>
          <w:color w:val="595959"/>
          <w:sz w:val="24"/>
        </w:rPr>
        <w:t>Agreed commercial terms dated 26 September 2022</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This term sheet records principal terms for a proposed investment by Meridian Growth Fund I. Except for Confidentiality, Exclusivity, Costs, Governing Law and Dispute Resolution, it is non-binding and subject to definitive documents and diligence.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tcMar>
              <w:top w:w="80" w:type="dxa"/>
              <w:start w:w="120" w:type="dxa"/>
              <w:bottom w:w="80" w:type="dxa"/>
              <w:end w:w="120" w:type="dxa"/>
            </w:tcMar>
            <w:vAlign w:val="top"/>
          </w:tcPr>
          <w:p>
            <w:pPr>
              <w:spacing w:after="40"/>
            </w:pPr>
            <w:r>
              <w:rPr>
                <w:rFonts w:ascii="Calibri" w:hAnsi="Calibri"/>
                <w:b/>
                <w:sz w:val="18"/>
              </w:rPr>
              <w:t>Term</w:t>
            </w:r>
          </w:p>
        </w:tc>
        <w:tc>
          <w:tcPr>
            <w:tcW w:type="dxa" w:w="6840"/>
            <w:shd w:fill="E8EEF5"/>
            <w:tcMar>
              <w:top w:w="80" w:type="dxa"/>
              <w:start w:w="120" w:type="dxa"/>
              <w:bottom w:w="80" w:type="dxa"/>
              <w:end w:w="120" w:type="dxa"/>
            </w:tcMar>
            <w:vAlign w:val="top"/>
          </w:tcPr>
          <w:p>
            <w:pPr>
              <w:spacing w:after="40"/>
            </w:pPr>
            <w:r>
              <w:rPr>
                <w:rFonts w:ascii="Calibri" w:hAnsi="Calibri"/>
                <w:b/>
                <w:sz w:val="18"/>
              </w:rPr>
              <w:t>Agreed position</w:t>
            </w:r>
          </w:p>
        </w:tc>
      </w:tr>
      <w:tr>
        <w:tc>
          <w:tcPr>
            <w:tcW w:type="dxa" w:w="2520"/>
            <w:tcMar>
              <w:top w:w="80" w:type="dxa"/>
              <w:start w:w="120" w:type="dxa"/>
              <w:bottom w:w="80" w:type="dxa"/>
              <w:end w:w="120" w:type="dxa"/>
            </w:tcMar>
            <w:vAlign w:val="top"/>
          </w:tcPr>
          <w:p>
            <w:pPr>
              <w:spacing w:after="40"/>
            </w:pPr>
            <w:r>
              <w:rPr>
                <w:rFonts w:ascii="Calibri" w:hAnsi="Calibri"/>
                <w:b w:val="0"/>
                <w:sz w:val="18"/>
              </w:rPr>
              <w:t>Investment</w:t>
            </w:r>
          </w:p>
        </w:tc>
        <w:tc>
          <w:tcPr>
            <w:tcW w:type="dxa" w:w="6840"/>
            <w:tcMar>
              <w:top w:w="80" w:type="dxa"/>
              <w:start w:w="120" w:type="dxa"/>
              <w:bottom w:w="80" w:type="dxa"/>
              <w:end w:w="120" w:type="dxa"/>
            </w:tcMar>
            <w:vAlign w:val="top"/>
          </w:tcPr>
          <w:p>
            <w:pPr>
              <w:spacing w:after="40"/>
            </w:pPr>
            <w:r>
              <w:rPr>
                <w:rFonts w:ascii="Calibri" w:hAnsi="Calibri"/>
                <w:b w:val="0"/>
                <w:sz w:val="18"/>
              </w:rPr>
              <w:t>INR 120,000,000 for 2,000,000 Series A CCPS</w:t>
            </w:r>
          </w:p>
        </w:tc>
      </w:tr>
      <w:tr>
        <w:tc>
          <w:tcPr>
            <w:tcW w:type="dxa" w:w="2520"/>
            <w:tcMar>
              <w:top w:w="80" w:type="dxa"/>
              <w:start w:w="120" w:type="dxa"/>
              <w:bottom w:w="80" w:type="dxa"/>
              <w:end w:w="120" w:type="dxa"/>
            </w:tcMar>
            <w:vAlign w:val="top"/>
          </w:tcPr>
          <w:p>
            <w:pPr>
              <w:spacing w:after="40"/>
            </w:pPr>
            <w:r>
              <w:rPr>
                <w:rFonts w:ascii="Calibri" w:hAnsi="Calibri"/>
                <w:b w:val="0"/>
                <w:sz w:val="18"/>
              </w:rPr>
              <w:t>Pre-money valuation</w:t>
            </w:r>
          </w:p>
        </w:tc>
        <w:tc>
          <w:tcPr>
            <w:tcW w:type="dxa" w:w="6840"/>
            <w:tcMar>
              <w:top w:w="80" w:type="dxa"/>
              <w:start w:w="120" w:type="dxa"/>
              <w:bottom w:w="80" w:type="dxa"/>
              <w:end w:w="120" w:type="dxa"/>
            </w:tcMar>
            <w:vAlign w:val="top"/>
          </w:tcPr>
          <w:p>
            <w:pPr>
              <w:spacing w:after="40"/>
            </w:pPr>
            <w:r>
              <w:rPr>
                <w:rFonts w:ascii="Calibri" w:hAnsi="Calibri"/>
                <w:b w:val="0"/>
                <w:sz w:val="18"/>
              </w:rPr>
              <w:t>INR 480,000,000 on a Fully Diluted basis</w:t>
            </w:r>
          </w:p>
        </w:tc>
      </w:tr>
      <w:tr>
        <w:tc>
          <w:tcPr>
            <w:tcW w:type="dxa" w:w="2520"/>
            <w:tcMar>
              <w:top w:w="80" w:type="dxa"/>
              <w:start w:w="120" w:type="dxa"/>
              <w:bottom w:w="80" w:type="dxa"/>
              <w:end w:w="120" w:type="dxa"/>
            </w:tcMar>
            <w:vAlign w:val="top"/>
          </w:tcPr>
          <w:p>
            <w:pPr>
              <w:spacing w:after="40"/>
            </w:pPr>
            <w:r>
              <w:rPr>
                <w:rFonts w:ascii="Calibri" w:hAnsi="Calibri"/>
                <w:b w:val="0"/>
                <w:sz w:val="18"/>
              </w:rPr>
              <w:t>Pre-money FD capital</w:t>
            </w:r>
          </w:p>
        </w:tc>
        <w:tc>
          <w:tcPr>
            <w:tcW w:type="dxa" w:w="6840"/>
            <w:tcMar>
              <w:top w:w="80" w:type="dxa"/>
              <w:start w:w="120" w:type="dxa"/>
              <w:bottom w:w="80" w:type="dxa"/>
              <w:end w:w="120" w:type="dxa"/>
            </w:tcMar>
            <w:vAlign w:val="top"/>
          </w:tcPr>
          <w:p>
            <w:pPr>
              <w:spacing w:after="40"/>
            </w:pPr>
            <w:r>
              <w:rPr>
                <w:rFonts w:ascii="Calibri" w:hAnsi="Calibri"/>
                <w:b w:val="0"/>
                <w:sz w:val="18"/>
              </w:rPr>
              <w:t>8,000,000 units, comprising 7,500,000 issued/as-converted plus 500,000 unallocated ESOP</w:t>
            </w:r>
          </w:p>
        </w:tc>
      </w:tr>
      <w:tr>
        <w:tc>
          <w:tcPr>
            <w:tcW w:type="dxa" w:w="2520"/>
            <w:tcMar>
              <w:top w:w="80" w:type="dxa"/>
              <w:start w:w="120" w:type="dxa"/>
              <w:bottom w:w="80" w:type="dxa"/>
              <w:end w:w="120" w:type="dxa"/>
            </w:tcMar>
            <w:vAlign w:val="top"/>
          </w:tcPr>
          <w:p>
            <w:pPr>
              <w:spacing w:after="40"/>
            </w:pPr>
            <w:r>
              <w:rPr>
                <w:rFonts w:ascii="Calibri" w:hAnsi="Calibri"/>
                <w:b w:val="0"/>
                <w:sz w:val="18"/>
              </w:rPr>
              <w:t>Price</w:t>
            </w:r>
          </w:p>
        </w:tc>
        <w:tc>
          <w:tcPr>
            <w:tcW w:type="dxa" w:w="6840"/>
            <w:tcMar>
              <w:top w:w="80" w:type="dxa"/>
              <w:start w:w="120" w:type="dxa"/>
              <w:bottom w:w="80" w:type="dxa"/>
              <w:end w:w="120" w:type="dxa"/>
            </w:tcMar>
            <w:vAlign w:val="top"/>
          </w:tcPr>
          <w:p>
            <w:pPr>
              <w:spacing w:after="40"/>
            </w:pPr>
            <w:r>
              <w:rPr>
                <w:rFonts w:ascii="Calibri" w:hAnsi="Calibri"/>
                <w:b w:val="0"/>
                <w:sz w:val="18"/>
              </w:rPr>
              <w:t>INR 60.00 per unit stated in the circulated term sheet</w:t>
            </w:r>
          </w:p>
        </w:tc>
      </w:tr>
      <w:tr>
        <w:tc>
          <w:tcPr>
            <w:tcW w:type="dxa" w:w="2520"/>
            <w:tcMar>
              <w:top w:w="80" w:type="dxa"/>
              <w:start w:w="120" w:type="dxa"/>
              <w:bottom w:w="80" w:type="dxa"/>
              <w:end w:w="120" w:type="dxa"/>
            </w:tcMar>
            <w:vAlign w:val="top"/>
          </w:tcPr>
          <w:p>
            <w:pPr>
              <w:spacing w:after="40"/>
            </w:pPr>
            <w:r>
              <w:rPr>
                <w:rFonts w:ascii="Calibri" w:hAnsi="Calibri"/>
                <w:b w:val="0"/>
                <w:sz w:val="18"/>
              </w:rPr>
              <w:t>Ownership</w:t>
            </w:r>
          </w:p>
        </w:tc>
        <w:tc>
          <w:tcPr>
            <w:tcW w:type="dxa" w:w="6840"/>
            <w:tcMar>
              <w:top w:w="80" w:type="dxa"/>
              <w:start w:w="120" w:type="dxa"/>
              <w:bottom w:w="80" w:type="dxa"/>
              <w:end w:w="120" w:type="dxa"/>
            </w:tcMar>
            <w:vAlign w:val="top"/>
          </w:tcPr>
          <w:p>
            <w:pPr>
              <w:spacing w:after="40"/>
            </w:pPr>
            <w:r>
              <w:rPr>
                <w:rFonts w:ascii="Calibri" w:hAnsi="Calibri"/>
                <w:b w:val="0"/>
                <w:sz w:val="18"/>
              </w:rPr>
              <w:t>Investor to hold 20% post-money on a Fully Diluted basis</w:t>
            </w:r>
          </w:p>
        </w:tc>
      </w:tr>
      <w:tr>
        <w:tc>
          <w:tcPr>
            <w:tcW w:type="dxa" w:w="2520"/>
            <w:tcMar>
              <w:top w:w="80" w:type="dxa"/>
              <w:start w:w="120" w:type="dxa"/>
              <w:bottom w:w="80" w:type="dxa"/>
              <w:end w:w="120" w:type="dxa"/>
            </w:tcMar>
            <w:vAlign w:val="top"/>
          </w:tcPr>
          <w:p>
            <w:pPr>
              <w:spacing w:after="40"/>
            </w:pPr>
            <w:r>
              <w:rPr>
                <w:rFonts w:ascii="Calibri" w:hAnsi="Calibri"/>
                <w:b w:val="0"/>
                <w:sz w:val="18"/>
              </w:rPr>
              <w:t>Use of proceeds</w:t>
            </w:r>
          </w:p>
        </w:tc>
        <w:tc>
          <w:tcPr>
            <w:tcW w:type="dxa" w:w="6840"/>
            <w:tcMar>
              <w:top w:w="80" w:type="dxa"/>
              <w:start w:w="120" w:type="dxa"/>
              <w:bottom w:w="80" w:type="dxa"/>
              <w:end w:w="120" w:type="dxa"/>
            </w:tcMar>
            <w:vAlign w:val="top"/>
          </w:tcPr>
          <w:p>
            <w:pPr>
              <w:spacing w:after="40"/>
            </w:pPr>
            <w:r>
              <w:rPr>
                <w:rFonts w:ascii="Calibri" w:hAnsi="Calibri"/>
                <w:b w:val="0"/>
                <w:sz w:val="18"/>
              </w:rPr>
              <w:t>Product security 35%; regulated-bank integrations 30%; sales 20%; working capital 15%</w:t>
            </w:r>
          </w:p>
        </w:tc>
      </w:tr>
      <w:tr>
        <w:tc>
          <w:tcPr>
            <w:tcW w:type="dxa" w:w="2520"/>
            <w:tcMar>
              <w:top w:w="80" w:type="dxa"/>
              <w:start w:w="120" w:type="dxa"/>
              <w:bottom w:w="80" w:type="dxa"/>
              <w:end w:w="120" w:type="dxa"/>
            </w:tcMar>
            <w:vAlign w:val="top"/>
          </w:tcPr>
          <w:p>
            <w:pPr>
              <w:spacing w:after="40"/>
            </w:pPr>
            <w:r>
              <w:rPr>
                <w:rFonts w:ascii="Calibri" w:hAnsi="Calibri"/>
                <w:b w:val="0"/>
                <w:sz w:val="18"/>
              </w:rPr>
              <w:t>Board</w:t>
            </w:r>
          </w:p>
        </w:tc>
        <w:tc>
          <w:tcPr>
            <w:tcW w:type="dxa" w:w="6840"/>
            <w:tcMar>
              <w:top w:w="80" w:type="dxa"/>
              <w:start w:w="120" w:type="dxa"/>
              <w:bottom w:w="80" w:type="dxa"/>
              <w:end w:w="120" w:type="dxa"/>
            </w:tcMar>
            <w:vAlign w:val="top"/>
          </w:tcPr>
          <w:p>
            <w:pPr>
              <w:spacing w:after="40"/>
            </w:pPr>
            <w:r>
              <w:rPr>
                <w:rFonts w:ascii="Calibri" w:hAnsi="Calibri"/>
                <w:b w:val="0"/>
                <w:sz w:val="18"/>
              </w:rPr>
              <w:t>Four seats: two Founders, one Investor, one jointly agreed independent</w:t>
            </w:r>
          </w:p>
        </w:tc>
      </w:tr>
      <w:tr>
        <w:tc>
          <w:tcPr>
            <w:tcW w:type="dxa" w:w="2520"/>
            <w:tcMar>
              <w:top w:w="80" w:type="dxa"/>
              <w:start w:w="120" w:type="dxa"/>
              <w:bottom w:w="80" w:type="dxa"/>
              <w:end w:w="120" w:type="dxa"/>
            </w:tcMar>
            <w:vAlign w:val="top"/>
          </w:tcPr>
          <w:p>
            <w:pPr>
              <w:spacing w:after="40"/>
            </w:pPr>
            <w:r>
              <w:rPr>
                <w:rFonts w:ascii="Calibri" w:hAnsi="Calibri"/>
                <w:b w:val="0"/>
                <w:sz w:val="18"/>
              </w:rPr>
              <w:t>Founder vesting</w:t>
            </w:r>
          </w:p>
        </w:tc>
        <w:tc>
          <w:tcPr>
            <w:tcW w:type="dxa" w:w="6840"/>
            <w:tcMar>
              <w:top w:w="80" w:type="dxa"/>
              <w:start w:w="120" w:type="dxa"/>
              <w:bottom w:w="80" w:type="dxa"/>
              <w:end w:w="120" w:type="dxa"/>
            </w:tcMar>
            <w:vAlign w:val="top"/>
          </w:tcPr>
          <w:p>
            <w:pPr>
              <w:spacing w:after="40"/>
            </w:pPr>
            <w:r>
              <w:rPr>
                <w:rFonts w:ascii="Calibri" w:hAnsi="Calibri"/>
                <w:b w:val="0"/>
                <w:sz w:val="18"/>
              </w:rPr>
              <w:t>50% vested at closing; remaining 50% monthly over 24 months</w:t>
            </w:r>
          </w:p>
        </w:tc>
      </w:tr>
      <w:tr>
        <w:tc>
          <w:tcPr>
            <w:tcW w:type="dxa" w:w="2520"/>
            <w:tcMar>
              <w:top w:w="80" w:type="dxa"/>
              <w:start w:w="120" w:type="dxa"/>
              <w:bottom w:w="80" w:type="dxa"/>
              <w:end w:w="120" w:type="dxa"/>
            </w:tcMar>
            <w:vAlign w:val="top"/>
          </w:tcPr>
          <w:p>
            <w:pPr>
              <w:spacing w:after="40"/>
            </w:pPr>
            <w:r>
              <w:rPr>
                <w:rFonts w:ascii="Calibri" w:hAnsi="Calibri"/>
                <w:b w:val="0"/>
                <w:sz w:val="18"/>
              </w:rPr>
              <w:t>ESOP</w:t>
            </w:r>
          </w:p>
        </w:tc>
        <w:tc>
          <w:tcPr>
            <w:tcW w:type="dxa" w:w="6840"/>
            <w:tcMar>
              <w:top w:w="80" w:type="dxa"/>
              <w:start w:w="120" w:type="dxa"/>
              <w:bottom w:w="80" w:type="dxa"/>
              <w:end w:w="120" w:type="dxa"/>
            </w:tcMar>
            <w:vAlign w:val="top"/>
          </w:tcPr>
          <w:p>
            <w:pPr>
              <w:spacing w:after="40"/>
            </w:pPr>
            <w:r>
              <w:rPr>
                <w:rFonts w:ascii="Calibri" w:hAnsi="Calibri"/>
                <w:b w:val="0"/>
                <w:sz w:val="18"/>
              </w:rPr>
              <w:t>500,000-unit pool included pre-money</w:t>
            </w:r>
          </w:p>
        </w:tc>
      </w:tr>
      <w:tr>
        <w:tc>
          <w:tcPr>
            <w:tcW w:type="dxa" w:w="2520"/>
            <w:tcMar>
              <w:top w:w="80" w:type="dxa"/>
              <w:start w:w="120" w:type="dxa"/>
              <w:bottom w:w="80" w:type="dxa"/>
              <w:end w:w="120" w:type="dxa"/>
            </w:tcMar>
            <w:vAlign w:val="top"/>
          </w:tcPr>
          <w:p>
            <w:pPr>
              <w:spacing w:after="40"/>
            </w:pPr>
            <w:r>
              <w:rPr>
                <w:rFonts w:ascii="Calibri" w:hAnsi="Calibri"/>
                <w:b w:val="0"/>
                <w:sz w:val="18"/>
              </w:rPr>
              <w:t>Liquidation preference</w:t>
            </w:r>
          </w:p>
        </w:tc>
        <w:tc>
          <w:tcPr>
            <w:tcW w:type="dxa" w:w="6840"/>
            <w:tcMar>
              <w:top w:w="80" w:type="dxa"/>
              <w:start w:w="120" w:type="dxa"/>
              <w:bottom w:w="80" w:type="dxa"/>
              <w:end w:w="120" w:type="dxa"/>
            </w:tcMar>
            <w:vAlign w:val="top"/>
          </w:tcPr>
          <w:p>
            <w:pPr>
              <w:spacing w:after="40"/>
            </w:pPr>
            <w:r>
              <w:rPr>
                <w:rFonts w:ascii="Calibri" w:hAnsi="Calibri"/>
                <w:b w:val="0"/>
                <w:sz w:val="18"/>
              </w:rPr>
              <w:t>1x non-participating, senior to equity</w:t>
            </w:r>
          </w:p>
        </w:tc>
      </w:tr>
      <w:tr>
        <w:tc>
          <w:tcPr>
            <w:tcW w:type="dxa" w:w="2520"/>
            <w:tcMar>
              <w:top w:w="80" w:type="dxa"/>
              <w:start w:w="120" w:type="dxa"/>
              <w:bottom w:w="80" w:type="dxa"/>
              <w:end w:w="120" w:type="dxa"/>
            </w:tcMar>
            <w:vAlign w:val="top"/>
          </w:tcPr>
          <w:p>
            <w:pPr>
              <w:spacing w:after="40"/>
            </w:pPr>
            <w:r>
              <w:rPr>
                <w:rFonts w:ascii="Calibri" w:hAnsi="Calibri"/>
                <w:b w:val="0"/>
                <w:sz w:val="18"/>
              </w:rPr>
              <w:t>Anti-dilution</w:t>
            </w:r>
          </w:p>
        </w:tc>
        <w:tc>
          <w:tcPr>
            <w:tcW w:type="dxa" w:w="6840"/>
            <w:tcMar>
              <w:top w:w="80" w:type="dxa"/>
              <w:start w:w="120" w:type="dxa"/>
              <w:bottom w:w="80" w:type="dxa"/>
              <w:end w:w="120" w:type="dxa"/>
            </w:tcMar>
            <w:vAlign w:val="top"/>
          </w:tcPr>
          <w:p>
            <w:pPr>
              <w:spacing w:after="40"/>
            </w:pPr>
            <w:r>
              <w:rPr>
                <w:rFonts w:ascii="Calibri" w:hAnsi="Calibri"/>
                <w:b w:val="0"/>
                <w:sz w:val="18"/>
              </w:rPr>
              <w:t>Broad-based weighted average; customary exclusions</w:t>
            </w:r>
          </w:p>
        </w:tc>
      </w:tr>
      <w:tr>
        <w:tc>
          <w:tcPr>
            <w:tcW w:type="dxa" w:w="2520"/>
            <w:tcMar>
              <w:top w:w="80" w:type="dxa"/>
              <w:start w:w="120" w:type="dxa"/>
              <w:bottom w:w="80" w:type="dxa"/>
              <w:end w:w="120" w:type="dxa"/>
            </w:tcMar>
            <w:vAlign w:val="top"/>
          </w:tcPr>
          <w:p>
            <w:pPr>
              <w:spacing w:after="40"/>
            </w:pPr>
            <w:r>
              <w:rPr>
                <w:rFonts w:ascii="Calibri" w:hAnsi="Calibri"/>
                <w:b w:val="0"/>
                <w:sz w:val="18"/>
              </w:rPr>
              <w:t>Exclusivity</w:t>
            </w:r>
          </w:p>
        </w:tc>
        <w:tc>
          <w:tcPr>
            <w:tcW w:type="dxa" w:w="6840"/>
            <w:tcMar>
              <w:top w:w="80" w:type="dxa"/>
              <w:start w:w="120" w:type="dxa"/>
              <w:bottom w:w="80" w:type="dxa"/>
              <w:end w:w="120" w:type="dxa"/>
            </w:tcMar>
            <w:vAlign w:val="top"/>
          </w:tcPr>
          <w:p>
            <w:pPr>
              <w:spacing w:after="40"/>
            </w:pPr>
            <w:r>
              <w:rPr>
                <w:rFonts w:ascii="Calibri" w:hAnsi="Calibri"/>
                <w:b w:val="0"/>
                <w:sz w:val="18"/>
              </w:rPr>
              <w:t>60 days from signature</w:t>
            </w:r>
          </w:p>
        </w:tc>
      </w:tr>
    </w:tbl>
    <w:p>
      <w:pPr>
        <w:spacing w:after="40"/>
      </w:pPr>
    </w:p>
    <w:p>
      <w:pPr>
        <w:pStyle w:val="Heading1"/>
      </w:pPr>
      <w:r>
        <w:t>Pricing footnote</w:t>
      </w:r>
    </w:p>
    <w:p>
      <w:r>
        <w:rPr>
          <w:rFonts w:ascii="Calibri" w:hAnsi="Calibri"/>
          <w:i w:val="0"/>
          <w:sz w:val="22"/>
        </w:rPr>
        <w:t>The stated INR 60.00 price is internally consistent with the INR 480,000,000 pre-money valuation divided by 8,000,000 pre-money Fully Diluted units and with INR 120,000,000 for 2,000,000 securities. The definitive Shareholders' Agreement, however, records INR 6.00 per security while still recording INR 120,000,000 for the same 2,000,000 securities. The closing bank credit is INR 120,000,000. No split or bonus issue document is present. The record therefore supports a decimal drafting error in one document, but the participant file does not include the closing funds-flow or rectification instrument that would conclusively identify which term controls.</w:t>
      </w:r>
    </w:p>
    <w:p>
      <w:pPr>
        <w:pStyle w:val="Heading1"/>
      </w:pPr>
      <w:r>
        <w:t>Diligence conditions</w:t>
      </w:r>
    </w:p>
    <w:p>
      <w:pPr>
        <w:pStyle w:val="ListBullet"/>
        <w:spacing w:after="80"/>
      </w:pPr>
      <w:r>
        <w:rPr>
          <w:rFonts w:ascii="Calibri" w:hAnsi="Calibri"/>
          <w:sz w:val="22"/>
        </w:rPr>
        <w:t>satisfactory confirmation that VertexPay is a technology service provider and does not receive or pool merchant funds;</w:t>
      </w:r>
    </w:p>
    <w:p>
      <w:pPr>
        <w:pStyle w:val="ListBullet"/>
        <w:spacing w:after="80"/>
      </w:pPr>
      <w:r>
        <w:rPr>
          <w:rFonts w:ascii="Calibri" w:hAnsi="Calibri"/>
          <w:sz w:val="22"/>
        </w:rPr>
        <w:t>disclosure and Board regularisation of all related-party vendor contracts, including Vertex Labs LLP;</w:t>
      </w:r>
    </w:p>
    <w:p>
      <w:pPr>
        <w:pStyle w:val="ListBullet"/>
        <w:spacing w:after="80"/>
      </w:pPr>
      <w:r>
        <w:rPr>
          <w:rFonts w:ascii="Calibri" w:hAnsi="Calibri"/>
          <w:sz w:val="22"/>
        </w:rPr>
        <w:t>execution of customer-data and source-code assignments;</w:t>
      </w:r>
    </w:p>
    <w:p>
      <w:pPr>
        <w:pStyle w:val="ListBullet"/>
        <w:spacing w:after="80"/>
      </w:pPr>
      <w:r>
        <w:rPr>
          <w:rFonts w:ascii="Calibri" w:hAnsi="Calibri"/>
          <w:sz w:val="22"/>
        </w:rPr>
        <w:t>adoption of amended Articles reflecting governance, transfer and investor protection rights;</w:t>
      </w:r>
    </w:p>
    <w:p>
      <w:pPr>
        <w:pStyle w:val="ListBullet"/>
        <w:spacing w:after="80"/>
      </w:pPr>
      <w:r>
        <w:rPr>
          <w:rFonts w:ascii="Calibri" w:hAnsi="Calibri"/>
          <w:sz w:val="22"/>
        </w:rPr>
        <w:t>no material adverse change, including termination or threatened termination of a top-five customer.</w:t>
      </w:r>
    </w:p>
    <w:p>
      <w:pPr>
        <w:pStyle w:val="Heading1"/>
      </w:pPr>
      <w:r>
        <w:t>Binding clauses</w:t>
      </w:r>
    </w:p>
    <w:p>
      <w:r>
        <w:rPr>
          <w:rFonts w:ascii="Calibri" w:hAnsi="Calibri"/>
          <w:i w:val="0"/>
          <w:sz w:val="22"/>
        </w:rPr>
        <w:t>The Company and Founders shall negotiate exclusively for 60 days. Confidential information may be used only for the transaction. Binding disputes shall be arbitrated in Mumbai by a sole arbitrator under the Arbitration and Conciliation Act, 1996. Indian law governs.</w:t>
      </w:r>
    </w:p>
    <w:p>
      <w:pPr>
        <w:pStyle w:val="Heading1"/>
      </w:pPr>
      <w:r>
        <w:t>Execution trail</w:t>
      </w:r>
    </w:p>
    <w:p>
      <w:r>
        <w:rPr>
          <w:rFonts w:ascii="Calibri" w:hAnsi="Calibri"/>
          <w:i w:val="0"/>
          <w:sz w:val="22"/>
        </w:rPr>
        <w:t>The PDF signature page shows Kavya Menon signing for Meridian at 21:14 IST and Aarav Mehta signing at 21:12 IST on 26 September 2022. The audit page names the document 'VertexPay_TS_v11_final2.pdf'. No hash or platform completion certificate is included.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VP-04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