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VP-06</w:t>
      </w:r>
    </w:p>
    <w:p>
      <w:pPr>
        <w:spacing w:after="80"/>
      </w:pPr>
      <w:r>
        <w:rPr>
          <w:rFonts w:ascii="Calibri" w:hAnsi="Calibri"/>
          <w:b/>
          <w:color w:val="000000"/>
          <w:sz w:val="46"/>
        </w:rPr>
        <w:t>Shareholder Meeting Documents</w:t>
      </w:r>
    </w:p>
    <w:p>
      <w:pPr>
        <w:spacing w:after="240"/>
      </w:pPr>
      <w:r>
        <w:rPr>
          <w:rFonts w:ascii="Calibri" w:hAnsi="Calibri"/>
          <w:color w:val="595959"/>
          <w:sz w:val="24"/>
        </w:rPr>
        <w:t>Special notice, EGM notice, explanatory statement, attendance and minutes</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1. Meridian special notice dated 8 September 2025</w:t>
      </w:r>
    </w:p>
    <w:p>
      <w:r>
        <w:rPr>
          <w:rFonts w:ascii="Calibri" w:hAnsi="Calibri"/>
          <w:i w:val="0"/>
          <w:sz w:val="22"/>
        </w:rPr>
        <w:t>Meridian, holder of 2,000,000 Series A CCPS carrying 21.05% of issued voting power on an as-converted basis before the bridge, gives special notice of an ordinary resolution to remove Aarav Mehta as director and appoint Leena Iyer in his place. Grounds stated: breakdown of trust, related-party payments and customer/regulatory risk. The notice does not attach evidence and is signed electronically by Kavya Menon.</w:t>
      </w:r>
    </w:p>
    <w:p>
      <w:pPr>
        <w:pStyle w:val="Heading1"/>
      </w:pPr>
      <w:r>
        <w:t>2. EGM notice</w:t>
      </w:r>
    </w:p>
    <w:p>
      <w:r>
        <w:rPr>
          <w:rFonts w:ascii="Calibri" w:hAnsi="Calibri"/>
          <w:i w:val="0"/>
          <w:sz w:val="22"/>
        </w:rPr>
        <w:t>Notice dated 9 September 2025 calls an extraordinary general meeting at 11:00 a.m. on 30 September 2025 at the registered office and by video conference. The dispatch log says email was sent at 11:48 p.m. on 9 September to aarav@vertexpay.in, not the SHA notice address aarav.mehta@vertexpay.in or personal copy address. Courier tracking shows 'address insufficient' on 15 September.</w:t>
      </w:r>
    </w:p>
    <w:tbl>
      <w:tblPr>
        <w:tblStyle w:val="TableGrid"/>
        <w:tblW w:type="dxa" w:w="9360"/>
        <w:jc w:val="left"/>
        <w:tblLayout w:type="fixed"/>
        <w:tblLook w:firstColumn="1" w:firstRow="1" w:lastColumn="0" w:lastRow="0" w:noHBand="0" w:noVBand="1" w:val="04A0"/>
        <w:tblInd w:w="120" w:type="dxa"/>
      </w:tblPr>
      <w:tblGrid>
        <w:gridCol w:w="792"/>
        <w:gridCol w:w="6912"/>
        <w:gridCol w:w="1656"/>
      </w:tblGrid>
      <w:tr>
        <w:trPr>
          <w:tblHeader w:val="true"/>
        </w:trPr>
        <w:tc>
          <w:tcPr>
            <w:tcW w:type="dxa" w:w="792"/>
            <w:shd w:fill="E8EEF5"/>
            <w:tcMar>
              <w:top w:w="80" w:type="dxa"/>
              <w:start w:w="120" w:type="dxa"/>
              <w:bottom w:w="80" w:type="dxa"/>
              <w:end w:w="120" w:type="dxa"/>
            </w:tcMar>
            <w:vAlign w:val="top"/>
          </w:tcPr>
          <w:p>
            <w:pPr>
              <w:spacing w:after="40"/>
            </w:pPr>
            <w:r>
              <w:rPr>
                <w:rFonts w:ascii="Calibri" w:hAnsi="Calibri"/>
                <w:b/>
                <w:sz w:val="17"/>
              </w:rPr>
              <w:t>Item</w:t>
            </w:r>
          </w:p>
        </w:tc>
        <w:tc>
          <w:tcPr>
            <w:tcW w:type="dxa" w:w="6912"/>
            <w:shd w:fill="E8EEF5"/>
            <w:tcMar>
              <w:top w:w="80" w:type="dxa"/>
              <w:start w:w="120" w:type="dxa"/>
              <w:bottom w:w="80" w:type="dxa"/>
              <w:end w:w="120" w:type="dxa"/>
            </w:tcMar>
            <w:vAlign w:val="top"/>
          </w:tcPr>
          <w:p>
            <w:pPr>
              <w:spacing w:after="40"/>
            </w:pPr>
            <w:r>
              <w:rPr>
                <w:rFonts w:ascii="Calibri" w:hAnsi="Calibri"/>
                <w:b/>
                <w:sz w:val="17"/>
              </w:rPr>
              <w:t>Resolution</w:t>
            </w:r>
          </w:p>
        </w:tc>
        <w:tc>
          <w:tcPr>
            <w:tcW w:type="dxa" w:w="1656"/>
            <w:shd w:fill="E8EEF5"/>
            <w:tcMar>
              <w:top w:w="80" w:type="dxa"/>
              <w:start w:w="120" w:type="dxa"/>
              <w:bottom w:w="80" w:type="dxa"/>
              <w:end w:w="120" w:type="dxa"/>
            </w:tcMar>
            <w:vAlign w:val="top"/>
          </w:tcPr>
          <w:p>
            <w:pPr>
              <w:spacing w:after="40"/>
            </w:pPr>
            <w:r>
              <w:rPr>
                <w:rFonts w:ascii="Calibri" w:hAnsi="Calibri"/>
                <w:b/>
                <w:sz w:val="17"/>
              </w:rPr>
              <w:t>Type stated</w:t>
            </w:r>
          </w:p>
        </w:tc>
      </w:tr>
      <w:tr>
        <w:tc>
          <w:tcPr>
            <w:tcW w:type="dxa" w:w="792"/>
            <w:tcMar>
              <w:top w:w="80" w:type="dxa"/>
              <w:start w:w="120" w:type="dxa"/>
              <w:bottom w:w="80" w:type="dxa"/>
              <w:end w:w="120" w:type="dxa"/>
            </w:tcMar>
            <w:vAlign w:val="top"/>
          </w:tcPr>
          <w:p>
            <w:pPr>
              <w:spacing w:after="40"/>
            </w:pPr>
            <w:r>
              <w:rPr>
                <w:rFonts w:ascii="Calibri" w:hAnsi="Calibri"/>
                <w:b w:val="0"/>
                <w:sz w:val="17"/>
              </w:rPr>
              <w:t>1</w:t>
            </w:r>
          </w:p>
        </w:tc>
        <w:tc>
          <w:tcPr>
            <w:tcW w:type="dxa" w:w="6912"/>
            <w:tcMar>
              <w:top w:w="80" w:type="dxa"/>
              <w:start w:w="120" w:type="dxa"/>
              <w:bottom w:w="80" w:type="dxa"/>
              <w:end w:w="120" w:type="dxa"/>
            </w:tcMar>
            <w:vAlign w:val="top"/>
          </w:tcPr>
          <w:p>
            <w:pPr>
              <w:spacing w:after="40"/>
            </w:pPr>
            <w:r>
              <w:rPr>
                <w:rFonts w:ascii="Calibri" w:hAnsi="Calibri"/>
                <w:b w:val="0"/>
                <w:sz w:val="17"/>
              </w:rPr>
              <w:t>Remove Aarav Mehta as director under section 169 and appoint Leena Iyer</w:t>
            </w:r>
          </w:p>
        </w:tc>
        <w:tc>
          <w:tcPr>
            <w:tcW w:type="dxa" w:w="1656"/>
            <w:tcMar>
              <w:top w:w="80" w:type="dxa"/>
              <w:start w:w="120" w:type="dxa"/>
              <w:bottom w:w="80" w:type="dxa"/>
              <w:end w:w="120" w:type="dxa"/>
            </w:tcMar>
            <w:vAlign w:val="top"/>
          </w:tcPr>
          <w:p>
            <w:pPr>
              <w:spacing w:after="40"/>
            </w:pPr>
            <w:r>
              <w:rPr>
                <w:rFonts w:ascii="Calibri" w:hAnsi="Calibri"/>
                <w:b w:val="0"/>
                <w:sz w:val="17"/>
              </w:rPr>
              <w:t>Ordinary</w:t>
            </w:r>
          </w:p>
        </w:tc>
      </w:tr>
      <w:tr>
        <w:tc>
          <w:tcPr>
            <w:tcW w:type="dxa" w:w="792"/>
            <w:tcMar>
              <w:top w:w="80" w:type="dxa"/>
              <w:start w:w="120" w:type="dxa"/>
              <w:bottom w:w="80" w:type="dxa"/>
              <w:end w:w="120" w:type="dxa"/>
            </w:tcMar>
            <w:vAlign w:val="top"/>
          </w:tcPr>
          <w:p>
            <w:pPr>
              <w:spacing w:after="40"/>
            </w:pPr>
            <w:r>
              <w:rPr>
                <w:rFonts w:ascii="Calibri" w:hAnsi="Calibri"/>
                <w:b w:val="0"/>
                <w:sz w:val="17"/>
              </w:rPr>
              <w:t>2</w:t>
            </w:r>
          </w:p>
        </w:tc>
        <w:tc>
          <w:tcPr>
            <w:tcW w:type="dxa" w:w="6912"/>
            <w:tcMar>
              <w:top w:w="80" w:type="dxa"/>
              <w:start w:w="120" w:type="dxa"/>
              <w:bottom w:w="80" w:type="dxa"/>
              <w:end w:w="120" w:type="dxa"/>
            </w:tcMar>
            <w:vAlign w:val="top"/>
          </w:tcPr>
          <w:p>
            <w:pPr>
              <w:spacing w:after="40"/>
            </w:pPr>
            <w:r>
              <w:rPr>
                <w:rFonts w:ascii="Calibri" w:hAnsi="Calibri"/>
                <w:b w:val="0"/>
                <w:sz w:val="17"/>
              </w:rPr>
              <w:t>Approve issue of up to 5,000,000 equity shares at not less than INR 1.80 to Meridian and/or Riverstone</w:t>
            </w:r>
          </w:p>
        </w:tc>
        <w:tc>
          <w:tcPr>
            <w:tcW w:type="dxa" w:w="1656"/>
            <w:tcMar>
              <w:top w:w="80" w:type="dxa"/>
              <w:start w:w="120" w:type="dxa"/>
              <w:bottom w:w="80" w:type="dxa"/>
              <w:end w:w="120" w:type="dxa"/>
            </w:tcMar>
            <w:vAlign w:val="top"/>
          </w:tcPr>
          <w:p>
            <w:pPr>
              <w:spacing w:after="40"/>
            </w:pPr>
            <w:r>
              <w:rPr>
                <w:rFonts w:ascii="Calibri" w:hAnsi="Calibri"/>
                <w:b w:val="0"/>
                <w:sz w:val="17"/>
              </w:rPr>
              <w:t>Special under section 62(1)(c)</w:t>
            </w:r>
          </w:p>
        </w:tc>
      </w:tr>
      <w:tr>
        <w:tc>
          <w:tcPr>
            <w:tcW w:type="dxa" w:w="792"/>
            <w:tcMar>
              <w:top w:w="80" w:type="dxa"/>
              <w:start w:w="120" w:type="dxa"/>
              <w:bottom w:w="80" w:type="dxa"/>
              <w:end w:w="120" w:type="dxa"/>
            </w:tcMar>
            <w:vAlign w:val="top"/>
          </w:tcPr>
          <w:p>
            <w:pPr>
              <w:spacing w:after="40"/>
            </w:pPr>
            <w:r>
              <w:rPr>
                <w:rFonts w:ascii="Calibri" w:hAnsi="Calibri"/>
                <w:b w:val="0"/>
                <w:sz w:val="17"/>
              </w:rPr>
              <w:t>3</w:t>
            </w:r>
          </w:p>
        </w:tc>
        <w:tc>
          <w:tcPr>
            <w:tcW w:type="dxa" w:w="6912"/>
            <w:tcMar>
              <w:top w:w="80" w:type="dxa"/>
              <w:start w:w="120" w:type="dxa"/>
              <w:bottom w:w="80" w:type="dxa"/>
              <w:end w:w="120" w:type="dxa"/>
            </w:tcMar>
            <w:vAlign w:val="top"/>
          </w:tcPr>
          <w:p>
            <w:pPr>
              <w:spacing w:after="40"/>
            </w:pPr>
            <w:r>
              <w:rPr>
                <w:rFonts w:ascii="Calibri" w:hAnsi="Calibri"/>
                <w:b w:val="0"/>
                <w:sz w:val="17"/>
              </w:rPr>
              <w:t>Increase ESOP pool from 500,000 to a number resulting in 12% post-issue FD capital</w:t>
            </w:r>
          </w:p>
        </w:tc>
        <w:tc>
          <w:tcPr>
            <w:tcW w:type="dxa" w:w="1656"/>
            <w:tcMar>
              <w:top w:w="80" w:type="dxa"/>
              <w:start w:w="120" w:type="dxa"/>
              <w:bottom w:w="80" w:type="dxa"/>
              <w:end w:w="120" w:type="dxa"/>
            </w:tcMar>
            <w:vAlign w:val="top"/>
          </w:tcPr>
          <w:p>
            <w:pPr>
              <w:spacing w:after="40"/>
            </w:pPr>
            <w:r>
              <w:rPr>
                <w:rFonts w:ascii="Calibri" w:hAnsi="Calibri"/>
                <w:b w:val="0"/>
                <w:sz w:val="17"/>
              </w:rPr>
              <w:t>Special</w:t>
            </w:r>
          </w:p>
        </w:tc>
      </w:tr>
    </w:tbl>
    <w:p>
      <w:pPr>
        <w:spacing w:after="40"/>
      </w:pPr>
    </w:p>
    <w:p>
      <w:pPr>
        <w:pStyle w:val="Heading1"/>
      </w:pPr>
      <w:r>
        <w:t>3. Explanatory statement</w:t>
      </w:r>
    </w:p>
    <w:p>
      <w:r>
        <w:rPr>
          <w:rFonts w:ascii="Calibri" w:hAnsi="Calibri"/>
          <w:i w:val="0"/>
          <w:sz w:val="22"/>
        </w:rPr>
        <w:t>The statement says cash is expected to fall below payroll by 29 September and the issue price is supported by a 10 September valuation note from Parekh Valuation Services. No valuation note is attached to the participant file. It identifies Meridian's interest but says Riverstone is not related to any director. An investor email elsewhere states Riverstone's investment committee observer is Kavya's spouse, though no ownership interest is shown.</w:t>
      </w:r>
    </w:p>
    <w:p>
      <w:r>
        <w:rPr>
          <w:rFonts w:ascii="Calibri" w:hAnsi="Calibri"/>
          <w:i w:val="0"/>
          <w:sz w:val="22"/>
        </w:rPr>
        <w:t>The statement calculates Aarav's post-issue holding as 17.8%, but the board cap table and later register show 4,050,000 shares out of 14,500,000 issued, or about 27.93%. The 17.8% figure appears to assume the full 12% ESOP pool is issued and a further 5,000,000 authorised shares are outstanding.</w:t>
      </w:r>
    </w:p>
    <w:p>
      <w:pPr>
        <w:pStyle w:val="Heading1"/>
      </w:pPr>
      <w:r>
        <w:t>4. Aarav's representations</w:t>
      </w:r>
    </w:p>
    <w:p>
      <w:r>
        <w:rPr>
          <w:rFonts w:ascii="Calibri" w:hAnsi="Calibri"/>
          <w:i w:val="0"/>
          <w:sz w:val="22"/>
        </w:rPr>
        <w:t>A document headed 'Representations under section 169(4)' is dated 23 September. It denies diversion, asserts lack of Board quorum, offers a pro rata founder bridge at INR 6.00 per share, and asks that the representations be circulated. Company counsel replies on 26 September that the document is defamatory and too long. The EGM pack says a 'summary' was read; the full representations were not circulated. Aarav's email sent record shows delivery to companysecretary@vertexpay.in at 6:14 p.m., but the attachment name is 'Aarav_reps_FINAL.pdf' with no hash.</w:t>
      </w:r>
    </w:p>
    <w:p>
      <w:pPr>
        <w:pStyle w:val="Heading1"/>
      </w:pPr>
      <w:r>
        <w:t>5. Attendance, voting and minutes</w:t>
      </w:r>
    </w:p>
    <w:tbl>
      <w:tblPr>
        <w:tblStyle w:val="TableGrid"/>
        <w:tblW w:type="dxa" w:w="9360"/>
        <w:jc w:val="left"/>
        <w:tblLayout w:type="fixed"/>
        <w:tblLook w:firstColumn="1" w:firstRow="1" w:lastColumn="0" w:lastRow="0" w:noHBand="0" w:noVBand="1" w:val="04A0"/>
        <w:tblInd w:w="120" w:type="dxa"/>
      </w:tblPr>
      <w:tblGrid>
        <w:gridCol w:w="2880"/>
        <w:gridCol w:w="1800"/>
        <w:gridCol w:w="4680"/>
      </w:tblGrid>
      <w:tr>
        <w:trPr>
          <w:tblHeader w:val="true"/>
        </w:trPr>
        <w:tc>
          <w:tcPr>
            <w:tcW w:type="dxa" w:w="2880"/>
            <w:shd w:fill="E8EEF5"/>
            <w:tcMar>
              <w:top w:w="80" w:type="dxa"/>
              <w:start w:w="120" w:type="dxa"/>
              <w:bottom w:w="80" w:type="dxa"/>
              <w:end w:w="120" w:type="dxa"/>
            </w:tcMar>
            <w:vAlign w:val="top"/>
          </w:tcPr>
          <w:p>
            <w:pPr>
              <w:spacing w:after="40"/>
            </w:pPr>
            <w:r>
              <w:rPr>
                <w:rFonts w:ascii="Calibri" w:hAnsi="Calibri"/>
                <w:b/>
                <w:sz w:val="17"/>
              </w:rPr>
              <w:t>Holder</w:t>
            </w:r>
          </w:p>
        </w:tc>
        <w:tc>
          <w:tcPr>
            <w:tcW w:type="dxa" w:w="1800"/>
            <w:shd w:fill="E8EEF5"/>
            <w:tcMar>
              <w:top w:w="80" w:type="dxa"/>
              <w:start w:w="120" w:type="dxa"/>
              <w:bottom w:w="80" w:type="dxa"/>
              <w:end w:w="120" w:type="dxa"/>
            </w:tcMar>
            <w:vAlign w:val="top"/>
          </w:tcPr>
          <w:p>
            <w:pPr>
              <w:spacing w:after="40"/>
            </w:pPr>
            <w:r>
              <w:rPr>
                <w:rFonts w:ascii="Calibri" w:hAnsi="Calibri"/>
                <w:b/>
                <w:sz w:val="17"/>
              </w:rPr>
              <w:t>Votes recorded</w:t>
            </w:r>
          </w:p>
        </w:tc>
        <w:tc>
          <w:tcPr>
            <w:tcW w:type="dxa" w:w="4680"/>
            <w:shd w:fill="E8EEF5"/>
            <w:tcMar>
              <w:top w:w="80" w:type="dxa"/>
              <w:start w:w="120" w:type="dxa"/>
              <w:bottom w:w="80" w:type="dxa"/>
              <w:end w:w="120" w:type="dxa"/>
            </w:tcMar>
            <w:vAlign w:val="top"/>
          </w:tcPr>
          <w:p>
            <w:pPr>
              <w:spacing w:after="40"/>
            </w:pPr>
            <w:r>
              <w:rPr>
                <w:rFonts w:ascii="Calibri" w:hAnsi="Calibri"/>
                <w:b/>
                <w:sz w:val="17"/>
              </w:rPr>
              <w:t>Attendance / vote</w:t>
            </w:r>
          </w:p>
        </w:tc>
      </w:tr>
      <w:tr>
        <w:tc>
          <w:tcPr>
            <w:tcW w:type="dxa" w:w="2880"/>
            <w:tcMar>
              <w:top w:w="80" w:type="dxa"/>
              <w:start w:w="120" w:type="dxa"/>
              <w:bottom w:w="80" w:type="dxa"/>
              <w:end w:w="120" w:type="dxa"/>
            </w:tcMar>
            <w:vAlign w:val="top"/>
          </w:tcPr>
          <w:p>
            <w:pPr>
              <w:spacing w:after="40"/>
            </w:pPr>
            <w:r>
              <w:rPr>
                <w:rFonts w:ascii="Calibri" w:hAnsi="Calibri"/>
                <w:b w:val="0"/>
                <w:sz w:val="17"/>
              </w:rPr>
              <w:t>Aarav Mehta</w:t>
            </w:r>
          </w:p>
        </w:tc>
        <w:tc>
          <w:tcPr>
            <w:tcW w:type="dxa" w:w="1800"/>
            <w:tcMar>
              <w:top w:w="80" w:type="dxa"/>
              <w:start w:w="120" w:type="dxa"/>
              <w:bottom w:w="80" w:type="dxa"/>
              <w:end w:w="120" w:type="dxa"/>
            </w:tcMar>
            <w:vAlign w:val="top"/>
          </w:tcPr>
          <w:p>
            <w:pPr>
              <w:spacing w:after="40"/>
            </w:pPr>
            <w:r>
              <w:rPr>
                <w:rFonts w:ascii="Calibri" w:hAnsi="Calibri"/>
                <w:b w:val="0"/>
                <w:sz w:val="17"/>
              </w:rPr>
              <w:t>4,050,000</w:t>
            </w:r>
          </w:p>
        </w:tc>
        <w:tc>
          <w:tcPr>
            <w:tcW w:type="dxa" w:w="4680"/>
            <w:tcMar>
              <w:top w:w="80" w:type="dxa"/>
              <w:start w:w="120" w:type="dxa"/>
              <w:bottom w:w="80" w:type="dxa"/>
              <w:end w:w="120" w:type="dxa"/>
            </w:tcMar>
            <w:vAlign w:val="top"/>
          </w:tcPr>
          <w:p>
            <w:pPr>
              <w:spacing w:after="40"/>
            </w:pPr>
            <w:r>
              <w:rPr>
                <w:rFonts w:ascii="Calibri" w:hAnsi="Calibri"/>
                <w:b w:val="0"/>
                <w:sz w:val="17"/>
              </w:rPr>
              <w:t>Not present; login attempt recorded 11:17 after Items 1 and 2</w:t>
            </w:r>
          </w:p>
        </w:tc>
      </w:tr>
      <w:tr>
        <w:tc>
          <w:tcPr>
            <w:tcW w:type="dxa" w:w="2880"/>
            <w:tcMar>
              <w:top w:w="80" w:type="dxa"/>
              <w:start w:w="120" w:type="dxa"/>
              <w:bottom w:w="80" w:type="dxa"/>
              <w:end w:w="120" w:type="dxa"/>
            </w:tcMar>
            <w:vAlign w:val="top"/>
          </w:tcPr>
          <w:p>
            <w:pPr>
              <w:spacing w:after="40"/>
            </w:pPr>
            <w:r>
              <w:rPr>
                <w:rFonts w:ascii="Calibri" w:hAnsi="Calibri"/>
                <w:b w:val="0"/>
                <w:sz w:val="17"/>
              </w:rPr>
              <w:t>Nisha Rao</w:t>
            </w:r>
          </w:p>
        </w:tc>
        <w:tc>
          <w:tcPr>
            <w:tcW w:type="dxa" w:w="1800"/>
            <w:tcMar>
              <w:top w:w="80" w:type="dxa"/>
              <w:start w:w="120" w:type="dxa"/>
              <w:bottom w:w="80" w:type="dxa"/>
              <w:end w:w="120" w:type="dxa"/>
            </w:tcMar>
            <w:vAlign w:val="top"/>
          </w:tcPr>
          <w:p>
            <w:pPr>
              <w:spacing w:after="40"/>
            </w:pPr>
            <w:r>
              <w:rPr>
                <w:rFonts w:ascii="Calibri" w:hAnsi="Calibri"/>
                <w:b w:val="0"/>
                <w:sz w:val="17"/>
              </w:rPr>
              <w:t>2,700,000</w:t>
            </w:r>
          </w:p>
        </w:tc>
        <w:tc>
          <w:tcPr>
            <w:tcW w:type="dxa" w:w="4680"/>
            <w:tcMar>
              <w:top w:w="80" w:type="dxa"/>
              <w:start w:w="120" w:type="dxa"/>
              <w:bottom w:w="80" w:type="dxa"/>
              <w:end w:w="120" w:type="dxa"/>
            </w:tcMar>
            <w:vAlign w:val="top"/>
          </w:tcPr>
          <w:p>
            <w:pPr>
              <w:spacing w:after="40"/>
            </w:pPr>
            <w:r>
              <w:rPr>
                <w:rFonts w:ascii="Calibri" w:hAnsi="Calibri"/>
                <w:b w:val="0"/>
                <w:sz w:val="17"/>
              </w:rPr>
              <w:t>Present; for all items</w:t>
            </w:r>
          </w:p>
        </w:tc>
      </w:tr>
      <w:tr>
        <w:tc>
          <w:tcPr>
            <w:tcW w:type="dxa" w:w="2880"/>
            <w:tcMar>
              <w:top w:w="80" w:type="dxa"/>
              <w:start w:w="120" w:type="dxa"/>
              <w:bottom w:w="80" w:type="dxa"/>
              <w:end w:w="120" w:type="dxa"/>
            </w:tcMar>
            <w:vAlign w:val="top"/>
          </w:tcPr>
          <w:p>
            <w:pPr>
              <w:spacing w:after="40"/>
            </w:pPr>
            <w:r>
              <w:rPr>
                <w:rFonts w:ascii="Calibri" w:hAnsi="Calibri"/>
                <w:b w:val="0"/>
                <w:sz w:val="17"/>
              </w:rPr>
              <w:t>Saffron Seed Ventures</w:t>
            </w:r>
          </w:p>
        </w:tc>
        <w:tc>
          <w:tcPr>
            <w:tcW w:type="dxa" w:w="1800"/>
            <w:tcMar>
              <w:top w:w="80" w:type="dxa"/>
              <w:start w:w="120" w:type="dxa"/>
              <w:bottom w:w="80" w:type="dxa"/>
              <w:end w:w="120" w:type="dxa"/>
            </w:tcMar>
            <w:vAlign w:val="top"/>
          </w:tcPr>
          <w:p>
            <w:pPr>
              <w:spacing w:after="40"/>
            </w:pPr>
            <w:r>
              <w:rPr>
                <w:rFonts w:ascii="Calibri" w:hAnsi="Calibri"/>
                <w:b w:val="0"/>
                <w:sz w:val="17"/>
              </w:rPr>
              <w:t>750,000</w:t>
            </w:r>
          </w:p>
        </w:tc>
        <w:tc>
          <w:tcPr>
            <w:tcW w:type="dxa" w:w="4680"/>
            <w:tcMar>
              <w:top w:w="80" w:type="dxa"/>
              <w:start w:w="120" w:type="dxa"/>
              <w:bottom w:w="80" w:type="dxa"/>
              <w:end w:w="120" w:type="dxa"/>
            </w:tcMar>
            <w:vAlign w:val="top"/>
          </w:tcPr>
          <w:p>
            <w:pPr>
              <w:spacing w:after="40"/>
            </w:pPr>
            <w:r>
              <w:rPr>
                <w:rFonts w:ascii="Calibri" w:hAnsi="Calibri"/>
                <w:b w:val="0"/>
                <w:sz w:val="17"/>
              </w:rPr>
              <w:t>Proxy Devika Shah; for Items 1-2, against Item 3</w:t>
            </w:r>
          </w:p>
        </w:tc>
      </w:tr>
      <w:tr>
        <w:tc>
          <w:tcPr>
            <w:tcW w:type="dxa" w:w="2880"/>
            <w:tcMar>
              <w:top w:w="80" w:type="dxa"/>
              <w:start w:w="120" w:type="dxa"/>
              <w:bottom w:w="80" w:type="dxa"/>
              <w:end w:w="120" w:type="dxa"/>
            </w:tcMar>
            <w:vAlign w:val="top"/>
          </w:tcPr>
          <w:p>
            <w:pPr>
              <w:spacing w:after="40"/>
            </w:pPr>
            <w:r>
              <w:rPr>
                <w:rFonts w:ascii="Calibri" w:hAnsi="Calibri"/>
                <w:b w:val="0"/>
                <w:sz w:val="17"/>
              </w:rPr>
              <w:t>Meridian Growth Fund I</w:t>
            </w:r>
          </w:p>
        </w:tc>
        <w:tc>
          <w:tcPr>
            <w:tcW w:type="dxa" w:w="1800"/>
            <w:tcMar>
              <w:top w:w="80" w:type="dxa"/>
              <w:start w:w="120" w:type="dxa"/>
              <w:bottom w:w="80" w:type="dxa"/>
              <w:end w:w="120" w:type="dxa"/>
            </w:tcMar>
            <w:vAlign w:val="top"/>
          </w:tcPr>
          <w:p>
            <w:pPr>
              <w:spacing w:after="40"/>
            </w:pPr>
            <w:r>
              <w:rPr>
                <w:rFonts w:ascii="Calibri" w:hAnsi="Calibri"/>
                <w:b w:val="0"/>
                <w:sz w:val="17"/>
              </w:rPr>
              <w:t>2,000,000</w:t>
            </w:r>
          </w:p>
        </w:tc>
        <w:tc>
          <w:tcPr>
            <w:tcW w:type="dxa" w:w="4680"/>
            <w:tcMar>
              <w:top w:w="80" w:type="dxa"/>
              <w:start w:w="120" w:type="dxa"/>
              <w:bottom w:w="80" w:type="dxa"/>
              <w:end w:w="120" w:type="dxa"/>
            </w:tcMar>
            <w:vAlign w:val="top"/>
          </w:tcPr>
          <w:p>
            <w:pPr>
              <w:spacing w:after="40"/>
            </w:pPr>
            <w:r>
              <w:rPr>
                <w:rFonts w:ascii="Calibri" w:hAnsi="Calibri"/>
                <w:b w:val="0"/>
                <w:sz w:val="17"/>
              </w:rPr>
              <w:t>Kavya Menon; for all items</w:t>
            </w:r>
          </w:p>
        </w:tc>
      </w:tr>
      <w:tr>
        <w:tc>
          <w:tcPr>
            <w:tcW w:type="dxa" w:w="2880"/>
            <w:tcMar>
              <w:top w:w="80" w:type="dxa"/>
              <w:start w:w="120" w:type="dxa"/>
              <w:bottom w:w="80" w:type="dxa"/>
              <w:end w:w="120" w:type="dxa"/>
            </w:tcMar>
            <w:vAlign w:val="top"/>
          </w:tcPr>
          <w:p>
            <w:pPr>
              <w:spacing w:after="40"/>
            </w:pPr>
            <w:r>
              <w:rPr>
                <w:rFonts w:ascii="Calibri" w:hAnsi="Calibri"/>
                <w:b w:val="0"/>
                <w:sz w:val="17"/>
              </w:rPr>
              <w:t>Total votes cast</w:t>
            </w:r>
          </w:p>
        </w:tc>
        <w:tc>
          <w:tcPr>
            <w:tcW w:type="dxa" w:w="1800"/>
            <w:tcMar>
              <w:top w:w="80" w:type="dxa"/>
              <w:start w:w="120" w:type="dxa"/>
              <w:bottom w:w="80" w:type="dxa"/>
              <w:end w:w="120" w:type="dxa"/>
            </w:tcMar>
            <w:vAlign w:val="top"/>
          </w:tcPr>
          <w:p>
            <w:pPr>
              <w:spacing w:after="40"/>
            </w:pPr>
            <w:r>
              <w:rPr>
                <w:rFonts w:ascii="Calibri" w:hAnsi="Calibri"/>
                <w:b w:val="0"/>
                <w:sz w:val="17"/>
              </w:rPr>
              <w:t>5,450,000</w:t>
            </w:r>
          </w:p>
        </w:tc>
        <w:tc>
          <w:tcPr>
            <w:tcW w:type="dxa" w:w="4680"/>
            <w:tcMar>
              <w:top w:w="80" w:type="dxa"/>
              <w:start w:w="120" w:type="dxa"/>
              <w:bottom w:w="80" w:type="dxa"/>
              <w:end w:w="120" w:type="dxa"/>
            </w:tcMar>
            <w:vAlign w:val="top"/>
          </w:tcPr>
          <w:p>
            <w:pPr>
              <w:spacing w:after="40"/>
            </w:pPr>
            <w:r>
              <w:rPr>
                <w:rFonts w:ascii="Calibri" w:hAnsi="Calibri"/>
                <w:b w:val="0"/>
                <w:sz w:val="17"/>
              </w:rPr>
              <w:t>Items 1-2: 100% for; Item 3: 86.24% for</w:t>
            </w:r>
          </w:p>
        </w:tc>
      </w:tr>
    </w:tbl>
    <w:p>
      <w:pPr>
        <w:spacing w:after="40"/>
      </w:pPr>
    </w:p>
    <w:p>
      <w:r>
        <w:rPr>
          <w:rFonts w:ascii="Calibri" w:hAnsi="Calibri"/>
          <w:i w:val="0"/>
          <w:sz w:val="22"/>
        </w:rPr>
        <w:t>The minutes state quorum was present at 11:00. The video platform log begins 11:06 and records two unique external participants plus one conference-room device. It records Aarav in the waiting room at 11:17 and removal by host at 11:19. The Chair says business had concluded at 11:15. The agenda projected a 45-minute meeting.</w:t>
      </w:r>
    </w:p>
    <w:p>
      <w:r>
        <w:rPr>
          <w:rFonts w:ascii="Calibri" w:hAnsi="Calibri"/>
          <w:i w:val="0"/>
          <w:sz w:val="22"/>
        </w:rPr>
        <w:t>The Chair declared all resolutions passed and signed the minutes on 30 October. A register extract dated 2 October removes Aarav as director and shows the 5,000,000-share allotment. Form DIR-12 acknowledgement is dated 6 October. A Form PAS-3 acknowledgement is not included.</w:t>
      </w:r>
    </w:p>
    <w:p>
      <w:pPr>
        <w:pStyle w:val="Heading1"/>
      </w:pPr>
      <w:r>
        <w:t>6. Proxy and service documents</w:t>
      </w:r>
    </w:p>
    <w:p>
      <w:r>
        <w:rPr>
          <w:rFonts w:ascii="Calibri" w:hAnsi="Calibri"/>
          <w:i w:val="0"/>
          <w:sz w:val="22"/>
        </w:rPr>
        <w:t>Saffron's proxy form is signed 29 September at 9:40 p.m. and stamped received by the Company at 10:05 p.m., less than 48 hours before the meeting. The Chair waived the timing objection. Meridian's authorisation is undated. The email delivery export is a CSV produced by the Company's Microsoft 365 administrator on 6 October; no electronic-record certificate accompanies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VP-06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