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VP-11</w:t>
      </w:r>
    </w:p>
    <w:p>
      <w:pPr>
        <w:spacing w:after="80"/>
      </w:pPr>
      <w:r>
        <w:rPr>
          <w:rFonts w:ascii="Calibri" w:hAnsi="Calibri"/>
          <w:b/>
          <w:color w:val="000000"/>
          <w:sz w:val="46"/>
        </w:rPr>
        <w:t>Legal Notice</w:t>
      </w:r>
    </w:p>
    <w:p>
      <w:pPr>
        <w:spacing w:after="240"/>
      </w:pPr>
      <w:r>
        <w:rPr>
          <w:rFonts w:ascii="Calibri" w:hAnsi="Calibri"/>
          <w:color w:val="595959"/>
          <w:sz w:val="24"/>
        </w:rPr>
        <w:t>For Aarav Mehta to VertexPay, its directors and Meridian | 6 October 2025</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r>
        <w:rPr>
          <w:rFonts w:ascii="Calibri" w:hAnsi="Calibri"/>
          <w:i w:val="0"/>
          <w:sz w:val="22"/>
        </w:rPr>
        <w:t>WITHOUT PREJUDICE EXCEPT AS TO COSTS</w:t>
      </w:r>
    </w:p>
    <w:p>
      <w:r>
        <w:rPr>
          <w:rFonts w:ascii="Calibri" w:hAnsi="Calibri"/>
          <w:i w:val="0"/>
          <w:sz w:val="22"/>
        </w:rPr>
        <w:t>We act for Mr Aarav Mehta, co-founder, shareholder and purportedly removed Managing Director of VertexPay Technologies Private Limited.</w:t>
      </w:r>
    </w:p>
    <w:p>
      <w:pPr>
        <w:pStyle w:val="Heading1"/>
      </w:pPr>
      <w:r>
        <w:t>Material allegations</w:t>
      </w:r>
    </w:p>
    <w:p>
      <w:pPr>
        <w:pStyle w:val="ListNumber"/>
        <w:spacing w:after="80"/>
      </w:pPr>
      <w:r>
        <w:rPr>
          <w:rFonts w:ascii="Calibri" w:hAnsi="Calibri"/>
          <w:sz w:val="22"/>
        </w:rPr>
        <w:t>The 12 September Board meeting lacked quorum under clause 3.2 of the Shareholders' Agreement; the notice was incomplete, sent to a disabled account, and used an emergency exception to approve financing contrary to clause 3.3.</w:t>
      </w:r>
    </w:p>
    <w:p>
      <w:pPr>
        <w:pStyle w:val="ListNumber"/>
        <w:spacing w:after="80"/>
      </w:pPr>
      <w:r>
        <w:rPr>
          <w:rFonts w:ascii="Calibri" w:hAnsi="Calibri"/>
          <w:sz w:val="22"/>
        </w:rPr>
        <w:t>The EGM notice did not provide clear notice, was sent to the wrong registered email, failed to circulate our client's statutory representations, and excluded him from the video meeting after he attempted to join.</w:t>
      </w:r>
    </w:p>
    <w:p>
      <w:pPr>
        <w:pStyle w:val="ListNumber"/>
        <w:spacing w:after="80"/>
      </w:pPr>
      <w:r>
        <w:rPr>
          <w:rFonts w:ascii="Calibri" w:hAnsi="Calibri"/>
          <w:sz w:val="22"/>
        </w:rPr>
        <w:t>The INR 1.80 bridge was an investor-led issue for the improper purpose of shifting control, without the contractual 15-Business-Day pro rata offer, Founder consent, a disclosed valuation or a complete subscription agreement.</w:t>
      </w:r>
    </w:p>
    <w:p>
      <w:pPr>
        <w:pStyle w:val="ListNumber"/>
        <w:spacing w:after="80"/>
      </w:pPr>
      <w:r>
        <w:rPr>
          <w:rFonts w:ascii="Calibri" w:hAnsi="Calibri"/>
          <w:sz w:val="22"/>
        </w:rPr>
        <w:t>The Company falsely labelled our client a fraud and Bad Leaver before completing the forensic review, then purported to acquire 1,417,500 shares at INR 0.10 without valuation, transfer instrument or payment.</w:t>
      </w:r>
    </w:p>
    <w:p>
      <w:pPr>
        <w:pStyle w:val="ListNumber"/>
        <w:spacing w:after="80"/>
      </w:pPr>
      <w:r>
        <w:rPr>
          <w:rFonts w:ascii="Calibri" w:hAnsi="Calibri"/>
          <w:sz w:val="22"/>
        </w:rPr>
        <w:t>Payments to Vertex Labs LLP purchased Company infrastructure and were known to Nisha and Finance. The Company has suppressed purchase orders, refunds and Board disclosures.</w:t>
      </w:r>
    </w:p>
    <w:p>
      <w:pPr>
        <w:pStyle w:val="ListNumber"/>
        <w:spacing w:after="80"/>
      </w:pPr>
      <w:r>
        <w:rPr>
          <w:rFonts w:ascii="Calibri" w:hAnsi="Calibri"/>
          <w:sz w:val="22"/>
        </w:rPr>
        <w:t>The Company's communications damaged our client's reputation and unlawfully denied access to records needed to respond.</w:t>
      </w:r>
    </w:p>
    <w:p>
      <w:pPr>
        <w:pStyle w:val="Heading1"/>
      </w:pPr>
      <w:r>
        <w:t>Demands</w:t>
      </w:r>
    </w:p>
    <w:p>
      <w:pPr>
        <w:pStyle w:val="ListBullet"/>
        <w:spacing w:after="80"/>
      </w:pPr>
      <w:r>
        <w:rPr>
          <w:rFonts w:ascii="Calibri" w:hAnsi="Calibri"/>
          <w:sz w:val="22"/>
        </w:rPr>
        <w:t>confirm that the bridge allotment, removal and bad-leaver call will not be acted upon pending neutral adjudication;</w:t>
      </w:r>
    </w:p>
    <w:p>
      <w:pPr>
        <w:pStyle w:val="ListBullet"/>
        <w:spacing w:after="80"/>
      </w:pPr>
      <w:r>
        <w:rPr>
          <w:rFonts w:ascii="Calibri" w:hAnsi="Calibri"/>
          <w:sz w:val="22"/>
        </w:rPr>
        <w:t>restore Board and shareholder information access, preserve native electronic evidence, and supply the documents listed in Schedule A within 48 hours;</w:t>
      </w:r>
    </w:p>
    <w:p>
      <w:pPr>
        <w:pStyle w:val="ListBullet"/>
        <w:spacing w:after="80"/>
      </w:pPr>
      <w:r>
        <w:rPr>
          <w:rFonts w:ascii="Calibri" w:hAnsi="Calibri"/>
          <w:sz w:val="22"/>
        </w:rPr>
        <w:t>retract allegations of fraud and pay outstanding salary and expenses of INR 8,740,000;</w:t>
      </w:r>
    </w:p>
    <w:p>
      <w:pPr>
        <w:pStyle w:val="ListBullet"/>
        <w:spacing w:after="80"/>
      </w:pPr>
      <w:r>
        <w:rPr>
          <w:rFonts w:ascii="Calibri" w:hAnsi="Calibri"/>
          <w:sz w:val="22"/>
        </w:rPr>
        <w:t>offer any required financing pro rata on independently valued terms; and</w:t>
      </w:r>
    </w:p>
    <w:p>
      <w:pPr>
        <w:pStyle w:val="ListBullet"/>
        <w:spacing w:after="80"/>
      </w:pPr>
      <w:r>
        <w:rPr>
          <w:rFonts w:ascii="Calibri" w:hAnsi="Calibri"/>
          <w:sz w:val="22"/>
        </w:rPr>
        <w:t>nominate an arbitrator under clause 14 without prejudice to statutory remedies before the NCLT.</w:t>
      </w:r>
    </w:p>
    <w:p>
      <w:pPr>
        <w:pStyle w:val="Heading1"/>
      </w:pPr>
      <w:r>
        <w:t>Claimed holding</w:t>
      </w:r>
    </w:p>
    <w:p>
      <w:r>
        <w:rPr>
          <w:rFonts w:ascii="Calibri" w:hAnsi="Calibri"/>
          <w:i w:val="0"/>
          <w:sz w:val="22"/>
        </w:rPr>
        <w:t>The notice states our client held 40.5% before the impugned allotment and 'not less than 17.8%' thereafter. Based on the register later disclosed, he holds 4,050,000 of 14,500,000 issued voting shares, approximately 27.93%, without accepting the allotment's validity.</w:t>
      </w:r>
    </w:p>
    <w:p>
      <w:pPr>
        <w:pStyle w:val="Heading1"/>
      </w:pPr>
      <w:r>
        <w:t>Schedule A - preservation and production</w:t>
      </w:r>
    </w:p>
    <w:p>
      <w:r>
        <w:rPr>
          <w:rFonts w:ascii="Calibri" w:hAnsi="Calibri"/>
          <w:i w:val="0"/>
          <w:sz w:val="22"/>
        </w:rPr>
        <w:t>Native Board recordings and chat; M365 logs; minutes drafts and comments; cap-table workbooks and valuation; bridge subscription and bank receipts; bank mandate forms; forensic images and reports; Nimbus native correspondence and logs; Vertex Labs purchase orders, invoices and vendor quotes; register of members; statutory filings; communication of Aarav's representations; and all messages concerning removal, dilution or Bad Leaver treatment.</w:t>
      </w:r>
    </w:p>
    <w:p>
      <w:r>
        <w:rPr>
          <w:rFonts w:ascii="Calibri" w:hAnsi="Calibri"/>
          <w:i w:val="0"/>
          <w:sz w:val="22"/>
        </w:rPr>
        <w:t>This notice reserves contractual, statutory, employment, defamation and evidentiary rights. No demand should be read as electing between arbitration and remedies reserved to a statutory forum.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VP-11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