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맑은 고딕" w:cs="맑은 고딕" w:eastAsia="맑은 고딕" w:hAnsi="맑은 고딕"/>
          <w:b/>
          <w:bCs/>
          <w:color w:val="1A3A5C"/>
          <w:sz w:val="42"/>
          <w:szCs w:val="42"/>
        </w:rPr>
        <w:t xml:space="preserve">게임수학 기말과제</w:t>
      </w:r>
    </w:p>
    <w:p>
      <w:pPr>
        <w:spacing w:after="40" w:before="0"/>
        <w:jc w:val="center"/>
      </w:pPr>
      <w:r>
        <w:rPr>
          <w:rFonts w:ascii="맑은 고딕" w:cs="맑은 고딕" w:eastAsia="맑은 고딕" w:hAnsi="맑은 고딕"/>
          <w:b/>
          <w:bCs/>
          <w:color w:val="2E75B6"/>
          <w:sz w:val="32"/>
          <w:szCs w:val="32"/>
        </w:rPr>
        <w:t xml:space="preserve">중간과제 평가 및 수정 결과표</w:t>
      </w:r>
    </w:p>
    <w:p>
      <w:pPr>
        <w:pBdr>
          <w:bottom w:val="single" w:color="2E75B6" w:sz="6" w:space="4"/>
        </w:pBdr>
        <w:spacing w:after="240" w:before="0"/>
        <w:jc w:val="center"/>
      </w:pPr>
      <w:r>
        <w:rPr>
          <w:rFonts w:ascii="맑은 고딕" w:cs="맑은 고딕" w:eastAsia="맑은 고딕" w:hAnsi="맑은 고딕"/>
          <w:color w:val="555555"/>
          <w:sz w:val="24"/>
          <w:szCs w:val="24"/>
        </w:rPr>
        <w:t xml:space="preserve">전세사기 예방 시뮬레이션 게임 기획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이름</w:t>
            </w:r>
          </w:p>
        </w:tc>
        <w:tc>
          <w:tcPr>
            <w:tcW w:type="dxa" w:w="31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
            </w:r>
          </w:p>
        </w:tc>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학번</w:t>
            </w:r>
          </w:p>
        </w:tc>
        <w:tc>
          <w:tcPr>
            <w:tcW w:type="dxa" w:w="31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과목명</w:t>
            </w:r>
          </w:p>
        </w:tc>
        <w:tc>
          <w:tcPr>
            <w:tcW w:type="dxa" w:w="31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게임수학</w:t>
            </w:r>
          </w:p>
        </w:tc>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제출일</w:t>
            </w:r>
          </w:p>
        </w:tc>
        <w:tc>
          <w:tcPr>
            <w:tcW w:type="dxa" w:w="31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2026년 6월 19일</w:t>
            </w:r>
          </w:p>
        </w:tc>
      </w:tr>
    </w:tbl>
    <w:p>
      <w:pPr>
        <w:spacing w:after="120" w:before="240"/>
      </w:pPr>
      <w:r>
        <w:rPr>
          <w:rFonts w:ascii="맑은 고딕" w:cs="맑은 고딕" w:eastAsia="맑은 고딕" w:hAnsi="맑은 고딕"/>
          <w:b/>
          <w:bCs/>
          <w:color w:val="1A3A5C"/>
          <w:sz w:val="26"/>
          <w:szCs w:val="26"/>
        </w:rPr>
        <w:t xml:space="preserve">▶ 평가 항목별 수정 결과표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900"/>
        <w:gridCol w:w="1900"/>
        <w:gridCol w:w="1900"/>
        <w:gridCol w:w="1860"/>
      </w:tblGrid>
      <w:tr>
        <w:trPr>
          <w:tblHeader/>
        </w:trPr>
        <w:tc>
          <w:tcPr>
            <w:tcW w:type="dxa" w:w="6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20"/>
                <w:szCs w:val="20"/>
              </w:rPr>
              <w:t xml:space="preserve">No</w:t>
            </w:r>
          </w:p>
        </w:tc>
        <w:tc>
          <w:tcPr>
            <w:tcW w:type="dxa" w:w="12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20"/>
                <w:szCs w:val="20"/>
              </w:rPr>
              <w:t xml:space="preserve">평가 항목</w:t>
            </w:r>
          </w:p>
        </w:tc>
        <w:tc>
          <w:tcPr>
            <w:tcW w:type="dxa" w:w="19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20"/>
                <w:szCs w:val="20"/>
              </w:rPr>
              <w:t xml:space="preserve">교수 평가</w:t>
            </w:r>
          </w:p>
        </w:tc>
        <w:tc>
          <w:tcPr>
            <w:tcW w:type="dxa" w:w="19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20"/>
                <w:szCs w:val="20"/>
              </w:rPr>
              <w:t xml:space="preserve">자기 평가</w:t>
            </w:r>
          </w:p>
        </w:tc>
        <w:tc>
          <w:tcPr>
            <w:tcW w:type="dxa" w:w="19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20"/>
                <w:szCs w:val="20"/>
              </w:rPr>
              <w:t xml:space="preserve">수정 방향</w:t>
            </w:r>
          </w:p>
        </w:tc>
        <w:tc>
          <w:tcPr>
            <w:tcW w:type="dxa" w:w="186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20"/>
                <w:szCs w:val="20"/>
              </w:rPr>
              <w:t xml:space="preserve">수정 결과</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1</w:t>
            </w:r>
          </w:p>
        </w:tc>
        <w:tc>
          <w:tcPr>
            <w:tcW w:type="dxa" w:w="1200"/>
            <w:tcBorders>
              <w:top w:val="single" w:color="999999" w:sz="1"/>
              <w:left w:val="single" w:color="999999" w:sz="1"/>
              <w:bottom w:val="single" w:color="999999" w:sz="1"/>
              <w:right w:val="single" w:color="999999" w:sz="1"/>
            </w:tcBorders>
            <w:shd w:fill="EBF5FB"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문제 정의 및
주제 적합성</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전세사기 문제를 사회초년생과 20~30대의 현실적 사회 이슈로 적절히 선정함. 실제 피해 사례와 예방 교육 필요성을 제시하여 주제 적합성이 높음.</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전세사기라는 실생활 문제를 게임으로 풀어낸 아이디어 자체는 좋았으나, 피해 통계 및 사례의 출처가 구체적이지 않았다. 문제의 심각성을 수치로 더 명확히 제시했더라면 설득력이 높아졌을 것이라고 생각한다.</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국토교통부, 경찰청 등 공신력 있는 기관의 최신 전세사기 피해 통계를 추가하고, 구체적인 사례 유형(깡통전세, 이중계약 등)을 분류하여 슬라이드에 반영한다.</w:t>
            </w:r>
          </w:p>
        </w:tc>
        <w:tc>
          <w:tcPr>
            <w:tcW w:type="dxa" w:w="1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발표자료 2~3번 슬라이드에 2023~2024년 전세사기 피해 건수 및 피해 금액 통계 그래프를 추가하고, 주요 사기 유형 3가지를 카드 형식으로 정리하여 문제의 심각성을 시각화함.</w:t>
            </w:r>
          </w:p>
        </w:tc>
      </w:tr>
      <w:tr>
        <w:tc>
          <w:tcPr>
            <w:tcW w:type="dxa" w:w="6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2</w:t>
            </w:r>
          </w:p>
        </w:tc>
        <w:tc>
          <w:tcPr>
            <w:tcW w:type="dxa" w:w="1200"/>
            <w:tcBorders>
              <w:top w:val="single" w:color="999999" w:sz="1"/>
              <w:left w:val="single" w:color="999999" w:sz="1"/>
              <w:bottom w:val="single" w:color="999999" w:sz="1"/>
              <w:right w:val="single" w:color="999999" w:sz="1"/>
            </w:tcBorders>
            <w:shd w:fill="EBF5FB"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게임 기획
완성도</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7일 제한 시간, 매물 탐색, 서류 검토, 계약 협상, 사기 매물 시스템 등이 주제와 잘 연결됨. 안전한 계약 판단을 게임 목표로 설계한 점이 우수함.</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게임의 핵심 흐름은 잘 설계했으나, 각 단계별 세부 규칙(예: 서류 검토 시 어떤 항목을 확인하는지, 협상 실패 시 어떤 패널티가 부과되는지)이 충분히 구체화되지 않았다.</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게임 플로우차트를 추가하여 매물 탐색→서류 검토→계약 협상→결과 판정의 단계별 분기를 명시한다. 각 단계에서 플레이어가 내려야 하는 판단 기준과 그 결과(성공/실패 조건)를 표로 정리한다.</w:t>
            </w:r>
          </w:p>
        </w:tc>
        <w:tc>
          <w:tcPr>
            <w:tcW w:type="dxa" w:w="186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발표자료에 게임 플로우차트 슬라이드를 신규 추가하고, 단계별 판단 기준표(확인 서류 항목, 위험 신호 목록, 패널티 규칙)를 함께 수록함.</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3</w:t>
            </w:r>
          </w:p>
        </w:tc>
        <w:tc>
          <w:tcPr>
            <w:tcW w:type="dxa" w:w="1200"/>
            <w:tcBorders>
              <w:top w:val="single" w:color="999999" w:sz="1"/>
              <w:left w:val="single" w:color="999999" w:sz="1"/>
              <w:bottom w:val="single" w:color="999999" w:sz="1"/>
              <w:right w:val="single" w:color="999999" w:sz="1"/>
            </w:tcBorders>
            <w:shd w:fill="EBF5FB"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게임수학
적용</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Vector, Random, 점수 계산식, Time 등을 제시함. 이동, 랜덤 불이익, 계약 안전도 평가, 제한 시간 관리와 연결되어 있음.</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수학 요소를 나열하는 데 그쳤고, 실제 게임에서 어떤 수식으로 적용되는지 구체적인 계산 예시가 부족했다. 예를 들어 계약 안전도 점수가 어떻게 산출되는지 공식을 제시했어야 했다.</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각 수학 요소마다 실제 수식을 작성하여 제시한다. 예: 계약안전도 = (서류확인점수 × 0.4) + (등기부등본 이상 여부 × 0.3) + (협상 결과 × 0.3). Random 요소는 확률 범위와 적용 시점을 명시한다.</w:t>
            </w:r>
          </w:p>
        </w:tc>
        <w:tc>
          <w:tcPr>
            <w:tcW w:type="dxa" w:w="1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게임수학 슬라이드에 계약안전도 산출 공식, 랜덤 이벤트 확률 테이블(이상 매물 출현 확률 30% 등), 7일 타이머 계산 방식을 수식과 예시값으로 추가함.</w:t>
            </w:r>
          </w:p>
        </w:tc>
      </w:tr>
      <w:tr>
        <w:tc>
          <w:tcPr>
            <w:tcW w:type="dxa" w:w="6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4</w:t>
            </w:r>
          </w:p>
        </w:tc>
        <w:tc>
          <w:tcPr>
            <w:tcW w:type="dxa" w:w="1200"/>
            <w:tcBorders>
              <w:top w:val="single" w:color="999999" w:sz="1"/>
              <w:left w:val="single" w:color="999999" w:sz="1"/>
              <w:bottom w:val="single" w:color="999999" w:sz="1"/>
              <w:right w:val="single" w:color="999999" w:sz="1"/>
            </w:tcBorders>
            <w:shd w:fill="EBF5FB"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기술 구현
계획</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Transform, Vector2, Collider2D, Time.deltaTime, Random.Range, ScriptableObject 등 Unity 구현 요소를 제시함. 기본 구현 방향이 명확함.</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Unity 컴포넌트 목록은 잘 제시했으나, 각 요소가 게임의 어떤 기능과 연결되는지 설명이 부족했다. ScriptableObject를 어떤 데이터 구조에 활용할지 구체적으로 제시했다면 더 좋았을 것이다.</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Unity 컴포넌트와 게임 기능의 대응 관계를 표로 정리한다. ScriptableObject의 데이터 필드 구조(매물 정보: 이름, 가격, 위험도, 서류 목록 등)를 명시한다.</w:t>
            </w:r>
          </w:p>
        </w:tc>
        <w:tc>
          <w:tcPr>
            <w:tcW w:type="dxa" w:w="186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기술 구현 슬라이드에 컴포넌트-기능 매핑 표를 추가하고, ScriptableObject 클래스 필드 다이어그램(PropertyData 구조)을 시각화하여 수록함.</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5</w:t>
            </w:r>
          </w:p>
        </w:tc>
        <w:tc>
          <w:tcPr>
            <w:tcW w:type="dxa" w:w="1200"/>
            <w:tcBorders>
              <w:top w:val="single" w:color="999999" w:sz="1"/>
              <w:left w:val="single" w:color="999999" w:sz="1"/>
              <w:bottom w:val="single" w:color="999999" w:sz="1"/>
              <w:right w:val="single" w:color="999999" w:sz="1"/>
            </w:tcBorders>
            <w:shd w:fill="EBF5FB"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프로토타입</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Start, Play, End 화면이 제시되어 기본 흐름이 확인됨. 다만 실제 매물 탐색, 서류 검토, 계약 판단 화면은 더 구체화되면 좋겠음.</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3개 화면만 제시하여 핵심 게임플레이 화면이 빠져 있었다. 매물 탐색 맵, 서류 검토 UI, 계약 판단 결과 화면이 없어 게임의 실제 플레이 흐름을 확인하기 어려웠다.</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Figma 또는 손그림으로 매물 탐색 맵 화면, 서류 검토 UI 화면, 계약 안전도 결과 화면 목업을 추가 제작하여 발표자료에 포함한다.</w:t>
            </w:r>
          </w:p>
        </w:tc>
        <w:tc>
          <w:tcPr>
            <w:tcW w:type="dxa" w:w="1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발표자료에 4개 화면 목업을 신규 추가함: ① 매물 탐색 맵(7개 매물 위치, 이동 경로), ② 서류 검토 UI(등기부등본/확인서 체크리스트), ③ 협상 대화창(선택지 3개), ④ 계약 결과 화면(안전도 점수 시각화).</w:t>
            </w:r>
          </w:p>
        </w:tc>
      </w:tr>
      <w:tr>
        <w:tc>
          <w:tcPr>
            <w:tcW w:type="dxa" w:w="6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6</w:t>
            </w:r>
          </w:p>
        </w:tc>
        <w:tc>
          <w:tcPr>
            <w:tcW w:type="dxa" w:w="1200"/>
            <w:tcBorders>
              <w:top w:val="single" w:color="999999" w:sz="1"/>
              <w:left w:val="single" w:color="999999" w:sz="1"/>
              <w:bottom w:val="single" w:color="999999" w:sz="1"/>
              <w:right w:val="single" w:color="999999" w:sz="1"/>
            </w:tcBorders>
            <w:shd w:fill="EBF5FB"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발표자료
전달력</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전체 구성이 과제 항목에 맞게 정리되어 있고 주제 전달이 명확함. 실생활 문제를 게임으로 풀어낸 의도가 잘 드러남.</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전반적인 구성은 좋았으나, 일부 슬라이드에서 텍스트 양이 많아 가독성이 떨어졌다. 시각 자료(도표, 아이콘, 다이어그램)를 더 활용했더라면 전달력이 높아졌을 것이다.</w:t>
            </w:r>
          </w:p>
        </w:tc>
        <w:tc>
          <w:tcPr>
            <w:tcW w:type="dxa" w:w="190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텍스트 위주 슬라이드를 인포그래픽, 아이콘, 도식으로 재구성한다. 핵심 내용은 3줄 이내로 요약하고, 세부 내용은 각주나 노트로 분리한다.</w:t>
            </w:r>
          </w:p>
        </w:tc>
        <w:tc>
          <w:tcPr>
            <w:tcW w:type="dxa" w:w="1860"/>
            <w:tcBorders>
              <w:top w:val="single" w:color="999999" w:sz="1"/>
              <w:left w:val="single" w:color="999999" w:sz="1"/>
              <w:bottom w:val="single" w:color="999999" w:sz="1"/>
              <w:right w:val="single" w:color="999999" w:sz="1"/>
            </w:tcBorders>
            <w:shd w:fill="F4F9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게임 흐름 설명 슬라이드를 텍스트 나열에서 단계별 화살표 다이어그램으로 교체하고, 수치 데이터는 바 차트·원형 그래프로 시각화함. 슬라이드당 핵심 문장 3줄 이내 원칙을 적용함.</w:t>
            </w:r>
          </w:p>
        </w:tc>
      </w:tr>
      <w:tr>
        <w:tc>
          <w:tcPr>
            <w:tcW w:type="dxa" w:w="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7</w:t>
            </w:r>
          </w:p>
        </w:tc>
        <w:tc>
          <w:tcPr>
            <w:tcW w:type="dxa" w:w="1200"/>
            <w:tcBorders>
              <w:top w:val="single" w:color="999999" w:sz="1"/>
              <w:left w:val="single" w:color="999999" w:sz="1"/>
              <w:bottom w:val="single" w:color="999999" w:sz="1"/>
              <w:right w:val="single" w:color="999999" w:sz="1"/>
            </w:tcBorders>
            <w:shd w:fill="EBF5FB" w:val="clear"/>
            <w:tcMar>
              <w:top w:type="dxa" w:w="80"/>
              <w:left w:type="dxa" w:w="120"/>
              <w:bottom w:type="dxa" w:w="80"/>
              <w:right w:type="dxa" w:w="120"/>
            </w:tcMar>
            <w:vAlign w:val="center"/>
          </w:tcPr>
          <w:p>
            <w:pPr>
              <w:jc w:val="center"/>
            </w:pPr>
            <w:r>
              <w:rPr>
                <w:rFonts w:ascii="맑은 고딕" w:cs="맑은 고딕" w:eastAsia="맑은 고딕" w:hAnsi="맑은 고딕"/>
                <w:b/>
                <w:bCs/>
                <w:color w:val="1A5276"/>
                <w:sz w:val="18"/>
                <w:szCs w:val="18"/>
              </w:rPr>
              <w:t xml:space="preserve">윤리 및
저작권</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기사, Unity 문서, Figma, 이미지 출처를 제시함. 다만 기사 작성일과 이미지별 세부 출처 표기는 보완 필요함.</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출처 표기 자체는 했으나 기사 작성일, URL, 이미지 저작권 유형(CC 라이선스 등)을 누락한 부분이 많았다. 학술/발표 자료에서 출처 표기의 중요성을 다시 인식하게 되었다.</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참고 기사마다 작성일, 매체명, URL을 모두 표기한다. 이미지는 출처, 작성자, 라이선스(CC0, CCBy 등)를 개별 표기한다. 통계 데이터는 원본 기관명과 발행 연도를 명시한다.</w:t>
            </w:r>
          </w:p>
        </w:tc>
        <w:tc>
          <w:tcPr>
            <w:tcW w:type="dxa" w:w="1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top"/>
          </w:tcPr>
          <w:p>
            <w:r>
              <w:rPr>
                <w:rFonts w:ascii="맑은 고딕" w:cs="맑은 고딕" w:eastAsia="맑은 고딕" w:hAnsi="맑은 고딕"/>
                <w:sz w:val="18"/>
                <w:szCs w:val="18"/>
              </w:rPr>
              <w:t xml:space="preserve">발표자료 마지막 슬라이드의 참고문헌 목록을 재작성하여 기사 7건(작성일·URL 포함), 이미지 5건(출처·라이선스 포함), 통계 데이터 3건(기관·연도 포함)을 규격에 맞춰 정리함.</w:t>
            </w:r>
          </w:p>
        </w:tc>
      </w:tr>
    </w:tbl>
    <w:p>
      <w:pPr>
        <w:spacing w:after="120" w:before="300"/>
      </w:pPr>
      <w:r>
        <w:rPr>
          <w:rFonts w:ascii="맑은 고딕" w:cs="맑은 고딕" w:eastAsia="맑은 고딕" w:hAnsi="맑은 고딕"/>
          <w:b/>
          <w:bCs/>
          <w:color w:val="1A3A5C"/>
          <w:sz w:val="26"/>
          <w:szCs w:val="26"/>
        </w:rPr>
        <w:t xml:space="preserve">▶ 종합 자기성찰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BFF" w:val="clear"/>
            <w:tcMar>
              <w:top w:type="dxa" w:w="150"/>
              <w:left w:type="dxa" w:w="200"/>
              <w:bottom w:type="dxa" w:w="150"/>
              <w:right w:type="dxa" w:w="200"/>
            </w:tcMar>
          </w:tcPr>
          <w:p>
            <w:pPr>
              <w:spacing w:after="80" w:before="60"/>
            </w:pPr>
            <w:r>
              <w:rPr>
                <w:rFonts w:ascii="맑은 고딕" w:cs="맑은 고딕" w:eastAsia="맑은 고딕" w:hAnsi="맑은 고딕"/>
                <w:sz w:val="20"/>
                <w:szCs w:val="20"/>
              </w:rPr>
              <w:t xml:space="preserve">이번 기말과제를 통해 중간과제를 돌아보며 부족했던 부분을 체계적으로 정리할 수 있었다. 교수님의 피드백을 항목별로 다시 읽으면서, 아이디어의 방향성은 맞았지만 구체성과 근거가 부족했다는 점을 깨달았다.</w:t>
            </w:r>
          </w:p>
          <w:p>
            <w:pPr>
              <w:spacing w:after="80" w:before="60"/>
            </w:pPr>
            <w:r>
              <w:rPr>
                <w:rFonts w:ascii="맑은 고딕" w:cs="맑은 고딕" w:eastAsia="맑은 고딕" w:hAnsi="맑은 고딕"/>
                <w:sz w:val="20"/>
                <w:szCs w:val="20"/>
              </w:rPr>
              <w:t xml:space="preserve">특히 프로토타입 화면과 게임수학 수식 부분에서 '제시했다'는 것과 '충분히 구체화했다'는 것의 차이를 실감했다. 단순히 키워드를 나열하는 것이 아니라, 실제 수치와 흐름을 보여주는 것이 기획 문서의 완성도를 결정짓는다는 것을 배웠다.</w:t>
            </w:r>
          </w:p>
          <w:p>
            <w:pPr>
              <w:spacing w:after="80" w:before="60"/>
            </w:pPr>
            <w:r>
              <w:rPr>
                <w:rFonts w:ascii="맑은 고딕" w:cs="맑은 고딕" w:eastAsia="맑은 고딕" w:hAnsi="맑은 고딕"/>
                <w:sz w:val="20"/>
                <w:szCs w:val="20"/>
              </w:rPr>
              <w:t xml:space="preserve">윤리 및 저작권 항목에서는 출처 표기의 중요성을 다시 한번 인식하게 되었다. 참고 자료의 작성일, URL, 라이선스 정보를 누락한 것은 단순한 실수가 아니라 습관의 문제임을 알게 되어, 앞으로 모든 자료 제작 시 출처 표기를 최우선으로 확인하는 습관을 들이기로 했다.</w:t>
            </w:r>
          </w:p>
          <w:p>
            <w:pPr>
              <w:spacing w:after="60" w:before="60"/>
            </w:pPr>
            <w:r>
              <w:rPr>
                <w:rFonts w:ascii="맑은 고딕" w:cs="맑은 고딕" w:eastAsia="맑은 고딕" w:hAnsi="맑은 고딕"/>
                <w:sz w:val="20"/>
                <w:szCs w:val="20"/>
              </w:rPr>
              <w:t xml:space="preserve">수정 작업을 거치면서 게임 기획이 단순한 아이디어 스케치가 아닌, 수학적 근거와 기술적 구현 계획이 함께 뒷받침되어야 한다는 것을 체감했다. 이번 경험을 바탕으로 향후 프로젝트에서는 기획 단계부터 구체적인 수치와 흐름을 먼저 설계하는 방식으로 접근하고자 한다.</w:t>
            </w:r>
          </w:p>
        </w:tc>
      </w:tr>
    </w:tbl>
    <w:p>
      <w:pPr>
        <w:spacing w:after="60" w:before="200"/>
        <w:jc w:val="right"/>
      </w:pPr>
      <w:r>
        <w:rPr>
          <w:rFonts w:ascii="맑은 고딕" w:cs="맑은 고딕" w:eastAsia="맑은 고딕" w:hAnsi="맑은 고딕"/>
          <w:color w:val="888888"/>
          <w:sz w:val="18"/>
          <w:szCs w:val="18"/>
        </w:rPr>
        <w:t xml:space="preserve">제출일: 2026년 6월 19일</w:t>
      </w:r>
    </w:p>
    <w:sectPr>
      <w:pgSz w:w="16838" w:h="11906"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맑은 고딕" w:cs="맑은 고딕" w:eastAsia="맑은 고딕" w:hAnsi="맑은 고딕"/>
      <w:b/>
      <w:bCs/>
      <w:color w:val="1A3A5C"/>
      <w:sz w:val="36"/>
      <w:szCs w:val="36"/>
    </w:rPr>
  </w:style>
  <w:style w:type="paragraph" w:styleId="Heading2">
    <w:name w:val="Heading 2"/>
    <w:basedOn w:val="Normal"/>
    <w:next w:val="Normal"/>
    <w:qFormat/>
    <w:pPr>
      <w:spacing w:after="120" w:before="200"/>
      <w:outlineLvl w:val="1"/>
    </w:pPr>
    <w:rPr>
      <w:rFonts w:ascii="맑은 고딕" w:cs="맑은 고딕" w:eastAsia="맑은 고딕" w:hAnsi="맑은 고딕"/>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2026-05-31T05:54:30.690Z</dcterms:created>
  <dcterms:modified xsi:type="dcterms:W3CDTF">2026-05-31T05:54:30.691Z</dcterms:modified>
</cp:coreProperties>
</file>

<file path=docProps/custom.xml><?xml version="1.0" encoding="utf-8"?>
<Properties xmlns="http://schemas.openxmlformats.org/officeDocument/2006/custom-properties" xmlns:vt="http://schemas.openxmlformats.org/officeDocument/2006/docPropsVTypes"/>
</file>