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240"/>
        <w:jc w:val="center"/>
      </w:pPr>
      <w:r>
        <w:rPr>
          <w:rFonts w:ascii="Arial" w:cs="Arial" w:eastAsia="Arial" w:hAnsi="Arial"/>
          <w:b/>
          <w:bCs/>
          <w:color w:val="888888"/>
          <w:sz w:val="22"/>
          <w:szCs w:val="22"/>
        </w:rPr>
        <w:t xml:space="preserve">ITS320 – CAPSTONE EXPERIENCE</w:t>
      </w:r>
    </w:p>
    <w:p>
      <w:pPr>
        <w:spacing w:after="120" w:before="120"/>
        <w:jc w:val="center"/>
      </w:pPr>
      <w:r>
        <w:rPr>
          <w:rFonts w:ascii="Arial" w:cs="Arial" w:eastAsia="Arial" w:hAnsi="Arial"/>
          <w:color w:val="555555"/>
          <w:sz w:val="20"/>
          <w:szCs w:val="20"/>
        </w:rPr>
        <w:t xml:space="preserve">Group Final Report – Project Implementation and Evaluation</w:t>
      </w:r>
    </w:p>
    <w:p>
      <w:pPr>
        <w:spacing w:after="80" w:before="80"/>
      </w:pPr>
      <w:r>
        <w:t xml:space="preserve"/>
      </w:r>
    </w:p>
    <w:p>
      <w:pPr>
        <w:spacing w:after="240" w:before="240"/>
        <w:jc w:val="center"/>
      </w:pPr>
      <w:r>
        <w:rPr>
          <w:rFonts w:ascii="Arial" w:cs="Arial" w:eastAsia="Arial" w:hAnsi="Arial"/>
          <w:b/>
          <w:bCs/>
          <w:color w:val="1a56db"/>
          <w:sz w:val="48"/>
          <w:szCs w:val="48"/>
        </w:rPr>
        <w:t xml:space="preserve">AI-Powered Chatbot for Enhancing
E-Government Services</w:t>
      </w:r>
    </w:p>
    <w:p>
      <w:pPr>
        <w:spacing w:after="80" w:before="80"/>
      </w:pPr>
      <w:r>
        <w:t xml:space="preserve"/>
      </w:r>
    </w:p>
    <w:p>
      <w:pPr>
        <w:jc w:val="center"/>
      </w:pPr>
      <w:r>
        <w:rPr>
          <w:rFonts w:ascii="Arial" w:cs="Arial" w:eastAsia="Arial" w:hAnsi="Arial"/>
          <w:b/>
          <w:bCs/>
          <w:sz w:val="22"/>
          <w:szCs w:val="22"/>
        </w:rPr>
        <w:t xml:space="preserve">Group Members</w:t>
      </w:r>
    </w:p>
    <w:p>
      <w:pPr>
        <w:jc w:val="center"/>
      </w:pPr>
      <w:r>
        <w:rPr>
          <w:rFonts w:ascii="Arial" w:cs="Arial" w:eastAsia="Arial" w:hAnsi="Arial"/>
          <w:sz w:val="20"/>
          <w:szCs w:val="20"/>
        </w:rPr>
        <w:t xml:space="preserve">Rohit Dahal  |  Niranjan Thapa  |  Jeevan Ghimire  |  Yuvraj Sharma  |  Rishab Sapkota</w:t>
      </w:r>
    </w:p>
    <w:p>
      <w:pPr>
        <w:spacing w:after="80" w:before="80"/>
      </w:pPr>
      <w:r>
        <w:t xml:space="preserve"/>
      </w:r>
    </w:p>
    <w:p>
      <w:pPr>
        <w:jc w:val="center"/>
      </w:pPr>
      <w:r>
        <w:rPr>
          <w:rFonts w:ascii="Arial" w:cs="Arial" w:eastAsia="Arial" w:hAnsi="Arial"/>
          <w:color w:val="555555"/>
          <w:sz w:val="20"/>
          <w:szCs w:val="20"/>
        </w:rPr>
        <w:t xml:space="preserve">Lecturer: Ifeanyi Egwutuoha</w:t>
      </w:r>
    </w:p>
    <w:p>
      <w:pPr>
        <w:jc w:val="center"/>
      </w:pPr>
      <w:r>
        <w:rPr>
          <w:rFonts w:ascii="Arial" w:cs="Arial" w:eastAsia="Arial" w:hAnsi="Arial"/>
          <w:color w:val="555555"/>
          <w:sz w:val="20"/>
          <w:szCs w:val="20"/>
        </w:rPr>
        <w:t xml:space="preserve">Submission Date: Week 12, T1 2025</w:t>
      </w:r>
    </w:p>
    <w:p>
      <w:pPr>
        <w:spacing w:after="80" w:before="80"/>
      </w:pPr>
      <w:r>
        <w:t xml:space="preserve"/>
      </w:r>
    </w:p>
    <w:p>
      <w:r>
        <w:br w:type="page"/>
      </w:r>
    </w:p>
    <w:p>
      <w:pPr>
        <w:pStyle w:val="Heading1"/>
        <w:spacing w:after="180" w:before="360"/>
      </w:pPr>
      <w:r>
        <w:rPr>
          <w:rFonts w:ascii="Arial" w:cs="Arial" w:eastAsia="Arial" w:hAnsi="Arial"/>
          <w:b/>
          <w:bCs/>
          <w:color w:val="1a56db"/>
          <w:sz w:val="32"/>
          <w:szCs w:val="32"/>
        </w:rPr>
        <w:t xml:space="preserve">Abstract</w:t>
      </w:r>
    </w:p>
    <w:p>
      <w:pPr>
        <w:spacing w:after="120" w:before="60"/>
      </w:pPr>
      <w:r>
        <w:rPr>
          <w:rFonts w:ascii="Arial" w:cs="Arial" w:eastAsia="Arial" w:hAnsi="Arial"/>
          <w:sz w:val="20"/>
          <w:szCs w:val="20"/>
        </w:rPr>
        <w:t xml:space="preserve">This report presents the full implementation and evaluation of an AI-powered chatbot system designed to enhance e-government services in Australia. The proposed system addresses persistent citizen frustration with slow government service responses (typically 24–72 hours), limited after-hours support, and inconsistent information across departments.</w:t>
      </w:r>
    </w:p>
    <w:p>
      <w:pPr>
        <w:spacing w:after="120" w:before="60"/>
      </w:pPr>
      <w:r>
        <w:rPr>
          <w:rFonts w:ascii="Arial" w:cs="Arial" w:eastAsia="Arial" w:hAnsi="Arial"/>
          <w:sz w:val="20"/>
          <w:szCs w:val="20"/>
        </w:rPr>
        <w:t xml:space="preserve">The implemented system — built using Python Flask, SQLAlchemy, Flask-Login, and a keyword-based Natural Language Processing (NLP) intent classifier — provides a fully functional web portal where citizens can register, authenticate, interact with an AI chatbot in real time, submit formal service requests with reference number tracking, and provide satisfaction feedback. An administrative dashboard enables government officers to view and update the status of all citizen requests.</w:t>
      </w:r>
    </w:p>
    <w:p>
      <w:pPr>
        <w:spacing w:after="120" w:before="60"/>
      </w:pPr>
      <w:r>
        <w:rPr>
          <w:rFonts w:ascii="Arial" w:cs="Arial" w:eastAsia="Arial" w:hAnsi="Arial"/>
          <w:sz w:val="20"/>
          <w:szCs w:val="20"/>
        </w:rPr>
        <w:t xml:space="preserve">Evaluation of the chatbot shows it can correctly resolve intent for the ten core government service categories (tax, passports, Medicare, Centrelink, driver licences, birth certificates, council services, complaints, operating hours, and application status tracking) with a response time under two seconds. The system prototype demonstrates the feasibility of reducing call-centre workload by up to 70%, improving response times from 48 hours to under two minutes, and increasing citizen satisfaction. Limitations include the rule-based NLP approach (a production system would use BERT/transformer models), and the SQLite database suitable only for prototyping. Future work should address multilingual support, integration with legacy government APIs, transformer-based NLU, and WCAG 2.1 accessibility compliance.</w:t>
      </w:r>
    </w:p>
    <w:p>
      <w:r>
        <w:br w:type="page"/>
      </w:r>
    </w:p>
    <w:p>
      <w:pPr>
        <w:pStyle w:val="Heading1"/>
        <w:spacing w:after="180" w:before="360"/>
      </w:pPr>
      <w:r>
        <w:rPr>
          <w:rFonts w:ascii="Arial" w:cs="Arial" w:eastAsia="Arial" w:hAnsi="Arial"/>
          <w:b/>
          <w:bCs/>
          <w:color w:val="1a56db"/>
          <w:sz w:val="32"/>
          <w:szCs w:val="32"/>
        </w:rPr>
        <w:t xml:space="preserve">Table of Contents</w:t>
      </w:r>
    </w:p>
    <w:p>
      <w:pPr>
        <w:spacing w:after="120" w:before="60"/>
      </w:pPr>
      <w:r>
        <w:rPr>
          <w:rFonts w:ascii="Arial" w:cs="Arial" w:eastAsia="Arial" w:hAnsi="Arial"/>
          <w:sz w:val="20"/>
          <w:szCs w:val="20"/>
        </w:rPr>
        <w:t xml:space="preserve">1. Introduction .......................................................................................................  4</w:t>
      </w:r>
    </w:p>
    <w:p>
      <w:pPr>
        <w:spacing w:after="120" w:before="60"/>
      </w:pPr>
      <w:r>
        <w:rPr>
          <w:rFonts w:ascii="Arial" w:cs="Arial" w:eastAsia="Arial" w:hAnsi="Arial"/>
          <w:sz w:val="20"/>
          <w:szCs w:val="20"/>
        </w:rPr>
        <w:t xml:space="preserve">2. Problem Statement ..............................................................................................  5</w:t>
      </w:r>
    </w:p>
    <w:p>
      <w:pPr>
        <w:spacing w:after="120" w:before="60"/>
      </w:pPr>
      <w:r>
        <w:rPr>
          <w:rFonts w:ascii="Arial" w:cs="Arial" w:eastAsia="Arial" w:hAnsi="Arial"/>
          <w:sz w:val="20"/>
          <w:szCs w:val="20"/>
        </w:rPr>
        <w:t xml:space="preserve">3. Research Methodology .......................................................................................  5</w:t>
      </w:r>
    </w:p>
    <w:p>
      <w:pPr>
        <w:spacing w:after="120" w:before="60"/>
      </w:pPr>
      <w:r>
        <w:rPr>
          <w:rFonts w:ascii="Arial" w:cs="Arial" w:eastAsia="Arial" w:hAnsi="Arial"/>
          <w:sz w:val="20"/>
          <w:szCs w:val="20"/>
        </w:rPr>
        <w:t xml:space="preserve">4. Literature Review / Research Findings ..............................................................  6</w:t>
      </w:r>
    </w:p>
    <w:p>
      <w:pPr>
        <w:spacing w:after="120" w:before="60"/>
      </w:pPr>
      <w:r>
        <w:rPr>
          <w:rFonts w:ascii="Arial" w:cs="Arial" w:eastAsia="Arial" w:hAnsi="Arial"/>
          <w:sz w:val="20"/>
          <w:szCs w:val="20"/>
        </w:rPr>
        <w:t xml:space="preserve">5. System Design and Architecture .........................................................................  7</w:t>
      </w:r>
    </w:p>
    <w:p>
      <w:pPr>
        <w:spacing w:after="120" w:before="60"/>
      </w:pPr>
      <w:r>
        <w:rPr>
          <w:rFonts w:ascii="Arial" w:cs="Arial" w:eastAsia="Arial" w:hAnsi="Arial"/>
          <w:sz w:val="20"/>
          <w:szCs w:val="20"/>
        </w:rPr>
        <w:t xml:space="preserve">6. Implementation ..................................................................................................  9</w:t>
      </w:r>
    </w:p>
    <w:p>
      <w:pPr>
        <w:spacing w:after="120" w:before="60"/>
      </w:pPr>
      <w:r>
        <w:rPr>
          <w:rFonts w:ascii="Arial" w:cs="Arial" w:eastAsia="Arial" w:hAnsi="Arial"/>
          <w:sz w:val="20"/>
          <w:szCs w:val="20"/>
        </w:rPr>
        <w:t xml:space="preserve">7. Evaluation and Testing .......................................................................................  12</w:t>
      </w:r>
    </w:p>
    <w:p>
      <w:pPr>
        <w:spacing w:after="120" w:before="60"/>
      </w:pPr>
      <w:r>
        <w:rPr>
          <w:rFonts w:ascii="Arial" w:cs="Arial" w:eastAsia="Arial" w:hAnsi="Arial"/>
          <w:sz w:val="20"/>
          <w:szCs w:val="20"/>
        </w:rPr>
        <w:t xml:space="preserve">8. Comparative Analysis .........................................................................................  13</w:t>
      </w:r>
    </w:p>
    <w:p>
      <w:pPr>
        <w:spacing w:after="120" w:before="60"/>
      </w:pPr>
      <w:r>
        <w:rPr>
          <w:rFonts w:ascii="Arial" w:cs="Arial" w:eastAsia="Arial" w:hAnsi="Arial"/>
          <w:sz w:val="20"/>
          <w:szCs w:val="20"/>
        </w:rPr>
        <w:t xml:space="preserve">9. Management Implications, Ethics &amp; Security ...................................................  14</w:t>
      </w:r>
    </w:p>
    <w:p>
      <w:pPr>
        <w:spacing w:after="120" w:before="60"/>
      </w:pPr>
      <w:r>
        <w:rPr>
          <w:rFonts w:ascii="Arial" w:cs="Arial" w:eastAsia="Arial" w:hAnsi="Arial"/>
          <w:sz w:val="20"/>
          <w:szCs w:val="20"/>
        </w:rPr>
        <w:t xml:space="preserve">10. Limitations and Future Work .............................................................................  15</w:t>
      </w:r>
    </w:p>
    <w:p>
      <w:pPr>
        <w:spacing w:after="120" w:before="60"/>
      </w:pPr>
      <w:r>
        <w:rPr>
          <w:rFonts w:ascii="Arial" w:cs="Arial" w:eastAsia="Arial" w:hAnsi="Arial"/>
          <w:sz w:val="20"/>
          <w:szCs w:val="20"/>
        </w:rPr>
        <w:t xml:space="preserve">11. Recommendations ..............................................................................................  16</w:t>
      </w:r>
    </w:p>
    <w:p>
      <w:pPr>
        <w:spacing w:after="120" w:before="60"/>
      </w:pPr>
      <w:r>
        <w:rPr>
          <w:rFonts w:ascii="Arial" w:cs="Arial" w:eastAsia="Arial" w:hAnsi="Arial"/>
          <w:sz w:val="20"/>
          <w:szCs w:val="20"/>
        </w:rPr>
        <w:t xml:space="preserve">12. Conclusion .........................................................................................................  16</w:t>
      </w:r>
    </w:p>
    <w:p>
      <w:pPr>
        <w:spacing w:after="120" w:before="60"/>
      </w:pPr>
      <w:r>
        <w:rPr>
          <w:rFonts w:ascii="Arial" w:cs="Arial" w:eastAsia="Arial" w:hAnsi="Arial"/>
          <w:sz w:val="20"/>
          <w:szCs w:val="20"/>
        </w:rPr>
        <w:t xml:space="preserve">13. References .........................................................................................................  17</w:t>
      </w:r>
    </w:p>
    <w:p>
      <w:pPr>
        <w:spacing w:after="120" w:before="60"/>
      </w:pPr>
      <w:r>
        <w:rPr>
          <w:rFonts w:ascii="Arial" w:cs="Arial" w:eastAsia="Arial" w:hAnsi="Arial"/>
          <w:sz w:val="20"/>
          <w:szCs w:val="20"/>
        </w:rPr>
        <w:t xml:space="preserve">Appendix: ACS CBOK Mapping .............................................................................  18</w:t>
      </w:r>
    </w:p>
    <w:p>
      <w:r>
        <w:br w:type="page"/>
      </w:r>
    </w:p>
    <w:p>
      <w:pPr>
        <w:pStyle w:val="Heading1"/>
        <w:spacing w:after="180" w:before="360"/>
      </w:pPr>
      <w:r>
        <w:rPr>
          <w:rFonts w:ascii="Arial" w:cs="Arial" w:eastAsia="Arial" w:hAnsi="Arial"/>
          <w:b/>
          <w:bCs/>
          <w:color w:val="1a56db"/>
          <w:sz w:val="32"/>
          <w:szCs w:val="32"/>
        </w:rPr>
        <w:t xml:space="preserve">1. Introduction</w:t>
      </w:r>
    </w:p>
    <w:p>
      <w:pPr>
        <w:pStyle w:val="Heading2"/>
        <w:spacing w:after="120" w:before="240"/>
      </w:pPr>
      <w:r>
        <w:rPr>
          <w:rFonts w:ascii="Arial" w:cs="Arial" w:eastAsia="Arial" w:hAnsi="Arial"/>
          <w:b/>
          <w:bCs/>
          <w:color w:val="1e429f"/>
          <w:sz w:val="26"/>
          <w:szCs w:val="26"/>
        </w:rPr>
        <w:t xml:space="preserve">1.1 Background</w:t>
      </w:r>
    </w:p>
    <w:p>
      <w:pPr>
        <w:spacing w:after="120" w:before="60"/>
      </w:pPr>
      <w:r>
        <w:rPr>
          <w:rFonts w:ascii="Arial" w:cs="Arial" w:eastAsia="Arial" w:hAnsi="Arial"/>
          <w:sz w:val="20"/>
          <w:szCs w:val="20"/>
        </w:rPr>
        <w:t xml:space="preserve">E-government services have become a cornerstone of modern public administration. The United Nations E-Government Survey 2023 reports that 193 member states now offer at least some form of online government services, with 65% providing transactional services such as birth registration and tax return filing. Despite widespread adoption, most government portals struggle to deliver real-time interactive support and are unable to handle the volume of simultaneous citizen inquiries.</w:t>
      </w:r>
    </w:p>
    <w:p>
      <w:pPr>
        <w:spacing w:after="120" w:before="60"/>
      </w:pPr>
      <w:r>
        <w:rPr>
          <w:rFonts w:ascii="Arial" w:cs="Arial" w:eastAsia="Arial" w:hAnsi="Arial"/>
          <w:sz w:val="20"/>
          <w:szCs w:val="20"/>
        </w:rPr>
        <w:t xml:space="preserve">Citizens routinely wait 24–72 hours for email responses, navigate complex multi-department terminology, and are unable to access services outside business hours (9 AM – 5 PM, Monday to Friday). A 2022 OECD report found that 58% of citizens encountered difficulties accessing e-government services, with 23% ultimately visiting a physical office to complete their transaction (OECD, 2022).</w:t>
      </w:r>
    </w:p>
    <w:p>
      <w:pPr>
        <w:pStyle w:val="Heading2"/>
        <w:spacing w:after="120" w:before="240"/>
      </w:pPr>
      <w:r>
        <w:rPr>
          <w:rFonts w:ascii="Arial" w:cs="Arial" w:eastAsia="Arial" w:hAnsi="Arial"/>
          <w:b/>
          <w:bCs/>
          <w:color w:val="1e429f"/>
          <w:sz w:val="26"/>
          <w:szCs w:val="26"/>
        </w:rPr>
        <w:t xml:space="preserve">1.2 Context and Motivation</w:t>
      </w:r>
    </w:p>
    <w:p>
      <w:pPr>
        <w:spacing w:after="120" w:before="60"/>
      </w:pPr>
      <w:r>
        <w:rPr>
          <w:rFonts w:ascii="Arial" w:cs="Arial" w:eastAsia="Arial" w:hAnsi="Arial"/>
          <w:sz w:val="20"/>
          <w:szCs w:val="20"/>
        </w:rPr>
        <w:t xml:space="preserve">The rapid adoption of AI in commercial customer service — banking, retail, telecommunications — has demonstrated that AI-driven chatbots can effectively resolve routine inquiries, operate 24/7, and reduce operational costs significantly. Bank of America's Erica chatbot handles over 50 million client interactions annually, automatically resolving 70% of them without human intervention (Davenport &amp; Kalakota, 2019).</w:t>
      </w:r>
    </w:p>
    <w:p>
      <w:pPr>
        <w:spacing w:after="120" w:before="60"/>
      </w:pPr>
      <w:r>
        <w:rPr>
          <w:rFonts w:ascii="Arial" w:cs="Arial" w:eastAsia="Arial" w:hAnsi="Arial"/>
          <w:sz w:val="20"/>
          <w:szCs w:val="20"/>
        </w:rPr>
        <w:t xml:space="preserve">Government adoption of chatbot technology has lagged behind the private sector due to security and privacy requirements, accountability obligations, legacy system constraints, and the need for multilingual and accessibility support (Wirtz et al., 2019). This project bridges that gap by delivering a working prototype of an AI chatbot for the Australian e-government context.</w:t>
      </w:r>
    </w:p>
    <w:p>
      <w:pPr>
        <w:pStyle w:val="Heading2"/>
        <w:spacing w:after="120" w:before="240"/>
      </w:pPr>
      <w:r>
        <w:rPr>
          <w:rFonts w:ascii="Arial" w:cs="Arial" w:eastAsia="Arial" w:hAnsi="Arial"/>
          <w:b/>
          <w:bCs/>
          <w:color w:val="1e429f"/>
          <w:sz w:val="26"/>
          <w:szCs w:val="26"/>
        </w:rPr>
        <w:t xml:space="preserve">1.3 Project Objectives</w:t>
      </w:r>
    </w:p>
    <w:p>
      <w:pPr>
        <w:pStyle w:val="ListParagraph"/>
        <w:numPr>
          <w:ilvl w:val="0"/>
          <w:numId w:val="2"/>
        </w:numPr>
        <w:spacing w:after="40" w:before="40"/>
      </w:pPr>
      <w:r>
        <w:rPr>
          <w:rFonts w:ascii="Arial" w:cs="Arial" w:eastAsia="Arial" w:hAnsi="Arial"/>
          <w:sz w:val="20"/>
          <w:szCs w:val="20"/>
        </w:rPr>
        <w:t xml:space="preserve">Provide instant (&lt; 2 second) responses to frequently asked questions across key government service categories</w:t>
      </w:r>
    </w:p>
    <w:p>
      <w:pPr>
        <w:pStyle w:val="ListParagraph"/>
        <w:numPr>
          <w:ilvl w:val="0"/>
          <w:numId w:val="2"/>
        </w:numPr>
        <w:spacing w:after="40" w:before="40"/>
      </w:pPr>
      <w:r>
        <w:rPr>
          <w:rFonts w:ascii="Arial" w:cs="Arial" w:eastAsia="Arial" w:hAnsi="Arial"/>
          <w:sz w:val="20"/>
          <w:szCs w:val="20"/>
        </w:rPr>
        <w:t xml:space="preserve">Guide citizens through complex application processes with structured information</w:t>
      </w:r>
    </w:p>
    <w:p>
      <w:pPr>
        <w:pStyle w:val="ListParagraph"/>
        <w:numPr>
          <w:ilvl w:val="0"/>
          <w:numId w:val="2"/>
        </w:numPr>
        <w:spacing w:after="40" w:before="40"/>
      </w:pPr>
      <w:r>
        <w:rPr>
          <w:rFonts w:ascii="Arial" w:cs="Arial" w:eastAsia="Arial" w:hAnsi="Arial"/>
          <w:sz w:val="20"/>
          <w:szCs w:val="20"/>
        </w:rPr>
        <w:t xml:space="preserve">Allow formal service request submission with reference number tracking</w:t>
      </w:r>
    </w:p>
    <w:p>
      <w:pPr>
        <w:pStyle w:val="ListParagraph"/>
        <w:numPr>
          <w:ilvl w:val="0"/>
          <w:numId w:val="2"/>
        </w:numPr>
        <w:spacing w:after="40" w:before="40"/>
      </w:pPr>
      <w:r>
        <w:rPr>
          <w:rFonts w:ascii="Arial" w:cs="Arial" w:eastAsia="Arial" w:hAnsi="Arial"/>
          <w:sz w:val="20"/>
          <w:szCs w:val="20"/>
        </w:rPr>
        <w:t xml:space="preserve">Enable 24/7 web-based operation with secure authentication</w:t>
      </w:r>
    </w:p>
    <w:p>
      <w:pPr>
        <w:pStyle w:val="ListParagraph"/>
        <w:numPr>
          <w:ilvl w:val="0"/>
          <w:numId w:val="2"/>
        </w:numPr>
        <w:spacing w:after="40" w:before="40"/>
      </w:pPr>
      <w:r>
        <w:rPr>
          <w:rFonts w:ascii="Arial" w:cs="Arial" w:eastAsia="Arial" w:hAnsi="Arial"/>
          <w:sz w:val="20"/>
          <w:szCs w:val="20"/>
        </w:rPr>
        <w:t xml:space="preserve">Demonstrate cost savings potential by automating 70% of routine call-centre queries</w:t>
      </w:r>
    </w:p>
    <w:p>
      <w:pPr>
        <w:pStyle w:val="ListParagraph"/>
        <w:numPr>
          <w:ilvl w:val="0"/>
          <w:numId w:val="2"/>
        </w:numPr>
        <w:spacing w:after="40" w:before="40"/>
      </w:pPr>
      <w:r>
        <w:rPr>
          <w:rFonts w:ascii="Arial" w:cs="Arial" w:eastAsia="Arial" w:hAnsi="Arial"/>
          <w:sz w:val="20"/>
          <w:szCs w:val="20"/>
        </w:rPr>
        <w:t xml:space="preserve">Collect citizen feedback to enable continuous service improvement</w:t>
      </w:r>
    </w:p>
    <w:p>
      <w:pPr>
        <w:spacing w:after="80" w:before="80"/>
      </w:pPr>
      <w:r>
        <w:t xml:space="preserve"/>
      </w:r>
    </w:p>
    <w:p>
      <w:r>
        <w:br w:type="page"/>
      </w:r>
    </w:p>
    <w:p>
      <w:pPr>
        <w:pStyle w:val="Heading1"/>
        <w:spacing w:after="180" w:before="360"/>
      </w:pPr>
      <w:r>
        <w:rPr>
          <w:rFonts w:ascii="Arial" w:cs="Arial" w:eastAsia="Arial" w:hAnsi="Arial"/>
          <w:b/>
          <w:bCs/>
          <w:color w:val="1a56db"/>
          <w:sz w:val="32"/>
          <w:szCs w:val="32"/>
        </w:rPr>
        <w:t xml:space="preserve">2. Problem Statement</w:t>
      </w:r>
    </w:p>
    <w:p>
      <w:pPr>
        <w:spacing w:after="120" w:before="60"/>
      </w:pPr>
      <w:r>
        <w:rPr>
          <w:rFonts w:ascii="Arial" w:cs="Arial" w:eastAsia="Arial" w:hAnsi="Arial"/>
          <w:sz w:val="20"/>
          <w:szCs w:val="20"/>
        </w:rPr>
        <w:t xml:space="preserve">Despite significant investment in digital government transformation, e-government portals continue to suffer from several structural weaknesses:</w:t>
      </w:r>
    </w:p>
    <w:p>
      <w:pPr>
        <w:pStyle w:val="ListParagraph"/>
        <w:numPr>
          <w:ilvl w:val="0"/>
          <w:numId w:val="2"/>
        </w:numPr>
        <w:spacing w:after="40" w:before="40"/>
      </w:pPr>
      <w:r>
        <w:rPr>
          <w:rFonts w:ascii="Arial" w:cs="Arial" w:eastAsia="Arial" w:hAnsi="Arial"/>
          <w:sz w:val="20"/>
          <w:szCs w:val="20"/>
        </w:rPr>
        <w:t xml:space="preserve">Long response times: Citizens wait 24–72 hours for email-based support responses</w:t>
      </w:r>
    </w:p>
    <w:p>
      <w:pPr>
        <w:pStyle w:val="ListParagraph"/>
        <w:numPr>
          <w:ilvl w:val="0"/>
          <w:numId w:val="2"/>
        </w:numPr>
        <w:spacing w:after="40" w:before="40"/>
      </w:pPr>
      <w:r>
        <w:rPr>
          <w:rFonts w:ascii="Arial" w:cs="Arial" w:eastAsia="Arial" w:hAnsi="Arial"/>
          <w:sz w:val="20"/>
          <w:szCs w:val="20"/>
        </w:rPr>
        <w:t xml:space="preserve">Limited availability: Support is restricted to business hours (9 AM – 5 PM weekdays)</w:t>
      </w:r>
    </w:p>
    <w:p>
      <w:pPr>
        <w:pStyle w:val="ListParagraph"/>
        <w:numPr>
          <w:ilvl w:val="0"/>
          <w:numId w:val="2"/>
        </w:numPr>
        <w:spacing w:after="40" w:before="40"/>
      </w:pPr>
      <w:r>
        <w:rPr>
          <w:rFonts w:ascii="Arial" w:cs="Arial" w:eastAsia="Arial" w:hAnsi="Arial"/>
          <w:sz w:val="20"/>
          <w:szCs w:val="20"/>
        </w:rPr>
        <w:t xml:space="preserve">High call-centre costs: Human agent interactions cost an average of $8–15 AUD per query</w:t>
      </w:r>
    </w:p>
    <w:p>
      <w:pPr>
        <w:pStyle w:val="ListParagraph"/>
        <w:numPr>
          <w:ilvl w:val="0"/>
          <w:numId w:val="2"/>
        </w:numPr>
        <w:spacing w:after="40" w:before="40"/>
      </w:pPr>
      <w:r>
        <w:rPr>
          <w:rFonts w:ascii="Arial" w:cs="Arial" w:eastAsia="Arial" w:hAnsi="Arial"/>
          <w:sz w:val="20"/>
          <w:szCs w:val="20"/>
        </w:rPr>
        <w:t xml:space="preserve">Inconsistent information: Different departments give conflicting guidance on the same topic</w:t>
      </w:r>
    </w:p>
    <w:p>
      <w:pPr>
        <w:pStyle w:val="ListParagraph"/>
        <w:numPr>
          <w:ilvl w:val="0"/>
          <w:numId w:val="2"/>
        </w:numPr>
        <w:spacing w:after="40" w:before="40"/>
      </w:pPr>
      <w:r>
        <w:rPr>
          <w:rFonts w:ascii="Arial" w:cs="Arial" w:eastAsia="Arial" w:hAnsi="Arial"/>
          <w:sz w:val="20"/>
          <w:szCs w:val="20"/>
        </w:rPr>
        <w:t xml:space="preserve">Poor navigation: Complex multi-step processes cause citizen abandonment rates of up to 40%</w:t>
      </w:r>
    </w:p>
    <w:p>
      <w:pPr>
        <w:pStyle w:val="ListParagraph"/>
        <w:numPr>
          <w:ilvl w:val="0"/>
          <w:numId w:val="2"/>
        </w:numPr>
        <w:spacing w:after="40" w:before="40"/>
      </w:pPr>
      <w:r>
        <w:rPr>
          <w:rFonts w:ascii="Arial" w:cs="Arial" w:eastAsia="Arial" w:hAnsi="Arial"/>
          <w:sz w:val="20"/>
          <w:szCs w:val="20"/>
        </w:rPr>
        <w:t xml:space="preserve">Staff overload: Peak periods (tax season, emergency events) overwhelm human agents</w:t>
      </w:r>
    </w:p>
    <w:p>
      <w:pPr>
        <w:spacing w:after="120" w:before="60"/>
      </w:pPr>
      <w:r>
        <w:rPr>
          <w:rFonts w:ascii="Arial" w:cs="Arial" w:eastAsia="Arial" w:hAnsi="Arial"/>
          <w:sz w:val="20"/>
          <w:szCs w:val="20"/>
        </w:rPr>
        <w:t xml:space="preserve">These issues reduce citizen satisfaction, erode trust in digital government services, and create administrative backlogs. An intelligent, scalable AI chatbot represents a technically and economically viable solution to these challenges (Androutsopoulou et al., 2019).</w:t>
      </w:r>
    </w:p>
    <w:p>
      <w:r>
        <w:br w:type="page"/>
      </w:r>
    </w:p>
    <w:p>
      <w:pPr>
        <w:pStyle w:val="Heading1"/>
        <w:spacing w:after="180" w:before="360"/>
      </w:pPr>
      <w:r>
        <w:rPr>
          <w:rFonts w:ascii="Arial" w:cs="Arial" w:eastAsia="Arial" w:hAnsi="Arial"/>
          <w:b/>
          <w:bCs/>
          <w:color w:val="1a56db"/>
          <w:sz w:val="32"/>
          <w:szCs w:val="32"/>
        </w:rPr>
        <w:t xml:space="preserve">3. Research Methodology</w:t>
      </w:r>
    </w:p>
    <w:p>
      <w:pPr>
        <w:spacing w:after="120" w:before="60"/>
      </w:pPr>
      <w:r>
        <w:rPr>
          <w:rFonts w:ascii="Arial" w:cs="Arial" w:eastAsia="Arial" w:hAnsi="Arial"/>
          <w:sz w:val="20"/>
          <w:szCs w:val="20"/>
        </w:rPr>
        <w:t xml:space="preserve">This project adopted a mixed-method qualitative research approach comprising three components:</w:t>
      </w:r>
    </w:p>
    <w:p>
      <w:pPr>
        <w:pStyle w:val="Heading2"/>
        <w:spacing w:after="120" w:before="240"/>
      </w:pPr>
      <w:r>
        <w:rPr>
          <w:rFonts w:ascii="Arial" w:cs="Arial" w:eastAsia="Arial" w:hAnsi="Arial"/>
          <w:b/>
          <w:bCs/>
          <w:color w:val="1e429f"/>
          <w:sz w:val="26"/>
          <w:szCs w:val="26"/>
        </w:rPr>
        <w:t xml:space="preserve">3.1 Systematic Literature Review</w:t>
      </w:r>
    </w:p>
    <w:p>
      <w:pPr>
        <w:spacing w:after="120" w:before="60"/>
      </w:pPr>
      <w:r>
        <w:rPr>
          <w:rFonts w:ascii="Arial" w:cs="Arial" w:eastAsia="Arial" w:hAnsi="Arial"/>
          <w:sz w:val="20"/>
          <w:szCs w:val="20"/>
        </w:rPr>
        <w:t xml:space="preserve">A structured review of peer-reviewed literature on AI chatbots, Natural Language Processing (NLP), and e-government systems was conducted. Databases searched included IEEE Xplore, Scopus, and Google Scholar using search terms: 'AI chatbot government services', 'NLP e-government', 'transformer models public sector'. Inclusion criteria required peer-reviewed articles published between 2015–2024.</w:t>
      </w:r>
    </w:p>
    <w:p>
      <w:pPr>
        <w:pStyle w:val="Heading2"/>
        <w:spacing w:after="120" w:before="240"/>
      </w:pPr>
      <w:r>
        <w:rPr>
          <w:rFonts w:ascii="Arial" w:cs="Arial" w:eastAsia="Arial" w:hAnsi="Arial"/>
          <w:b/>
          <w:bCs/>
          <w:color w:val="1e429f"/>
          <w:sz w:val="26"/>
          <w:szCs w:val="26"/>
        </w:rPr>
        <w:t xml:space="preserve">3.2 Comparative Analysis</w:t>
      </w:r>
    </w:p>
    <w:p>
      <w:pPr>
        <w:spacing w:after="120" w:before="60"/>
      </w:pPr>
      <w:r>
        <w:rPr>
          <w:rFonts w:ascii="Arial" w:cs="Arial" w:eastAsia="Arial" w:hAnsi="Arial"/>
          <w:sz w:val="20"/>
          <w:szCs w:val="20"/>
        </w:rPr>
        <w:t xml:space="preserve">Five existing government chatbot deployments were analysed: Singapore's Ask Jamie, Estonia's citizen AI portal, Australia's ATO Virtual Assistant, the UK's HMRC chatbot, and the USA's USA.gov Virtual Agent. Evaluation criteria included feature set, NLP approach, integration depth, and citizen satisfaction outcomes.</w:t>
      </w:r>
    </w:p>
    <w:p>
      <w:pPr>
        <w:pStyle w:val="Heading2"/>
        <w:spacing w:after="120" w:before="240"/>
      </w:pPr>
      <w:r>
        <w:rPr>
          <w:rFonts w:ascii="Arial" w:cs="Arial" w:eastAsia="Arial" w:hAnsi="Arial"/>
          <w:b/>
          <w:bCs/>
          <w:color w:val="1e429f"/>
          <w:sz w:val="26"/>
          <w:szCs w:val="26"/>
        </w:rPr>
        <w:t xml:space="preserve">3.3 Design Science Prototyping</w:t>
      </w:r>
    </w:p>
    <w:p>
      <w:pPr>
        <w:spacing w:after="120" w:before="60"/>
      </w:pPr>
      <w:r>
        <w:rPr>
          <w:rFonts w:ascii="Arial" w:cs="Arial" w:eastAsia="Arial" w:hAnsi="Arial"/>
          <w:sz w:val="20"/>
          <w:szCs w:val="20"/>
        </w:rPr>
        <w:t xml:space="preserve">Following the Design Science Research (DSR) paradigm (Hevner et al., 2004), the system was iteratively designed, built, and evaluated. The prototype was validated against functional requirements derived from three simulated stakeholder personas: an everyday citizen, a government case officer, and an IT administrator.</w:t>
      </w:r>
    </w:p>
    <w:p>
      <w:pPr>
        <w:pStyle w:val="Heading2"/>
        <w:spacing w:after="120" w:before="240"/>
      </w:pPr>
      <w:r>
        <w:rPr>
          <w:rFonts w:ascii="Arial" w:cs="Arial" w:eastAsia="Arial" w:hAnsi="Arial"/>
          <w:b/>
          <w:bCs/>
          <w:color w:val="1e429f"/>
          <w:sz w:val="26"/>
          <w:szCs w:val="26"/>
        </w:rPr>
        <w:t xml:space="preserve">3.4 System Design Approach</w:t>
      </w:r>
    </w:p>
    <w:p>
      <w:pPr>
        <w:spacing w:after="120" w:before="60"/>
      </w:pPr>
      <w:r>
        <w:rPr>
          <w:rFonts w:ascii="Arial" w:cs="Arial" w:eastAsia="Arial" w:hAnsi="Arial"/>
          <w:sz w:val="20"/>
          <w:szCs w:val="20"/>
        </w:rPr>
        <w:t xml:space="preserve">The system was implemented using an object-oriented design philosophy with a client-server architecture. Data flow diagrams and architectural diagrams were produced during the design phase to inform implementation decisions.</w:t>
      </w:r>
    </w:p>
    <w:p>
      <w:r>
        <w:br w:type="page"/>
      </w:r>
    </w:p>
    <w:p>
      <w:pPr>
        <w:pStyle w:val="Heading1"/>
        <w:spacing w:after="180" w:before="360"/>
      </w:pPr>
      <w:r>
        <w:rPr>
          <w:rFonts w:ascii="Arial" w:cs="Arial" w:eastAsia="Arial" w:hAnsi="Arial"/>
          <w:b/>
          <w:bCs/>
          <w:color w:val="1a56db"/>
          <w:sz w:val="32"/>
          <w:szCs w:val="32"/>
        </w:rPr>
        <w:t xml:space="preserve">4. Literature Review / Research Findings</w:t>
      </w:r>
    </w:p>
    <w:p>
      <w:pPr>
        <w:pStyle w:val="Heading2"/>
        <w:spacing w:after="120" w:before="240"/>
      </w:pPr>
      <w:r>
        <w:rPr>
          <w:rFonts w:ascii="Arial" w:cs="Arial" w:eastAsia="Arial" w:hAnsi="Arial"/>
          <w:b/>
          <w:bCs/>
          <w:color w:val="1e429f"/>
          <w:sz w:val="26"/>
          <w:szCs w:val="26"/>
        </w:rPr>
        <w:t xml:space="preserve">4.1 AI Chatbots and NLP</w:t>
      </w:r>
    </w:p>
    <w:p>
      <w:pPr>
        <w:spacing w:after="120" w:before="60"/>
      </w:pPr>
      <w:r>
        <w:rPr>
          <w:rFonts w:ascii="Arial" w:cs="Arial" w:eastAsia="Arial" w:hAnsi="Arial"/>
          <w:sz w:val="20"/>
          <w:szCs w:val="20"/>
        </w:rPr>
        <w:t xml:space="preserve">Adamopoulou and Moussiades (2020) trace the evolution of chatbots from rule-based ELIZA (1966) to modern transformer-based models, demonstrating the significant leap in conversational quality enabled by deep learning. They classify chatbots along two dimensions: retrieval-based (matching input to a knowledge base) and generative (producing novel text via language models). This project implements a retrieval-based approach, which is more appropriate for constrained government service domains where accuracy and predictability are paramount.</w:t>
      </w:r>
    </w:p>
    <w:p>
      <w:pPr>
        <w:spacing w:after="120" w:before="60"/>
      </w:pPr>
      <w:r>
        <w:rPr>
          <w:rFonts w:ascii="Arial" w:cs="Arial" w:eastAsia="Arial" w:hAnsi="Arial"/>
          <w:sz w:val="20"/>
          <w:szCs w:val="20"/>
        </w:rPr>
        <w:t xml:space="preserve">Vaswani et al. (2017) introduced the Transformer architecture, which underpins modern NLP models including BERT (Devlin et al., 2019). BERT's bidirectional context modelling enables superior intent classification compared to keyword-matching approaches. A production version of this system should implement a fine-tuned BERT classifier trained on government service query logs.</w:t>
      </w:r>
    </w:p>
    <w:p>
      <w:pPr>
        <w:pStyle w:val="Heading2"/>
        <w:spacing w:after="120" w:before="240"/>
      </w:pPr>
      <w:r>
        <w:rPr>
          <w:rFonts w:ascii="Arial" w:cs="Arial" w:eastAsia="Arial" w:hAnsi="Arial"/>
          <w:b/>
          <w:bCs/>
          <w:color w:val="1e429f"/>
          <w:sz w:val="26"/>
          <w:szCs w:val="26"/>
        </w:rPr>
        <w:t xml:space="preserve">4.2 AI in Government Services</w:t>
      </w:r>
    </w:p>
    <w:p>
      <w:pPr>
        <w:spacing w:after="120" w:before="60"/>
      </w:pPr>
      <w:r>
        <w:rPr>
          <w:rFonts w:ascii="Arial" w:cs="Arial" w:eastAsia="Arial" w:hAnsi="Arial"/>
          <w:sz w:val="20"/>
          <w:szCs w:val="20"/>
        </w:rPr>
        <w:t xml:space="preserve">Dwivedi et al. (2021) survey the application of AI in government across 28 countries, finding that AI tools consistently reduce processing times, improve information consistency, and reduce costs when properly integrated with existing workflows. They note that public-sector AI adoption requires heightened attention to transparency, explainability, and accountability — factors embedded into this project's design through AI disclosure notices and human escalation pathways.</w:t>
      </w:r>
    </w:p>
    <w:p>
      <w:pPr>
        <w:spacing w:after="120" w:before="60"/>
      </w:pPr>
      <w:r>
        <w:rPr>
          <w:rFonts w:ascii="Arial" w:cs="Arial" w:eastAsia="Arial" w:hAnsi="Arial"/>
          <w:sz w:val="20"/>
          <w:szCs w:val="20"/>
        </w:rPr>
        <w:t xml:space="preserve">Wirtz et al. (2019) identify five key challenges for AI in public administration: political sensitivity, legal liability, data privacy, integration with legacy systems, and digital exclusion. Each of these is addressed in this project's recommendations.</w:t>
      </w:r>
    </w:p>
    <w:p>
      <w:pPr>
        <w:pStyle w:val="Heading2"/>
        <w:spacing w:after="120" w:before="240"/>
      </w:pPr>
      <w:r>
        <w:rPr>
          <w:rFonts w:ascii="Arial" w:cs="Arial" w:eastAsia="Arial" w:hAnsi="Arial"/>
          <w:b/>
          <w:bCs/>
          <w:color w:val="1e429f"/>
          <w:sz w:val="26"/>
          <w:szCs w:val="26"/>
        </w:rPr>
        <w:t xml:space="preserve">4.3 Existing Government Chatbot Evidence</w:t>
      </w:r>
    </w:p>
    <w:p>
      <w:pPr>
        <w:spacing w:after="120" w:before="60"/>
      </w:pPr>
      <w:r>
        <w:rPr>
          <w:rFonts w:ascii="Arial" w:cs="Arial" w:eastAsia="Arial" w:hAnsi="Arial"/>
          <w:sz w:val="20"/>
          <w:szCs w:val="20"/>
        </w:rPr>
        <w:t xml:space="preserve">Androutsopoulou et al. (2019) analysed the implementation of NLP chatbots in Greek public services, finding they reduced average citizen query resolution time from 4.2 days to under 30 minutes. The Singapore Government's Ask Jamie (launched 2014) handles over 1 million queries per year with a 73% self-service resolution rate (GovTech Singapore, 2021). The Australian Taxation Office Virtual Assistant resolves approximately 68% of queries without human agent escalation (ATO Annual Report, 2023).</w:t>
      </w:r>
    </w:p>
    <w:p>
      <w:pPr>
        <w:spacing w:after="120" w:before="60"/>
      </w:pPr>
      <w:r>
        <w:rPr>
          <w:rFonts w:ascii="Arial" w:cs="Arial" w:eastAsia="Arial" w:hAnsi="Arial"/>
          <w:sz w:val="20"/>
          <w:szCs w:val="20"/>
        </w:rPr>
        <w:t xml:space="preserve">Fountain (2001) established the foundational theoretical framework for e-government through the concept of the 'virtual state', arguing that technology-enabled governments can be simultaneously more efficient and more citizen-centric. This project operationalises that vision through the chatbot portal.</w:t>
      </w:r>
    </w:p>
    <w:p>
      <w:r>
        <w:br w:type="page"/>
      </w:r>
    </w:p>
    <w:p>
      <w:pPr>
        <w:pStyle w:val="Heading1"/>
        <w:spacing w:after="180" w:before="360"/>
      </w:pPr>
      <w:r>
        <w:rPr>
          <w:rFonts w:ascii="Arial" w:cs="Arial" w:eastAsia="Arial" w:hAnsi="Arial"/>
          <w:b/>
          <w:bCs/>
          <w:color w:val="1a56db"/>
          <w:sz w:val="32"/>
          <w:szCs w:val="32"/>
        </w:rPr>
        <w:t xml:space="preserve">5. System Design and Architecture</w:t>
      </w:r>
    </w:p>
    <w:p>
      <w:pPr>
        <w:pStyle w:val="Heading2"/>
        <w:spacing w:after="120" w:before="240"/>
      </w:pPr>
      <w:r>
        <w:rPr>
          <w:rFonts w:ascii="Arial" w:cs="Arial" w:eastAsia="Arial" w:hAnsi="Arial"/>
          <w:b/>
          <w:bCs/>
          <w:color w:val="1e429f"/>
          <w:sz w:val="26"/>
          <w:szCs w:val="26"/>
        </w:rPr>
        <w:t xml:space="preserve">5.1 System Architecture Overview</w:t>
      </w:r>
    </w:p>
    <w:p>
      <w:pPr>
        <w:spacing w:after="120" w:before="60"/>
      </w:pPr>
      <w:r>
        <w:rPr>
          <w:rFonts w:ascii="Arial" w:cs="Arial" w:eastAsia="Arial" w:hAnsi="Arial"/>
          <w:sz w:val="20"/>
          <w:szCs w:val="20"/>
        </w:rPr>
        <w:t xml:space="preserve">The implemented system follows a three-tier client-server architecture:</w:t>
      </w:r>
    </w:p>
    <w:p>
      <w:pPr>
        <w:pStyle w:val="ListParagraph"/>
        <w:numPr>
          <w:ilvl w:val="0"/>
          <w:numId w:val="2"/>
        </w:numPr>
        <w:spacing w:after="40" w:before="40"/>
      </w:pPr>
      <w:r>
        <w:rPr>
          <w:rFonts w:ascii="Arial" w:cs="Arial" w:eastAsia="Arial" w:hAnsi="Arial"/>
          <w:sz w:val="20"/>
          <w:szCs w:val="20"/>
        </w:rPr>
        <w:t xml:space="preserve">Client Layer: Responsive web interface built with HTML5, CSS3, and vanilla JavaScript. Citizens access the portal via any modern web browser on desktop or mobile.</w:t>
      </w:r>
    </w:p>
    <w:p>
      <w:pPr>
        <w:pStyle w:val="ListParagraph"/>
        <w:numPr>
          <w:ilvl w:val="0"/>
          <w:numId w:val="2"/>
        </w:numPr>
        <w:spacing w:after="40" w:before="40"/>
      </w:pPr>
      <w:r>
        <w:rPr>
          <w:rFonts w:ascii="Arial" w:cs="Arial" w:eastAsia="Arial" w:hAnsi="Arial"/>
          <w:sz w:val="20"/>
          <w:szCs w:val="20"/>
        </w:rPr>
        <w:t xml:space="preserve">Application Layer: Python Flask web framework handles routing, session management, authentication (Flask-Login), and the chatbot NLP engine. REST API endpoint (/api/chat) provides the chatbot interface.</w:t>
      </w:r>
    </w:p>
    <w:p>
      <w:pPr>
        <w:pStyle w:val="ListParagraph"/>
        <w:numPr>
          <w:ilvl w:val="0"/>
          <w:numId w:val="2"/>
        </w:numPr>
        <w:spacing w:after="40" w:before="40"/>
      </w:pPr>
      <w:r>
        <w:rPr>
          <w:rFonts w:ascii="Arial" w:cs="Arial" w:eastAsia="Arial" w:hAnsi="Arial"/>
          <w:sz w:val="20"/>
          <w:szCs w:val="20"/>
        </w:rPr>
        <w:t xml:space="preserve">Data Layer: SQLite database managed via Flask-SQLAlchemy ORM. Production deployment would use PostgreSQL.</w:t>
      </w:r>
    </w:p>
    <w:p>
      <w:pPr>
        <w:pStyle w:val="Heading2"/>
        <w:spacing w:after="120" w:before="240"/>
      </w:pPr>
      <w:r>
        <w:rPr>
          <w:rFonts w:ascii="Arial" w:cs="Arial" w:eastAsia="Arial" w:hAnsi="Arial"/>
          <w:b/>
          <w:bCs/>
          <w:color w:val="1e429f"/>
          <w:sz w:val="26"/>
          <w:szCs w:val="26"/>
        </w:rPr>
        <w:t xml:space="preserve">5.2 Database Schema</w:t>
      </w:r>
    </w:p>
    <w:p>
      <w:pPr>
        <w:spacing w:after="120" w:before="60"/>
      </w:pPr>
      <w:r>
        <w:rPr>
          <w:rFonts w:ascii="Arial" w:cs="Arial" w:eastAsia="Arial" w:hAnsi="Arial"/>
          <w:sz w:val="20"/>
          <w:szCs w:val="20"/>
        </w:rPr>
        <w:t xml:space="preserve">Four relational tables form the data layer: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username, email, password_hash, role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Citizen and admin accounts with PBKDF2-hashed passwords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ServiceRequest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user_id, service_type, status, reference_number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Tracks formal service submissions with unique SR- reference codes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ChatSession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user_id, messages (JSON), started_at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Logs full conversation history per user session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Feedback</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user_id, rating, comment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Citizen satisfaction scores (1–5 stars) and qualitative comments</w:t>
            </w:r>
          </w:p>
        </w:tc>
      </w:tr>
    </w:tbl>
    <w:p>
      <w:pPr>
        <w:spacing w:after="80" w:before="80"/>
      </w:pPr>
      <w:r>
        <w:t xml:space="preserve"/>
      </w:r>
    </w:p>
    <w:p>
      <w:pPr>
        <w:pStyle w:val="Heading2"/>
        <w:spacing w:after="120" w:before="240"/>
      </w:pPr>
      <w:r>
        <w:rPr>
          <w:rFonts w:ascii="Arial" w:cs="Arial" w:eastAsia="Arial" w:hAnsi="Arial"/>
          <w:b/>
          <w:bCs/>
          <w:color w:val="1e429f"/>
          <w:sz w:val="26"/>
          <w:szCs w:val="26"/>
        </w:rPr>
        <w:t xml:space="preserve">5.3 Chatbot NLP Engine</w:t>
      </w:r>
    </w:p>
    <w:p>
      <w:pPr>
        <w:spacing w:after="120" w:before="60"/>
      </w:pPr>
      <w:r>
        <w:rPr>
          <w:rFonts w:ascii="Arial" w:cs="Arial" w:eastAsia="Arial" w:hAnsi="Arial"/>
          <w:sz w:val="20"/>
          <w:szCs w:val="20"/>
        </w:rPr>
        <w:t xml:space="preserve">The chatbot uses a keyword-based intent classification engine. While simpler than transformer-based models, this approach is deterministic, explainable, and highly accurate for constrained government service domains. The knowledge base covers ten intent categories:</w:t>
      </w:r>
    </w:p>
    <w:p>
      <w:pPr>
        <w:pStyle w:val="ListParagraph"/>
        <w:numPr>
          <w:ilvl w:val="0"/>
          <w:numId w:val="2"/>
        </w:numPr>
        <w:spacing w:after="40" w:before="40"/>
      </w:pPr>
      <w:r>
        <w:rPr>
          <w:rFonts w:ascii="Arial" w:cs="Arial" w:eastAsia="Arial" w:hAnsi="Arial"/>
          <w:sz w:val="20"/>
          <w:szCs w:val="20"/>
        </w:rPr>
        <w:t xml:space="preserve">Tax &amp; ATO queries</w:t>
      </w:r>
    </w:p>
    <w:p>
      <w:pPr>
        <w:pStyle w:val="ListParagraph"/>
        <w:numPr>
          <w:ilvl w:val="0"/>
          <w:numId w:val="2"/>
        </w:numPr>
        <w:spacing w:after="40" w:before="40"/>
      </w:pPr>
      <w:r>
        <w:rPr>
          <w:rFonts w:ascii="Arial" w:cs="Arial" w:eastAsia="Arial" w:hAnsi="Arial"/>
          <w:sz w:val="20"/>
          <w:szCs w:val="20"/>
        </w:rPr>
        <w:t xml:space="preserve">Birth / death / marriage certificates</w:t>
      </w:r>
    </w:p>
    <w:p>
      <w:pPr>
        <w:pStyle w:val="ListParagraph"/>
        <w:numPr>
          <w:ilvl w:val="0"/>
          <w:numId w:val="2"/>
        </w:numPr>
        <w:spacing w:after="40" w:before="40"/>
      </w:pPr>
      <w:r>
        <w:rPr>
          <w:rFonts w:ascii="Arial" w:cs="Arial" w:eastAsia="Arial" w:hAnsi="Arial"/>
          <w:sz w:val="20"/>
          <w:szCs w:val="20"/>
        </w:rPr>
        <w:t xml:space="preserve">Passport applications and renewals</w:t>
      </w:r>
    </w:p>
    <w:p>
      <w:pPr>
        <w:pStyle w:val="ListParagraph"/>
        <w:numPr>
          <w:ilvl w:val="0"/>
          <w:numId w:val="2"/>
        </w:numPr>
        <w:spacing w:after="40" w:before="40"/>
      </w:pPr>
      <w:r>
        <w:rPr>
          <w:rFonts w:ascii="Arial" w:cs="Arial" w:eastAsia="Arial" w:hAnsi="Arial"/>
          <w:sz w:val="20"/>
          <w:szCs w:val="20"/>
        </w:rPr>
        <w:t xml:space="preserve">Driver's licence and vehicle registration</w:t>
      </w:r>
    </w:p>
    <w:p>
      <w:pPr>
        <w:pStyle w:val="ListParagraph"/>
        <w:numPr>
          <w:ilvl w:val="0"/>
          <w:numId w:val="2"/>
        </w:numPr>
        <w:spacing w:after="40" w:before="40"/>
      </w:pPr>
      <w:r>
        <w:rPr>
          <w:rFonts w:ascii="Arial" w:cs="Arial" w:eastAsia="Arial" w:hAnsi="Arial"/>
          <w:sz w:val="20"/>
          <w:szCs w:val="20"/>
        </w:rPr>
        <w:t xml:space="preserve">Medicare and healthcare</w:t>
      </w:r>
    </w:p>
    <w:p>
      <w:pPr>
        <w:pStyle w:val="ListParagraph"/>
        <w:numPr>
          <w:ilvl w:val="0"/>
          <w:numId w:val="2"/>
        </w:numPr>
        <w:spacing w:after="40" w:before="40"/>
      </w:pPr>
      <w:r>
        <w:rPr>
          <w:rFonts w:ascii="Arial" w:cs="Arial" w:eastAsia="Arial" w:hAnsi="Arial"/>
          <w:sz w:val="20"/>
          <w:szCs w:val="20"/>
        </w:rPr>
        <w:t xml:space="preserve">Centrelink / welfare payments</w:t>
      </w:r>
    </w:p>
    <w:p>
      <w:pPr>
        <w:pStyle w:val="ListParagraph"/>
        <w:numPr>
          <w:ilvl w:val="0"/>
          <w:numId w:val="2"/>
        </w:numPr>
        <w:spacing w:after="40" w:before="40"/>
      </w:pPr>
      <w:r>
        <w:rPr>
          <w:rFonts w:ascii="Arial" w:cs="Arial" w:eastAsia="Arial" w:hAnsi="Arial"/>
          <w:sz w:val="20"/>
          <w:szCs w:val="20"/>
        </w:rPr>
        <w:t xml:space="preserve">Council / local government services</w:t>
      </w:r>
    </w:p>
    <w:p>
      <w:pPr>
        <w:pStyle w:val="ListParagraph"/>
        <w:numPr>
          <w:ilvl w:val="0"/>
          <w:numId w:val="2"/>
        </w:numPr>
        <w:spacing w:after="40" w:before="40"/>
      </w:pPr>
      <w:r>
        <w:rPr>
          <w:rFonts w:ascii="Arial" w:cs="Arial" w:eastAsia="Arial" w:hAnsi="Arial"/>
          <w:sz w:val="20"/>
          <w:szCs w:val="20"/>
        </w:rPr>
        <w:t xml:space="preserve">Complaints and escalations</w:t>
      </w:r>
    </w:p>
    <w:p>
      <w:pPr>
        <w:pStyle w:val="ListParagraph"/>
        <w:numPr>
          <w:ilvl w:val="0"/>
          <w:numId w:val="2"/>
        </w:numPr>
        <w:spacing w:after="40" w:before="40"/>
      </w:pPr>
      <w:r>
        <w:rPr>
          <w:rFonts w:ascii="Arial" w:cs="Arial" w:eastAsia="Arial" w:hAnsi="Arial"/>
          <w:sz w:val="20"/>
          <w:szCs w:val="20"/>
        </w:rPr>
        <w:t xml:space="preserve">Operating hours</w:t>
      </w:r>
    </w:p>
    <w:p>
      <w:pPr>
        <w:pStyle w:val="ListParagraph"/>
        <w:numPr>
          <w:ilvl w:val="0"/>
          <w:numId w:val="2"/>
        </w:numPr>
        <w:spacing w:after="40" w:before="40"/>
      </w:pPr>
      <w:r>
        <w:rPr>
          <w:rFonts w:ascii="Arial" w:cs="Arial" w:eastAsia="Arial" w:hAnsi="Arial"/>
          <w:sz w:val="20"/>
          <w:szCs w:val="20"/>
        </w:rPr>
        <w:t xml:space="preserve">Application status tracking</w:t>
      </w:r>
    </w:p>
    <w:p>
      <w:pPr>
        <w:spacing w:after="120" w:before="60"/>
      </w:pPr>
      <w:r>
        <w:rPr>
          <w:rFonts w:ascii="Arial" w:cs="Arial" w:eastAsia="Arial" w:hAnsi="Arial"/>
          <w:sz w:val="20"/>
          <w:szCs w:val="20"/>
        </w:rPr>
        <w:t xml:space="preserve">Each intent maps to a structured response with factual information, relevant government URLs, and a call-to-action to submit a formal service request. The classification algorithm computes a weighted keyword match score across all intents and selects the highest-scoring match. When no intent score exceeds zero, a fallback response is returned directing the citizen to available topics.</w:t>
      </w:r>
    </w:p>
    <w:p>
      <w:pPr>
        <w:pStyle w:val="Heading2"/>
        <w:spacing w:after="120" w:before="240"/>
      </w:pPr>
      <w:r>
        <w:rPr>
          <w:rFonts w:ascii="Arial" w:cs="Arial" w:eastAsia="Arial" w:hAnsi="Arial"/>
          <w:b/>
          <w:bCs/>
          <w:color w:val="1e429f"/>
          <w:sz w:val="26"/>
          <w:szCs w:val="26"/>
        </w:rPr>
        <w:t xml:space="preserve">5.4 Security Architecture</w:t>
      </w:r>
    </w:p>
    <w:p>
      <w:pPr>
        <w:pStyle w:val="ListParagraph"/>
        <w:numPr>
          <w:ilvl w:val="0"/>
          <w:numId w:val="2"/>
        </w:numPr>
        <w:spacing w:after="40" w:before="40"/>
      </w:pPr>
      <w:r>
        <w:rPr>
          <w:rFonts w:ascii="Arial" w:cs="Arial" w:eastAsia="Arial" w:hAnsi="Arial"/>
          <w:sz w:val="20"/>
          <w:szCs w:val="20"/>
        </w:rPr>
        <w:t xml:space="preserve">Authentication: Flask-Login session management with PBKDF2-SHA256 password hashing (Werkzeug)</w:t>
      </w:r>
    </w:p>
    <w:p>
      <w:pPr>
        <w:pStyle w:val="ListParagraph"/>
        <w:numPr>
          <w:ilvl w:val="0"/>
          <w:numId w:val="2"/>
        </w:numPr>
        <w:spacing w:after="40" w:before="40"/>
      </w:pPr>
      <w:r>
        <w:rPr>
          <w:rFonts w:ascii="Arial" w:cs="Arial" w:eastAsia="Arial" w:hAnsi="Arial"/>
          <w:sz w:val="20"/>
          <w:szCs w:val="20"/>
        </w:rPr>
        <w:t xml:space="preserve">Authorisation: Role-based access control (citizen / admin) enforced on all protected routes</w:t>
      </w:r>
    </w:p>
    <w:p>
      <w:pPr>
        <w:pStyle w:val="ListParagraph"/>
        <w:numPr>
          <w:ilvl w:val="0"/>
          <w:numId w:val="2"/>
        </w:numPr>
        <w:spacing w:after="40" w:before="40"/>
      </w:pPr>
      <w:r>
        <w:rPr>
          <w:rFonts w:ascii="Arial" w:cs="Arial" w:eastAsia="Arial" w:hAnsi="Arial"/>
          <w:sz w:val="20"/>
          <w:szCs w:val="20"/>
        </w:rPr>
        <w:t xml:space="preserve">Input validation: Server-side form validation prevents SQL injection via SQLAlchemy ORM parameterisation</w:t>
      </w:r>
    </w:p>
    <w:p>
      <w:pPr>
        <w:pStyle w:val="ListParagraph"/>
        <w:numPr>
          <w:ilvl w:val="0"/>
          <w:numId w:val="2"/>
        </w:numPr>
        <w:spacing w:after="40" w:before="40"/>
      </w:pPr>
      <w:r>
        <w:rPr>
          <w:rFonts w:ascii="Arial" w:cs="Arial" w:eastAsia="Arial" w:hAnsi="Arial"/>
          <w:sz w:val="20"/>
          <w:szCs w:val="20"/>
        </w:rPr>
        <w:t xml:space="preserve">Session security: Flask secret key for HMAC-signed session cookies</w:t>
      </w:r>
    </w:p>
    <w:p>
      <w:pPr>
        <w:pStyle w:val="ListParagraph"/>
        <w:numPr>
          <w:ilvl w:val="0"/>
          <w:numId w:val="2"/>
        </w:numPr>
        <w:spacing w:after="40" w:before="40"/>
      </w:pPr>
      <w:r>
        <w:rPr>
          <w:rFonts w:ascii="Arial" w:cs="Arial" w:eastAsia="Arial" w:hAnsi="Arial"/>
          <w:sz w:val="20"/>
          <w:szCs w:val="20"/>
        </w:rPr>
        <w:t xml:space="preserve">Data privacy: Conversation logs stored per authenticated user; no cross-user data leakage</w:t>
      </w:r>
    </w:p>
    <w:p>
      <w:r>
        <w:br w:type="page"/>
      </w:r>
    </w:p>
    <w:p>
      <w:pPr>
        <w:pStyle w:val="Heading1"/>
        <w:spacing w:after="180" w:before="360"/>
      </w:pPr>
      <w:r>
        <w:rPr>
          <w:rFonts w:ascii="Arial" w:cs="Arial" w:eastAsia="Arial" w:hAnsi="Arial"/>
          <w:b/>
          <w:bCs/>
          <w:color w:val="1a56db"/>
          <w:sz w:val="32"/>
          <w:szCs w:val="32"/>
        </w:rPr>
        <w:t xml:space="preserve">6. Implementation</w:t>
      </w:r>
    </w:p>
    <w:p>
      <w:pPr>
        <w:pStyle w:val="Heading2"/>
        <w:spacing w:after="120" w:before="240"/>
      </w:pPr>
      <w:r>
        <w:rPr>
          <w:rFonts w:ascii="Arial" w:cs="Arial" w:eastAsia="Arial" w:hAnsi="Arial"/>
          <w:b/>
          <w:bCs/>
          <w:color w:val="1e429f"/>
          <w:sz w:val="26"/>
          <w:szCs w:val="26"/>
        </w:rPr>
        <w:t xml:space="preserve">6.1 Technology Stack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 Framework</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Flask 3.1</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Lightweight, rapid prototyping, extensive ecosystem</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ORM / Database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Flask-SQLAlchemy + SQLite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Simple prototyping; production would use PostgreSQL</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Flask-Login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Session management, @login_required decorators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 Security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Werkzeug PBKDF2-SHA256</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Industry-standard salted hashing</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Templating</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Jinja2</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Built-in with Flask, secure HTML escaping by default</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HTML5, CSS3, Vanilla JS</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framework overhead; responsive design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NLP Engine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 keyword classifier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Deterministic, explainable, domain-specific</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Deployment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Gunicorn + Flask dev server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 Flask built-in; Prod: Gunicorn WSGI</w:t>
            </w:r>
          </w:p>
        </w:tc>
      </w:tr>
    </w:tbl>
    <w:p>
      <w:pPr>
        <w:spacing w:after="80" w:before="80"/>
      </w:pPr>
      <w:r>
        <w:t xml:space="preserve"/>
      </w:r>
    </w:p>
    <w:p>
      <w:pPr>
        <w:pStyle w:val="Heading2"/>
        <w:spacing w:after="120" w:before="240"/>
      </w:pPr>
      <w:r>
        <w:rPr>
          <w:rFonts w:ascii="Arial" w:cs="Arial" w:eastAsia="Arial" w:hAnsi="Arial"/>
          <w:b/>
          <w:bCs/>
          <w:color w:val="1e429f"/>
          <w:sz w:val="26"/>
          <w:szCs w:val="26"/>
        </w:rPr>
        <w:t xml:space="preserve">6.2 Key Implementation Components</w:t>
      </w:r>
    </w:p>
    <w:p>
      <w:pPr>
        <w:pStyle w:val="Heading3"/>
        <w:spacing w:after="80" w:before="180"/>
      </w:pPr>
      <w:r>
        <w:rPr>
          <w:rFonts w:ascii="Arial" w:cs="Arial" w:eastAsia="Arial" w:hAnsi="Arial"/>
          <w:b/>
          <w:bCs/>
          <w:color w:val="333333"/>
          <w:sz w:val="22"/>
          <w:szCs w:val="22"/>
        </w:rPr>
        <w:t xml:space="preserve">6.2.1 User Registration and Authentication</w:t>
      </w:r>
    </w:p>
    <w:p>
      <w:pPr>
        <w:spacing w:after="120" w:before="60"/>
      </w:pPr>
      <w:r>
        <w:rPr>
          <w:rFonts w:ascii="Arial" w:cs="Arial" w:eastAsia="Arial" w:hAnsi="Arial"/>
          <w:sz w:val="20"/>
          <w:szCs w:val="20"/>
        </w:rPr>
        <w:t xml:space="preserve">Citizens register with username, email, and password. Passwords are hashed using Werkzeug's PBKDF2-SHA256 implementation with an 8-byte random salt before storage. Flask-Login manages session lifecycle. The @login_required decorator protects all authenticated routes. An admin account is seeded on first run.</w:t>
      </w:r>
    </w:p>
    <w:p>
      <w:pPr>
        <w:pStyle w:val="Heading3"/>
        <w:spacing w:after="80" w:before="180"/>
      </w:pPr>
      <w:r>
        <w:rPr>
          <w:rFonts w:ascii="Arial" w:cs="Arial" w:eastAsia="Arial" w:hAnsi="Arial"/>
          <w:b/>
          <w:bCs/>
          <w:color w:val="333333"/>
          <w:sz w:val="22"/>
          <w:szCs w:val="22"/>
        </w:rPr>
        <w:t xml:space="preserve">6.2.2 AI Chatbot Interface</w:t>
      </w:r>
    </w:p>
    <w:p>
      <w:pPr>
        <w:spacing w:after="120" w:before="60"/>
      </w:pPr>
      <w:r>
        <w:rPr>
          <w:rFonts w:ascii="Arial" w:cs="Arial" w:eastAsia="Arial" w:hAnsi="Arial"/>
          <w:sz w:val="20"/>
          <w:szCs w:val="20"/>
        </w:rPr>
        <w:t xml:space="preserve">The chatbot interface (GET /chatbot) renders a split-panel layout: a sidebar with ten quick-topic buttons for common service categories, and a chat window with real-time message exchange via fetch() AJAX calls to the POST /api/chat REST endpoint. The frontend appends messages dynamically to the DOM without page reload, with animated typing indicators to simulate response thinking time. All conversation history is stored in the ChatSession table as a JSON array.</w:t>
      </w:r>
    </w:p>
    <w:p>
      <w:pPr>
        <w:pStyle w:val="Heading3"/>
        <w:spacing w:after="80" w:before="180"/>
      </w:pPr>
      <w:r>
        <w:rPr>
          <w:rFonts w:ascii="Arial" w:cs="Arial" w:eastAsia="Arial" w:hAnsi="Arial"/>
          <w:b/>
          <w:bCs/>
          <w:color w:val="333333"/>
          <w:sz w:val="22"/>
          <w:szCs w:val="22"/>
        </w:rPr>
        <w:t xml:space="preserve">6.2.3 Service Request Submission</w:t>
      </w:r>
    </w:p>
    <w:p>
      <w:pPr>
        <w:spacing w:after="120" w:before="60"/>
      </w:pPr>
      <w:r>
        <w:rPr>
          <w:rFonts w:ascii="Arial" w:cs="Arial" w:eastAsia="Arial" w:hAnsi="Arial"/>
          <w:sz w:val="20"/>
          <w:szCs w:val="20"/>
        </w:rPr>
        <w:t xml:space="preserve">Citizens can submit formal service requests via the /services page, selecting from ten service categories and providing a written description. A six-digit random reference number (prefixed SR-) is generated and stored. Citizens can track all their submitted requests and their current status on the same page. Admin users can update request status (Pending / In Progress / Completed / Rejected) from the admin dashboard.</w:t>
      </w:r>
    </w:p>
    <w:p>
      <w:pPr>
        <w:pStyle w:val="Heading3"/>
        <w:spacing w:after="80" w:before="180"/>
      </w:pPr>
      <w:r>
        <w:rPr>
          <w:rFonts w:ascii="Arial" w:cs="Arial" w:eastAsia="Arial" w:hAnsi="Arial"/>
          <w:b/>
          <w:bCs/>
          <w:color w:val="333333"/>
          <w:sz w:val="22"/>
          <w:szCs w:val="22"/>
        </w:rPr>
        <w:t xml:space="preserve">6.2.4 Feedback System</w:t>
      </w:r>
    </w:p>
    <w:p>
      <w:pPr>
        <w:spacing w:after="120" w:before="60"/>
      </w:pPr>
      <w:r>
        <w:rPr>
          <w:rFonts w:ascii="Arial" w:cs="Arial" w:eastAsia="Arial" w:hAnsi="Arial"/>
          <w:sz w:val="20"/>
          <w:szCs w:val="20"/>
        </w:rPr>
        <w:t xml:space="preserve">A five-star interactive rating widget collects citizen satisfaction scores. Qualitative comments are optional. Ratings are stored in the Feedback table and the average rating is displayed in the admin dashboard. This enables continuous monitoring of citizen satisfaction (a key KPI for e-government service quality).</w:t>
      </w:r>
    </w:p>
    <w:p>
      <w:pPr>
        <w:pStyle w:val="Heading3"/>
        <w:spacing w:after="80" w:before="180"/>
      </w:pPr>
      <w:r>
        <w:rPr>
          <w:rFonts w:ascii="Arial" w:cs="Arial" w:eastAsia="Arial" w:hAnsi="Arial"/>
          <w:b/>
          <w:bCs/>
          <w:color w:val="333333"/>
          <w:sz w:val="22"/>
          <w:szCs w:val="22"/>
        </w:rPr>
        <w:t xml:space="preserve">6.2.5 Admin Dashboard</w:t>
      </w:r>
    </w:p>
    <w:p>
      <w:pPr>
        <w:spacing w:after="120" w:before="60"/>
      </w:pPr>
      <w:r>
        <w:rPr>
          <w:rFonts w:ascii="Arial" w:cs="Arial" w:eastAsia="Arial" w:hAnsi="Arial"/>
          <w:sz w:val="20"/>
          <w:szCs w:val="20"/>
        </w:rPr>
        <w:t xml:space="preserve">The administrative interface (role-restricted to admin users) provides an overview of system activity including total users, all service requests with descriptions, overall satisfaction rating, and status management controls. This gives government officers the visibility needed to manage workload and respond to citizen requests efficiently.</w:t>
      </w:r>
    </w:p>
    <w:p>
      <w:pPr>
        <w:pStyle w:val="Heading2"/>
        <w:spacing w:after="120" w:before="240"/>
      </w:pPr>
      <w:r>
        <w:rPr>
          <w:rFonts w:ascii="Arial" w:cs="Arial" w:eastAsia="Arial" w:hAnsi="Arial"/>
          <w:b/>
          <w:bCs/>
          <w:color w:val="1e429f"/>
          <w:sz w:val="26"/>
          <w:szCs w:val="26"/>
        </w:rPr>
        <w:t xml:space="preserve">6.3 Application Routes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Landing page; redirects to dashboard if authenticated</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GET/POST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Citizen login form and authentication handler</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/register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GET/POST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citizen registration form</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Authenticated citizen home with stats and recent requests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/chatbot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chatbot interface with quick-topic sidebar</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/api/chat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 endpoint: receives message JSON, returns bot response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/services</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GET/POST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 request submission and listing</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/feedback</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GET/POST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Citizen satisfaction rating form</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dashboard (admin role required)</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/admin/update_status/&lt;id&gt;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update service request status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/logout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Session logout and redirect</w:t>
            </w:r>
          </w:p>
        </w:tc>
      </w:tr>
    </w:tbl>
    <w:p>
      <w:pPr>
        <w:spacing w:after="80" w:before="80"/>
      </w:pPr>
      <w:r>
        <w:t xml:space="preserve"/>
      </w:r>
    </w:p>
    <w:p>
      <w:r>
        <w:br w:type="page"/>
      </w:r>
    </w:p>
    <w:p>
      <w:pPr>
        <w:pStyle w:val="Heading1"/>
        <w:spacing w:after="180" w:before="360"/>
      </w:pPr>
      <w:r>
        <w:rPr>
          <w:rFonts w:ascii="Arial" w:cs="Arial" w:eastAsia="Arial" w:hAnsi="Arial"/>
          <w:b/>
          <w:bCs/>
          <w:color w:val="1a56db"/>
          <w:sz w:val="32"/>
          <w:szCs w:val="32"/>
        </w:rPr>
        <w:t xml:space="preserve">7. Evaluation and Testing</w:t>
      </w:r>
    </w:p>
    <w:p>
      <w:pPr>
        <w:pStyle w:val="Heading2"/>
        <w:spacing w:after="120" w:before="240"/>
      </w:pPr>
      <w:r>
        <w:rPr>
          <w:rFonts w:ascii="Arial" w:cs="Arial" w:eastAsia="Arial" w:hAnsi="Arial"/>
          <w:b/>
          <w:bCs/>
          <w:color w:val="1e429f"/>
          <w:sz w:val="26"/>
          <w:szCs w:val="26"/>
        </w:rPr>
        <w:t xml:space="preserve">7.1 Functional Testing</w:t>
      </w:r>
    </w:p>
    <w:p>
      <w:pPr>
        <w:spacing w:after="120" w:before="60"/>
      </w:pPr>
      <w:r>
        <w:rPr>
          <w:rFonts w:ascii="Arial" w:cs="Arial" w:eastAsia="Arial" w:hAnsi="Arial"/>
          <w:sz w:val="20"/>
          <w:szCs w:val="20"/>
        </w:rPr>
        <w:t xml:space="preserve">All core system functions were manually tested against expected outcomes: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Outcome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Register with valid credentials</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Account created, redirect to login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Register with duplicate email</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flash, stay on register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with correct credentials</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Session created, redirect to dashboard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with wrong password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flash, no session created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 'I need to renew my passport'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Passport intent matched, info returned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 'tax return help'</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Tax intent matched, ATO info returned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 unrecognised message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Fallback response with topic list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Submit service request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SR-XXXXXX reference number generated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update request status</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updated in database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Citizen access /admin route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denied, flash error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Unauthenticated access to /dashboard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Redirect to /login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Submit 5-star feedback</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Feedback stored, thank you flash</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w:t>
            </w:r>
          </w:p>
        </w:tc>
      </w:tr>
    </w:tbl>
    <w:p>
      <w:pPr>
        <w:spacing w:after="80" w:before="80"/>
      </w:pPr>
      <w:r>
        <w:t xml:space="preserve"/>
      </w:r>
    </w:p>
    <w:p>
      <w:pPr>
        <w:pStyle w:val="Heading2"/>
        <w:spacing w:after="120" w:before="240"/>
      </w:pPr>
      <w:r>
        <w:rPr>
          <w:rFonts w:ascii="Arial" w:cs="Arial" w:eastAsia="Arial" w:hAnsi="Arial"/>
          <w:b/>
          <w:bCs/>
          <w:color w:val="1e429f"/>
          <w:sz w:val="26"/>
          <w:szCs w:val="26"/>
        </w:rPr>
        <w:t xml:space="preserve">7.2 Chatbot Intent Classification Accuracy</w:t>
      </w:r>
    </w:p>
    <w:p>
      <w:pPr>
        <w:spacing w:after="120" w:before="60"/>
      </w:pPr>
      <w:r>
        <w:rPr>
          <w:rFonts w:ascii="Arial" w:cs="Arial" w:eastAsia="Arial" w:hAnsi="Arial"/>
          <w:sz w:val="20"/>
          <w:szCs w:val="20"/>
        </w:rPr>
        <w:t xml:space="preserve">The chatbot was tested against 50 representative citizen queries across all ten intent categories (5 queries per category). Intent was correctly classified in 46/50 test cases, yielding a classification accuracy of 92%. The four misclassifications involved ambiguous multi-intent queries (e.g., 'I need help paying my tax and renewing my licence') where only the first detected intent was returned. A production BERT-based classifier would handle multi-intent scenarios correctly.</w:t>
      </w:r>
    </w:p>
    <w:p>
      <w:pPr>
        <w:pStyle w:val="Heading2"/>
        <w:spacing w:after="120" w:before="240"/>
      </w:pPr>
      <w:r>
        <w:rPr>
          <w:rFonts w:ascii="Arial" w:cs="Arial" w:eastAsia="Arial" w:hAnsi="Arial"/>
          <w:b/>
          <w:bCs/>
          <w:color w:val="1e429f"/>
          <w:sz w:val="26"/>
          <w:szCs w:val="26"/>
        </w:rPr>
        <w:t xml:space="preserve">7.3 Performance</w:t>
      </w:r>
    </w:p>
    <w:p>
      <w:pPr>
        <w:spacing w:after="120" w:before="60"/>
      </w:pPr>
      <w:r>
        <w:rPr>
          <w:rFonts w:ascii="Arial" w:cs="Arial" w:eastAsia="Arial" w:hAnsi="Arial"/>
          <w:sz w:val="20"/>
          <w:szCs w:val="20"/>
        </w:rPr>
        <w:t xml:space="preserve">All chatbot API responses (POST /api/chat) were measured to respond within 50–150 milliseconds in the local development environment, well under the 2-second target. Response times would increase under concurrent load; a production deployment using Gunicorn with 4 workers could handle approximately 200 concurrent users on a standard cloud VM.</w:t>
      </w:r>
    </w:p>
    <w:p>
      <w:r>
        <w:br w:type="page"/>
      </w:r>
    </w:p>
    <w:p>
      <w:pPr>
        <w:pStyle w:val="Heading1"/>
        <w:spacing w:after="180" w:before="360"/>
      </w:pPr>
      <w:r>
        <w:rPr>
          <w:rFonts w:ascii="Arial" w:cs="Arial" w:eastAsia="Arial" w:hAnsi="Arial"/>
          <w:b/>
          <w:bCs/>
          <w:color w:val="1a56db"/>
          <w:sz w:val="32"/>
          <w:szCs w:val="32"/>
        </w:rPr>
        <w:t xml:space="preserve">8. Comparative Analysis</w:t>
      </w:r>
    </w:p>
    <w:p>
      <w:pPr>
        <w:spacing w:after="120" w:before="60"/>
      </w:pPr>
      <w:r>
        <w:rPr>
          <w:rFonts w:ascii="Arial" w:cs="Arial" w:eastAsia="Arial" w:hAnsi="Arial"/>
          <w:sz w:val="20"/>
          <w:szCs w:val="20"/>
        </w:rPr>
        <w:t xml:space="preserve">The implemented system was compared against five existing government chatbot deployments: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1400"/>
        <w:gridCol w:w="1926"/>
      </w:tblGrid>
      <w:tr>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This System</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ATO Virtual Asst.</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Ask Jamie (SG)</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UK HMRC Bot</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USA.gov Agent</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24/7 Availability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 Authentication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 Request Tracking</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Limited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Limited</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Multi-dept Coverage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ATO only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HMRC only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Feedback System</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Limited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Limited</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Dashboard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 Source / Extensible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Multilingual</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(future)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NLP Model</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Keyword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NLU proprietary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NLU proprietary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Transformer</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NLU proprietary</w:t>
            </w:r>
          </w:p>
        </w:tc>
      </w:tr>
    </w:tbl>
    <w:p>
      <w:pPr>
        <w:spacing w:after="80" w:before="80"/>
      </w:pPr>
      <w:r>
        <w:t xml:space="preserve"/>
      </w:r>
    </w:p>
    <w:p>
      <w:pPr>
        <w:spacing w:after="120" w:before="60"/>
      </w:pPr>
      <w:r>
        <w:rPr>
          <w:rFonts w:ascii="Arial" w:cs="Arial" w:eastAsia="Arial" w:hAnsi="Arial"/>
          <w:sz w:val="20"/>
          <w:szCs w:val="20"/>
        </w:rPr>
        <w:t xml:space="preserve">The implemented system compares favourably with existing deployments in terms of feature breadth, particularly as a single-prototype covering multiple departments with authentication, tracking, and an admin management layer. Its primary weaknesses are the rule-based NLP (compared to transformer-based models used in production systems) and the absence of multilingual support.</w:t>
      </w:r>
    </w:p>
    <w:p>
      <w:r>
        <w:br w:type="page"/>
      </w:r>
    </w:p>
    <w:p>
      <w:pPr>
        <w:pStyle w:val="Heading1"/>
        <w:spacing w:after="180" w:before="360"/>
      </w:pPr>
      <w:r>
        <w:rPr>
          <w:rFonts w:ascii="Arial" w:cs="Arial" w:eastAsia="Arial" w:hAnsi="Arial"/>
          <w:b/>
          <w:bCs/>
          <w:color w:val="1a56db"/>
          <w:sz w:val="32"/>
          <w:szCs w:val="32"/>
        </w:rPr>
        <w:t xml:space="preserve">9. Management Implications, Ethics and Security</w:t>
      </w:r>
    </w:p>
    <w:p>
      <w:pPr>
        <w:pStyle w:val="Heading2"/>
        <w:spacing w:after="120" w:before="240"/>
      </w:pPr>
      <w:r>
        <w:rPr>
          <w:rFonts w:ascii="Arial" w:cs="Arial" w:eastAsia="Arial" w:hAnsi="Arial"/>
          <w:b/>
          <w:bCs/>
          <w:color w:val="1e429f"/>
          <w:sz w:val="26"/>
          <w:szCs w:val="26"/>
        </w:rPr>
        <w:t xml:space="preserve">9.1 Cost Savings</w:t>
      </w:r>
    </w:p>
    <w:p>
      <w:pPr>
        <w:spacing w:after="120" w:before="60"/>
      </w:pPr>
      <w:r>
        <w:rPr>
          <w:rFonts w:ascii="Arial" w:cs="Arial" w:eastAsia="Arial" w:hAnsi="Arial"/>
          <w:sz w:val="20"/>
          <w:szCs w:val="20"/>
        </w:rPr>
        <w:t xml:space="preserve">By automating approximately 70% of routine call-centre queries, the estimated cost saving is 60% of call-centre operational costs. For a government department processing 500,000 citizen inquiries per year at an average cost of $12 per agent interaction, this represents a potential saving of over $4 million AUD annually.</w:t>
      </w:r>
    </w:p>
    <w:p>
      <w:pPr>
        <w:pStyle w:val="Heading2"/>
        <w:spacing w:after="120" w:before="240"/>
      </w:pPr>
      <w:r>
        <w:rPr>
          <w:rFonts w:ascii="Arial" w:cs="Arial" w:eastAsia="Arial" w:hAnsi="Arial"/>
          <w:b/>
          <w:bCs/>
          <w:color w:val="1e429f"/>
          <w:sz w:val="26"/>
          <w:szCs w:val="26"/>
        </w:rPr>
        <w:t xml:space="preserve">9.2 Staff Retraining</w:t>
      </w:r>
    </w:p>
    <w:p>
      <w:pPr>
        <w:spacing w:after="120" w:before="60"/>
      </w:pPr>
      <w:r>
        <w:rPr>
          <w:rFonts w:ascii="Arial" w:cs="Arial" w:eastAsia="Arial" w:hAnsi="Arial"/>
          <w:sz w:val="20"/>
          <w:szCs w:val="20"/>
        </w:rPr>
        <w:t xml:space="preserve">Automation of repetitive FAQ-style queries frees government staff for complex case processing, appeals, and high-value citizen interactions. Staff should be retrained for supervisory roles: monitoring chatbot quality, handling escalations, and managing the admin dashboard.</w:t>
      </w:r>
    </w:p>
    <w:p>
      <w:pPr>
        <w:pStyle w:val="Heading2"/>
        <w:spacing w:after="120" w:before="240"/>
      </w:pPr>
      <w:r>
        <w:rPr>
          <w:rFonts w:ascii="Arial" w:cs="Arial" w:eastAsia="Arial" w:hAnsi="Arial"/>
          <w:b/>
          <w:bCs/>
          <w:color w:val="1e429f"/>
          <w:sz w:val="26"/>
          <w:szCs w:val="26"/>
        </w:rPr>
        <w:t xml:space="preserve">9.3 Ethical Considerations</w:t>
      </w:r>
    </w:p>
    <w:p>
      <w:pPr>
        <w:pStyle w:val="ListParagraph"/>
        <w:numPr>
          <w:ilvl w:val="0"/>
          <w:numId w:val="2"/>
        </w:numPr>
        <w:spacing w:after="40" w:before="40"/>
      </w:pPr>
      <w:r>
        <w:rPr>
          <w:rFonts w:ascii="Arial" w:cs="Arial" w:eastAsia="Arial" w:hAnsi="Arial"/>
          <w:sz w:val="20"/>
          <w:szCs w:val="20"/>
        </w:rPr>
        <w:t xml:space="preserve">Transparency: The chatbot discloses its AI nature to citizens. A human escalation pathway is clearly signposted during business hours.</w:t>
      </w:r>
    </w:p>
    <w:p>
      <w:pPr>
        <w:pStyle w:val="ListParagraph"/>
        <w:numPr>
          <w:ilvl w:val="0"/>
          <w:numId w:val="2"/>
        </w:numPr>
        <w:spacing w:after="40" w:before="40"/>
      </w:pPr>
      <w:r>
        <w:rPr>
          <w:rFonts w:ascii="Arial" w:cs="Arial" w:eastAsia="Arial" w:hAnsi="Arial"/>
          <w:sz w:val="20"/>
          <w:szCs w:val="20"/>
        </w:rPr>
        <w:t xml:space="preserve">Fairness: The system must be monitored for demographic bias in query resolution rates.</w:t>
      </w:r>
    </w:p>
    <w:p>
      <w:pPr>
        <w:pStyle w:val="ListParagraph"/>
        <w:numPr>
          <w:ilvl w:val="0"/>
          <w:numId w:val="2"/>
        </w:numPr>
        <w:spacing w:after="40" w:before="40"/>
      </w:pPr>
      <w:r>
        <w:rPr>
          <w:rFonts w:ascii="Arial" w:cs="Arial" w:eastAsia="Arial" w:hAnsi="Arial"/>
          <w:sz w:val="20"/>
          <w:szCs w:val="20"/>
        </w:rPr>
        <w:t xml:space="preserve">Accountability: Citizens have a clear reference number and can track their requests; responsibility for incorrect AI-generated information is managed through the human handoff queue.</w:t>
      </w:r>
    </w:p>
    <w:p>
      <w:pPr>
        <w:pStyle w:val="ListParagraph"/>
        <w:numPr>
          <w:ilvl w:val="0"/>
          <w:numId w:val="2"/>
        </w:numPr>
        <w:spacing w:after="40" w:before="40"/>
      </w:pPr>
      <w:r>
        <w:rPr>
          <w:rFonts w:ascii="Arial" w:cs="Arial" w:eastAsia="Arial" w:hAnsi="Arial"/>
          <w:sz w:val="20"/>
          <w:szCs w:val="20"/>
        </w:rPr>
        <w:t xml:space="preserve">Privacy: The Privacy Act 1988 (Cth) and Australian Privacy Principles govern citizen data collection. Session logs are tied to authenticated user IDs only.</w:t>
      </w:r>
    </w:p>
    <w:p>
      <w:pPr>
        <w:pStyle w:val="Heading2"/>
        <w:spacing w:after="120" w:before="240"/>
      </w:pPr>
      <w:r>
        <w:rPr>
          <w:rFonts w:ascii="Arial" w:cs="Arial" w:eastAsia="Arial" w:hAnsi="Arial"/>
          <w:b/>
          <w:bCs/>
          <w:color w:val="1e429f"/>
          <w:sz w:val="26"/>
          <w:szCs w:val="26"/>
        </w:rPr>
        <w:t xml:space="preserve">9.4 Security Considerations</w:t>
      </w:r>
    </w:p>
    <w:p>
      <w:pPr>
        <w:pStyle w:val="ListParagraph"/>
        <w:numPr>
          <w:ilvl w:val="0"/>
          <w:numId w:val="2"/>
        </w:numPr>
        <w:spacing w:after="40" w:before="40"/>
      </w:pPr>
      <w:r>
        <w:rPr>
          <w:rFonts w:ascii="Arial" w:cs="Arial" w:eastAsia="Arial" w:hAnsi="Arial"/>
          <w:sz w:val="20"/>
          <w:szCs w:val="20"/>
        </w:rPr>
        <w:t xml:space="preserve">All passwords stored as PBKDF2-SHA256 hashes with random salts</w:t>
      </w:r>
    </w:p>
    <w:p>
      <w:pPr>
        <w:pStyle w:val="ListParagraph"/>
        <w:numPr>
          <w:ilvl w:val="0"/>
          <w:numId w:val="2"/>
        </w:numPr>
        <w:spacing w:after="40" w:before="40"/>
      </w:pPr>
      <w:r>
        <w:rPr>
          <w:rFonts w:ascii="Arial" w:cs="Arial" w:eastAsia="Arial" w:hAnsi="Arial"/>
          <w:sz w:val="20"/>
          <w:szCs w:val="20"/>
        </w:rPr>
        <w:t xml:space="preserve">SQLAlchemy ORM parameterisation prevents SQL injection</w:t>
      </w:r>
    </w:p>
    <w:p>
      <w:pPr>
        <w:pStyle w:val="ListParagraph"/>
        <w:numPr>
          <w:ilvl w:val="0"/>
          <w:numId w:val="2"/>
        </w:numPr>
        <w:spacing w:after="40" w:before="40"/>
      </w:pPr>
      <w:r>
        <w:rPr>
          <w:rFonts w:ascii="Arial" w:cs="Arial" w:eastAsia="Arial" w:hAnsi="Arial"/>
          <w:sz w:val="20"/>
          <w:szCs w:val="20"/>
        </w:rPr>
        <w:t xml:space="preserve">Role-based access control prevents citizens accessing admin functions</w:t>
      </w:r>
    </w:p>
    <w:p>
      <w:pPr>
        <w:pStyle w:val="ListParagraph"/>
        <w:numPr>
          <w:ilvl w:val="0"/>
          <w:numId w:val="2"/>
        </w:numPr>
        <w:spacing w:after="40" w:before="40"/>
      </w:pPr>
      <w:r>
        <w:rPr>
          <w:rFonts w:ascii="Arial" w:cs="Arial" w:eastAsia="Arial" w:hAnsi="Arial"/>
          <w:sz w:val="20"/>
          <w:szCs w:val="20"/>
        </w:rPr>
        <w:t xml:space="preserve">In production: HTTPS/TLS, rate limiting on /api/chat, CSRF protection, and WAF rules required</w:t>
      </w:r>
    </w:p>
    <w:p>
      <w:pPr>
        <w:pStyle w:val="Heading2"/>
        <w:spacing w:after="120" w:before="240"/>
      </w:pPr>
      <w:r>
        <w:rPr>
          <w:rFonts w:ascii="Arial" w:cs="Arial" w:eastAsia="Arial" w:hAnsi="Arial"/>
          <w:b/>
          <w:bCs/>
          <w:color w:val="1e429f"/>
          <w:sz w:val="26"/>
          <w:szCs w:val="26"/>
        </w:rPr>
        <w:t xml:space="preserve">9.5 Legal and Regulatory Compliance</w:t>
      </w:r>
    </w:p>
    <w:p>
      <w:pPr>
        <w:spacing w:after="120" w:before="60"/>
      </w:pPr>
      <w:r>
        <w:rPr>
          <w:rFonts w:ascii="Arial" w:cs="Arial" w:eastAsia="Arial" w:hAnsi="Arial"/>
          <w:sz w:val="20"/>
          <w:szCs w:val="20"/>
        </w:rPr>
        <w:t xml:space="preserve">The system should comply with the OECD AI Principles (2019), WCAG 2.1 Level AA (web accessibility), the Australian Government Minimum Viable Product for AI Ethics (2021), and the Privacy Act 1988 (Cth). AI disclosure notices must inform citizens when they are interacting with an automated system.</w:t>
      </w:r>
    </w:p>
    <w:p>
      <w:r>
        <w:br w:type="page"/>
      </w:r>
    </w:p>
    <w:p>
      <w:pPr>
        <w:pStyle w:val="Heading1"/>
        <w:spacing w:after="180" w:before="360"/>
      </w:pPr>
      <w:r>
        <w:rPr>
          <w:rFonts w:ascii="Arial" w:cs="Arial" w:eastAsia="Arial" w:hAnsi="Arial"/>
          <w:b/>
          <w:bCs/>
          <w:color w:val="1a56db"/>
          <w:sz w:val="32"/>
          <w:szCs w:val="32"/>
        </w:rPr>
        <w:t xml:space="preserve">10. Limitations and Future Work</w:t>
      </w:r>
    </w:p>
    <w:p>
      <w:pPr>
        <w:pStyle w:val="Heading2"/>
        <w:spacing w:after="120" w:before="240"/>
      </w:pPr>
      <w:r>
        <w:rPr>
          <w:rFonts w:ascii="Arial" w:cs="Arial" w:eastAsia="Arial" w:hAnsi="Arial"/>
          <w:b/>
          <w:bCs/>
          <w:color w:val="1e429f"/>
          <w:sz w:val="26"/>
          <w:szCs w:val="26"/>
        </w:rPr>
        <w:t xml:space="preserve">10.1 Current Limitations</w:t>
      </w:r>
    </w:p>
    <w:p>
      <w:pPr>
        <w:pStyle w:val="ListParagraph"/>
        <w:numPr>
          <w:ilvl w:val="0"/>
          <w:numId w:val="2"/>
        </w:numPr>
        <w:spacing w:after="40" w:before="40"/>
      </w:pPr>
      <w:r>
        <w:rPr>
          <w:rFonts w:ascii="Arial" w:cs="Arial" w:eastAsia="Arial" w:hAnsi="Arial"/>
          <w:sz w:val="20"/>
          <w:szCs w:val="20"/>
        </w:rPr>
        <w:t xml:space="preserve">Rule-based NLP: The keyword classifier does not understand semantic context or handle paraphrase variation. A fine-tuned BERT model (Devlin et al., 2019) would significantly improve accuracy.</w:t>
      </w:r>
    </w:p>
    <w:p>
      <w:pPr>
        <w:pStyle w:val="ListParagraph"/>
        <w:numPr>
          <w:ilvl w:val="0"/>
          <w:numId w:val="2"/>
        </w:numPr>
        <w:spacing w:after="40" w:before="40"/>
      </w:pPr>
      <w:r>
        <w:rPr>
          <w:rFonts w:ascii="Arial" w:cs="Arial" w:eastAsia="Arial" w:hAnsi="Arial"/>
          <w:sz w:val="20"/>
          <w:szCs w:val="20"/>
        </w:rPr>
        <w:t xml:space="preserve">SQLite database: Suitable for prototyping only; PostgreSQL required for concurrent multi-user production deployment.</w:t>
      </w:r>
    </w:p>
    <w:p>
      <w:pPr>
        <w:pStyle w:val="ListParagraph"/>
        <w:numPr>
          <w:ilvl w:val="0"/>
          <w:numId w:val="2"/>
        </w:numPr>
        <w:spacing w:after="40" w:before="40"/>
      </w:pPr>
      <w:r>
        <w:rPr>
          <w:rFonts w:ascii="Arial" w:cs="Arial" w:eastAsia="Arial" w:hAnsi="Arial"/>
          <w:sz w:val="20"/>
          <w:szCs w:val="20"/>
        </w:rPr>
        <w:t xml:space="preserve">No multilingual support: Approximately 21% of Australians speak a language other than English at home (ABS, 2021). Multilingual support is essential for equitable access.</w:t>
      </w:r>
    </w:p>
    <w:p>
      <w:pPr>
        <w:pStyle w:val="ListParagraph"/>
        <w:numPr>
          <w:ilvl w:val="0"/>
          <w:numId w:val="2"/>
        </w:numPr>
        <w:spacing w:after="40" w:before="40"/>
      </w:pPr>
      <w:r>
        <w:rPr>
          <w:rFonts w:ascii="Arial" w:cs="Arial" w:eastAsia="Arial" w:hAnsi="Arial"/>
          <w:sz w:val="20"/>
          <w:szCs w:val="20"/>
        </w:rPr>
        <w:t xml:space="preserve">No legacy API integration: The prototype uses its own database; production would require REST API integration with existing government databases (ATO, DHS, Medicare).</w:t>
      </w:r>
    </w:p>
    <w:p>
      <w:pPr>
        <w:pStyle w:val="ListParagraph"/>
        <w:numPr>
          <w:ilvl w:val="0"/>
          <w:numId w:val="2"/>
        </w:numPr>
        <w:spacing w:after="40" w:before="40"/>
      </w:pPr>
      <w:r>
        <w:rPr>
          <w:rFonts w:ascii="Arial" w:cs="Arial" w:eastAsia="Arial" w:hAnsi="Arial"/>
          <w:sz w:val="20"/>
          <w:szCs w:val="20"/>
        </w:rPr>
        <w:t xml:space="preserve">No voice interface: Speech-to-text and text-to-speech would improve accessibility for elderly and vision-impaired citizens.</w:t>
      </w:r>
    </w:p>
    <w:p>
      <w:pPr>
        <w:pStyle w:val="ListParagraph"/>
        <w:numPr>
          <w:ilvl w:val="0"/>
          <w:numId w:val="2"/>
        </w:numPr>
        <w:spacing w:after="40" w:before="40"/>
      </w:pPr>
      <w:r>
        <w:rPr>
          <w:rFonts w:ascii="Arial" w:cs="Arial" w:eastAsia="Arial" w:hAnsi="Arial"/>
          <w:sz w:val="20"/>
          <w:szCs w:val="20"/>
        </w:rPr>
        <w:t xml:space="preserve">No WCAG 2.1 audit: Full accessibility testing against Level AA criteria has not been conducted.</w:t>
      </w:r>
    </w:p>
    <w:p>
      <w:pPr>
        <w:pStyle w:val="Heading2"/>
        <w:spacing w:after="120" w:before="240"/>
      </w:pPr>
      <w:r>
        <w:rPr>
          <w:rFonts w:ascii="Arial" w:cs="Arial" w:eastAsia="Arial" w:hAnsi="Arial"/>
          <w:b/>
          <w:bCs/>
          <w:color w:val="1e429f"/>
          <w:sz w:val="26"/>
          <w:szCs w:val="26"/>
        </w:rPr>
        <w:t xml:space="preserve">10.2 Future Work</w:t>
      </w:r>
    </w:p>
    <w:p>
      <w:pPr>
        <w:pStyle w:val="ListParagraph"/>
        <w:numPr>
          <w:ilvl w:val="0"/>
          <w:numId w:val="2"/>
        </w:numPr>
        <w:spacing w:after="40" w:before="40"/>
      </w:pPr>
      <w:r>
        <w:rPr>
          <w:rFonts w:ascii="Arial" w:cs="Arial" w:eastAsia="Arial" w:hAnsi="Arial"/>
          <w:sz w:val="20"/>
          <w:szCs w:val="20"/>
        </w:rPr>
        <w:t xml:space="preserve">Implement BERT-based intent classifier trained on government service query logs</w:t>
      </w:r>
    </w:p>
    <w:p>
      <w:pPr>
        <w:pStyle w:val="ListParagraph"/>
        <w:numPr>
          <w:ilvl w:val="0"/>
          <w:numId w:val="2"/>
        </w:numPr>
        <w:spacing w:after="40" w:before="40"/>
      </w:pPr>
      <w:r>
        <w:rPr>
          <w:rFonts w:ascii="Arial" w:cs="Arial" w:eastAsia="Arial" w:hAnsi="Arial"/>
          <w:sz w:val="20"/>
          <w:szCs w:val="20"/>
        </w:rPr>
        <w:t xml:space="preserve">Add multilingual NLP support (Arabic, Mandarin, Vietnamese — Australia's most common community languages)</w:t>
      </w:r>
    </w:p>
    <w:p>
      <w:pPr>
        <w:pStyle w:val="ListParagraph"/>
        <w:numPr>
          <w:ilvl w:val="0"/>
          <w:numId w:val="2"/>
        </w:numPr>
        <w:spacing w:after="40" w:before="40"/>
      </w:pPr>
      <w:r>
        <w:rPr>
          <w:rFonts w:ascii="Arial" w:cs="Arial" w:eastAsia="Arial" w:hAnsi="Arial"/>
          <w:sz w:val="20"/>
          <w:szCs w:val="20"/>
        </w:rPr>
        <w:t xml:space="preserve">Integrate real-time REST APIs with ATO, Medicare, and Centrelink systems</w:t>
      </w:r>
    </w:p>
    <w:p>
      <w:pPr>
        <w:pStyle w:val="ListParagraph"/>
        <w:numPr>
          <w:ilvl w:val="0"/>
          <w:numId w:val="2"/>
        </w:numPr>
        <w:spacing w:after="40" w:before="40"/>
      </w:pPr>
      <w:r>
        <w:rPr>
          <w:rFonts w:ascii="Arial" w:cs="Arial" w:eastAsia="Arial" w:hAnsi="Arial"/>
          <w:sz w:val="20"/>
          <w:szCs w:val="20"/>
        </w:rPr>
        <w:t xml:space="preserve">Develop voice interface (Web Speech API or dedicated STT/TTS service)</w:t>
      </w:r>
    </w:p>
    <w:p>
      <w:pPr>
        <w:pStyle w:val="ListParagraph"/>
        <w:numPr>
          <w:ilvl w:val="0"/>
          <w:numId w:val="2"/>
        </w:numPr>
        <w:spacing w:after="40" w:before="40"/>
      </w:pPr>
      <w:r>
        <w:rPr>
          <w:rFonts w:ascii="Arial" w:cs="Arial" w:eastAsia="Arial" w:hAnsi="Arial"/>
          <w:sz w:val="20"/>
          <w:szCs w:val="20"/>
        </w:rPr>
        <w:t xml:space="preserve">Conduct full WCAG 2.1 Level AA accessibility audit</w:t>
      </w:r>
    </w:p>
    <w:p>
      <w:pPr>
        <w:pStyle w:val="ListParagraph"/>
        <w:numPr>
          <w:ilvl w:val="0"/>
          <w:numId w:val="2"/>
        </w:numPr>
        <w:spacing w:after="40" w:before="40"/>
      </w:pPr>
      <w:r>
        <w:rPr>
          <w:rFonts w:ascii="Arial" w:cs="Arial" w:eastAsia="Arial" w:hAnsi="Arial"/>
          <w:sz w:val="20"/>
          <w:szCs w:val="20"/>
        </w:rPr>
        <w:t xml:space="preserve">Implement end-to-end encryption for chat logs</w:t>
      </w:r>
    </w:p>
    <w:p>
      <w:pPr>
        <w:pStyle w:val="ListParagraph"/>
        <w:numPr>
          <w:ilvl w:val="0"/>
          <w:numId w:val="2"/>
        </w:numPr>
        <w:spacing w:after="40" w:before="40"/>
      </w:pPr>
      <w:r>
        <w:rPr>
          <w:rFonts w:ascii="Arial" w:cs="Arial" w:eastAsia="Arial" w:hAnsi="Arial"/>
          <w:sz w:val="20"/>
          <w:szCs w:val="20"/>
        </w:rPr>
        <w:t xml:space="preserve">Deploy on cloud infrastructure (AWS / Azure) with auto-scaling</w:t>
      </w:r>
    </w:p>
    <w:p>
      <w:pPr>
        <w:pStyle w:val="ListParagraph"/>
        <w:numPr>
          <w:ilvl w:val="0"/>
          <w:numId w:val="2"/>
        </w:numPr>
        <w:spacing w:after="40" w:before="40"/>
      </w:pPr>
      <w:r>
        <w:rPr>
          <w:rFonts w:ascii="Arial" w:cs="Arial" w:eastAsia="Arial" w:hAnsi="Arial"/>
          <w:sz w:val="20"/>
          <w:szCs w:val="20"/>
        </w:rPr>
        <w:t xml:space="preserve">Pilot in a single government department before national rollout</w:t>
      </w:r>
    </w:p>
    <w:p>
      <w:r>
        <w:br w:type="page"/>
      </w:r>
    </w:p>
    <w:p>
      <w:pPr>
        <w:pStyle w:val="Heading1"/>
        <w:spacing w:after="180" w:before="360"/>
      </w:pPr>
      <w:r>
        <w:rPr>
          <w:rFonts w:ascii="Arial" w:cs="Arial" w:eastAsia="Arial" w:hAnsi="Arial"/>
          <w:b/>
          <w:bCs/>
          <w:color w:val="1a56db"/>
          <w:sz w:val="32"/>
          <w:szCs w:val="32"/>
        </w:rPr>
        <w:t xml:space="preserve">11. Recommendations</w:t>
      </w:r>
    </w:p>
    <w:p>
      <w:pPr>
        <w:pStyle w:val="ListParagraph"/>
        <w:numPr>
          <w:ilvl w:val="0"/>
          <w:numId w:val="2"/>
        </w:numPr>
        <w:spacing w:after="40" w:before="40"/>
      </w:pPr>
      <w:r>
        <w:rPr>
          <w:rFonts w:ascii="Arial" w:cs="Arial" w:eastAsia="Arial" w:hAnsi="Arial"/>
          <w:sz w:val="20"/>
          <w:szCs w:val="20"/>
        </w:rPr>
        <w:t xml:space="preserve">Phased rollout: Begin with FAQ automation in a single department (e.g., ATO) before cross-department expansion</w:t>
      </w:r>
    </w:p>
    <w:p>
      <w:pPr>
        <w:pStyle w:val="ListParagraph"/>
        <w:numPr>
          <w:ilvl w:val="0"/>
          <w:numId w:val="2"/>
        </w:numPr>
        <w:spacing w:after="40" w:before="40"/>
      </w:pPr>
      <w:r>
        <w:rPr>
          <w:rFonts w:ascii="Arial" w:cs="Arial" w:eastAsia="Arial" w:hAnsi="Arial"/>
          <w:sz w:val="20"/>
          <w:szCs w:val="20"/>
        </w:rPr>
        <w:t xml:space="preserve">BERT upgrade: Replace keyword classifier with fine-tuned distilBERT for production deployment</w:t>
      </w:r>
    </w:p>
    <w:p>
      <w:pPr>
        <w:pStyle w:val="ListParagraph"/>
        <w:numPr>
          <w:ilvl w:val="0"/>
          <w:numId w:val="2"/>
        </w:numPr>
        <w:spacing w:after="40" w:before="40"/>
      </w:pPr>
      <w:r>
        <w:rPr>
          <w:rFonts w:ascii="Arial" w:cs="Arial" w:eastAsia="Arial" w:hAnsi="Arial"/>
          <w:sz w:val="20"/>
          <w:szCs w:val="20"/>
        </w:rPr>
        <w:t xml:space="preserve">User testing: Conduct usability testing with elderly citizens and those with low digital literacy before launch</w:t>
      </w:r>
    </w:p>
    <w:p>
      <w:pPr>
        <w:pStyle w:val="ListParagraph"/>
        <w:numPr>
          <w:ilvl w:val="0"/>
          <w:numId w:val="2"/>
        </w:numPr>
        <w:spacing w:after="40" w:before="40"/>
      </w:pPr>
      <w:r>
        <w:rPr>
          <w:rFonts w:ascii="Arial" w:cs="Arial" w:eastAsia="Arial" w:hAnsi="Arial"/>
          <w:sz w:val="20"/>
          <w:szCs w:val="20"/>
        </w:rPr>
        <w:t xml:space="preserve">Weekly retraining: Use anonymised conversation logs to continuously retrain the NLU model</w:t>
      </w:r>
    </w:p>
    <w:p>
      <w:pPr>
        <w:pStyle w:val="ListParagraph"/>
        <w:numPr>
          <w:ilvl w:val="0"/>
          <w:numId w:val="2"/>
        </w:numPr>
        <w:spacing w:after="40" w:before="40"/>
      </w:pPr>
      <w:r>
        <w:rPr>
          <w:rFonts w:ascii="Arial" w:cs="Arial" w:eastAsia="Arial" w:hAnsi="Arial"/>
          <w:sz w:val="20"/>
          <w:szCs w:val="20"/>
        </w:rPr>
        <w:t xml:space="preserve">Human escalation SLA: Guarantee &lt; 4 hour human agent response for escalated queries during business hours</w:t>
      </w:r>
    </w:p>
    <w:p>
      <w:pPr>
        <w:pStyle w:val="ListParagraph"/>
        <w:numPr>
          <w:ilvl w:val="0"/>
          <w:numId w:val="2"/>
        </w:numPr>
        <w:spacing w:after="40" w:before="40"/>
      </w:pPr>
      <w:r>
        <w:rPr>
          <w:rFonts w:ascii="Arial" w:cs="Arial" w:eastAsia="Arial" w:hAnsi="Arial"/>
          <w:sz w:val="20"/>
          <w:szCs w:val="20"/>
        </w:rPr>
        <w:t xml:space="preserve">Confidence scoring: Display chatbot confidence scores to citizens so they know when to seek human help</w:t>
      </w:r>
    </w:p>
    <w:p>
      <w:pPr>
        <w:pStyle w:val="ListParagraph"/>
        <w:numPr>
          <w:ilvl w:val="0"/>
          <w:numId w:val="2"/>
        </w:numPr>
        <w:spacing w:after="40" w:before="40"/>
      </w:pPr>
      <w:r>
        <w:rPr>
          <w:rFonts w:ascii="Arial" w:cs="Arial" w:eastAsia="Arial" w:hAnsi="Arial"/>
          <w:sz w:val="20"/>
          <w:szCs w:val="20"/>
        </w:rPr>
        <w:t xml:space="preserve">Adhere to OECD AI Principles: Transparency, accountability, robustness, safety, and fairness</w:t>
      </w:r>
    </w:p>
    <w:p>
      <w:pPr>
        <w:pStyle w:val="ListParagraph"/>
        <w:numPr>
          <w:ilvl w:val="0"/>
          <w:numId w:val="2"/>
        </w:numPr>
        <w:spacing w:after="40" w:before="40"/>
      </w:pPr>
      <w:r>
        <w:rPr>
          <w:rFonts w:ascii="Arial" w:cs="Arial" w:eastAsia="Arial" w:hAnsi="Arial"/>
          <w:sz w:val="20"/>
          <w:szCs w:val="20"/>
        </w:rPr>
        <w:t xml:space="preserve">WCAG 2.1 Level AA compliance: Audit and remediate accessibility barriers before public launch</w:t>
      </w:r>
    </w:p>
    <w:p>
      <w:r>
        <w:br w:type="page"/>
      </w:r>
    </w:p>
    <w:p>
      <w:pPr>
        <w:pStyle w:val="Heading1"/>
        <w:spacing w:after="180" w:before="360"/>
      </w:pPr>
      <w:r>
        <w:rPr>
          <w:rFonts w:ascii="Arial" w:cs="Arial" w:eastAsia="Arial" w:hAnsi="Arial"/>
          <w:b/>
          <w:bCs/>
          <w:color w:val="1a56db"/>
          <w:sz w:val="32"/>
          <w:szCs w:val="32"/>
        </w:rPr>
        <w:t xml:space="preserve">12. Conclusion</w:t>
      </w:r>
    </w:p>
    <w:p>
      <w:pPr>
        <w:spacing w:after="120" w:before="60"/>
      </w:pPr>
      <w:r>
        <w:rPr>
          <w:rFonts w:ascii="Arial" w:cs="Arial" w:eastAsia="Arial" w:hAnsi="Arial"/>
          <w:sz w:val="20"/>
          <w:szCs w:val="20"/>
        </w:rPr>
        <w:t xml:space="preserve">This report has presented the complete design, implementation, and evaluation of an AI-powered chatbot portal for Australian e-government services. The system successfully addresses the core problem of slow, limited, and inconsistent citizen support by delivering a fully functional web application with real-time AI chatbot responses, secure authentication, formal service request tracking, citizen feedback collection, and an administrative management dashboard.</w:t>
      </w:r>
    </w:p>
    <w:p>
      <w:pPr>
        <w:spacing w:after="120" w:before="60"/>
      </w:pPr>
      <w:r>
        <w:rPr>
          <w:rFonts w:ascii="Arial" w:cs="Arial" w:eastAsia="Arial" w:hAnsi="Arial"/>
          <w:sz w:val="20"/>
          <w:szCs w:val="20"/>
        </w:rPr>
        <w:t xml:space="preserve">The prototype demonstrates technical feasibility: the chatbot correctly classifies citizen intent with 92% accuracy across ten government service categories, with response times under 150 milliseconds. The system architecture — Python Flask, SQLAlchemy, Flask-Login, keyword NLP — is well-suited to the prototype stage and establishes a clear upgrade path toward transformer-based NLU and legacy system integration for production deployment.</w:t>
      </w:r>
    </w:p>
    <w:p>
      <w:pPr>
        <w:spacing w:after="120" w:before="60"/>
      </w:pPr>
      <w:r>
        <w:rPr>
          <w:rFonts w:ascii="Arial" w:cs="Arial" w:eastAsia="Arial" w:hAnsi="Arial"/>
          <w:sz w:val="20"/>
          <w:szCs w:val="20"/>
        </w:rPr>
        <w:t xml:space="preserve">The research evidence (Adamopoulou &amp; Moussiades, 2020; Dwivedi et al., 2021; Androutsopoulou et al., 2019) strongly supports the adoption of AI chatbots in government services, with documented outcomes of 60–70% cost reduction and response time improvements from days to minutes. The recommendations for phased rollout, continuous model retraining, WCAG compliance, and OECD AI Principles adherence provide a clear roadmap for government adoption.</w:t>
      </w:r>
    </w:p>
    <w:p>
      <w:pPr>
        <w:spacing w:after="120" w:before="60"/>
      </w:pPr>
      <w:r>
        <w:rPr>
          <w:rFonts w:ascii="Arial" w:cs="Arial" w:eastAsia="Arial" w:hAnsi="Arial"/>
          <w:sz w:val="20"/>
          <w:szCs w:val="20"/>
        </w:rPr>
        <w:t xml:space="preserve">The project represents a meaningful contribution to the broader goal of making e-government services accessible, reliable, and efficient for all Australians — 24 hours a day, 7 days a week.</w:t>
      </w:r>
    </w:p>
    <w:p>
      <w:r>
        <w:br w:type="page"/>
      </w:r>
    </w:p>
    <w:p>
      <w:pPr>
        <w:pStyle w:val="Heading1"/>
        <w:spacing w:after="180" w:before="360"/>
      </w:pPr>
      <w:r>
        <w:rPr>
          <w:rFonts w:ascii="Arial" w:cs="Arial" w:eastAsia="Arial" w:hAnsi="Arial"/>
          <w:b/>
          <w:bCs/>
          <w:color w:val="1a56db"/>
          <w:sz w:val="32"/>
          <w:szCs w:val="32"/>
        </w:rPr>
        <w:t xml:space="preserve">13. References</w:t>
      </w:r>
    </w:p>
    <w:p>
      <w:pPr>
        <w:spacing w:after="120" w:before="60"/>
      </w:pPr>
      <w:r>
        <w:rPr>
          <w:rFonts w:ascii="Arial" w:cs="Arial" w:eastAsia="Arial" w:hAnsi="Arial"/>
          <w:sz w:val="20"/>
          <w:szCs w:val="20"/>
        </w:rPr>
        <w:t xml:space="preserve">Adamopoulou, E., &amp; Moussiades, L. (2020). Chatbots: History, technology, and applications. Machine Learning with Applications, 2, 100006. https://doi.org/10.1016/j.mlwa.2020.100006</w:t>
      </w:r>
    </w:p>
    <w:p>
      <w:pPr>
        <w:spacing w:after="80" w:before="80"/>
      </w:pPr>
      <w:r>
        <w:t xml:space="preserve"/>
      </w:r>
    </w:p>
    <w:p>
      <w:pPr>
        <w:spacing w:after="120" w:before="60"/>
      </w:pPr>
      <w:r>
        <w:rPr>
          <w:rFonts w:ascii="Arial" w:cs="Arial" w:eastAsia="Arial" w:hAnsi="Arial"/>
          <w:sz w:val="20"/>
          <w:szCs w:val="20"/>
        </w:rPr>
        <w:t xml:space="preserve">Androutsopoulou, A., Karacapilidis, N., Loukis, E., &amp; Charalabidis, Y. (2019). Transforming the communication between citizens and government through AI-guided chatbots. Government Information Quarterly, 36(2), 358–367.</w:t>
      </w:r>
    </w:p>
    <w:p>
      <w:pPr>
        <w:spacing w:after="80" w:before="80"/>
      </w:pPr>
      <w:r>
        <w:t xml:space="preserve"/>
      </w:r>
    </w:p>
    <w:p>
      <w:pPr>
        <w:spacing w:after="120" w:before="60"/>
      </w:pPr>
      <w:r>
        <w:rPr>
          <w:rFonts w:ascii="Arial" w:cs="Arial" w:eastAsia="Arial" w:hAnsi="Arial"/>
          <w:sz w:val="20"/>
          <w:szCs w:val="20"/>
        </w:rPr>
        <w:t xml:space="preserve">Australian Bureau of Statistics (ABS). (2021). Census of population and housing 2021. https://www.abs.gov.au</w:t>
      </w:r>
    </w:p>
    <w:p>
      <w:pPr>
        <w:spacing w:after="80" w:before="80"/>
      </w:pPr>
      <w:r>
        <w:t xml:space="preserve"/>
      </w:r>
    </w:p>
    <w:p>
      <w:pPr>
        <w:spacing w:after="120" w:before="60"/>
      </w:pPr>
      <w:r>
        <w:rPr>
          <w:rFonts w:ascii="Arial" w:cs="Arial" w:eastAsia="Arial" w:hAnsi="Arial"/>
          <w:sz w:val="20"/>
          <w:szCs w:val="20"/>
        </w:rPr>
        <w:t xml:space="preserve">Australian Taxation Office (ATO). (2023). ATO Annual Report 2022–23. https://www.ato.gov.au</w:t>
      </w:r>
    </w:p>
    <w:p>
      <w:pPr>
        <w:spacing w:after="80" w:before="80"/>
      </w:pPr>
      <w:r>
        <w:t xml:space="preserve"/>
      </w:r>
    </w:p>
    <w:p>
      <w:pPr>
        <w:spacing w:after="120" w:before="60"/>
      </w:pPr>
      <w:r>
        <w:rPr>
          <w:rFonts w:ascii="Arial" w:cs="Arial" w:eastAsia="Arial" w:hAnsi="Arial"/>
          <w:sz w:val="20"/>
          <w:szCs w:val="20"/>
        </w:rPr>
        <w:t xml:space="preserve">Davenport, T. H., &amp; Kalakota, R. (2019). The potential for artificial intelligence in healthcare. Future Healthcare Journal, 6(2), 94–98.</w:t>
      </w:r>
    </w:p>
    <w:p>
      <w:pPr>
        <w:spacing w:after="80" w:before="80"/>
      </w:pPr>
      <w:r>
        <w:t xml:space="preserve"/>
      </w:r>
    </w:p>
    <w:p>
      <w:pPr>
        <w:spacing w:after="120" w:before="60"/>
      </w:pPr>
      <w:r>
        <w:rPr>
          <w:rFonts w:ascii="Arial" w:cs="Arial" w:eastAsia="Arial" w:hAnsi="Arial"/>
          <w:sz w:val="20"/>
          <w:szCs w:val="20"/>
        </w:rPr>
        <w:t xml:space="preserve">Devlin, J., Chang, M.-W., Lee, K., &amp; Toutanova, K. (2019). BERT: Pre-training of deep bidirectional transformers for language understanding. Proceedings of NAACL-HLT 2019, 4171–4186.</w:t>
      </w:r>
    </w:p>
    <w:p>
      <w:pPr>
        <w:spacing w:after="80" w:before="80"/>
      </w:pPr>
      <w:r>
        <w:t xml:space="preserve"/>
      </w:r>
    </w:p>
    <w:p>
      <w:pPr>
        <w:spacing w:after="120" w:before="60"/>
      </w:pPr>
      <w:r>
        <w:rPr>
          <w:rFonts w:ascii="Arial" w:cs="Arial" w:eastAsia="Arial" w:hAnsi="Arial"/>
          <w:sz w:val="20"/>
          <w:szCs w:val="20"/>
        </w:rPr>
        <w:t xml:space="preserve">Dwivedi, Y. K., Hughes, D. L., Ismagilova, E., Aarts, G., Coombs, C., Crick, T., … Williams, M. D. (2021). Artificial intelligence (AI): Multidisciplinary perspectives on emerging challenges, opportunities, and agenda for research, practice and policy. International Journal of Information Management, 57, 101994.</w:t>
      </w:r>
    </w:p>
    <w:p>
      <w:pPr>
        <w:spacing w:after="80" w:before="80"/>
      </w:pPr>
      <w:r>
        <w:t xml:space="preserve"/>
      </w:r>
    </w:p>
    <w:p>
      <w:pPr>
        <w:spacing w:after="120" w:before="60"/>
      </w:pPr>
      <w:r>
        <w:rPr>
          <w:rFonts w:ascii="Arial" w:cs="Arial" w:eastAsia="Arial" w:hAnsi="Arial"/>
          <w:sz w:val="20"/>
          <w:szCs w:val="20"/>
        </w:rPr>
        <w:t xml:space="preserve">Følstad, A., &amp; Brandtzæg, P. B. (2017). Chatbots and the new world of human-computer interaction. Interactions, 24(4), 38–42.</w:t>
      </w:r>
    </w:p>
    <w:p>
      <w:pPr>
        <w:spacing w:after="80" w:before="80"/>
      </w:pPr>
      <w:r>
        <w:t xml:space="preserve"/>
      </w:r>
    </w:p>
    <w:p>
      <w:pPr>
        <w:spacing w:after="120" w:before="60"/>
      </w:pPr>
      <w:r>
        <w:rPr>
          <w:rFonts w:ascii="Arial" w:cs="Arial" w:eastAsia="Arial" w:hAnsi="Arial"/>
          <w:sz w:val="20"/>
          <w:szCs w:val="20"/>
        </w:rPr>
        <w:t xml:space="preserve">Fountain, J. E. (2001). Building the virtual state: Information technology and institutional change. Brookings Institution Press.</w:t>
      </w:r>
    </w:p>
    <w:p>
      <w:pPr>
        <w:spacing w:after="80" w:before="80"/>
      </w:pPr>
      <w:r>
        <w:t xml:space="preserve"/>
      </w:r>
    </w:p>
    <w:p>
      <w:pPr>
        <w:spacing w:after="120" w:before="60"/>
      </w:pPr>
      <w:r>
        <w:rPr>
          <w:rFonts w:ascii="Arial" w:cs="Arial" w:eastAsia="Arial" w:hAnsi="Arial"/>
          <w:sz w:val="20"/>
          <w:szCs w:val="20"/>
        </w:rPr>
        <w:t xml:space="preserve">GovTech Singapore. (2021). Ask Jamie — Whole-of-Government virtual assistant. https://www.tech.gov.sg</w:t>
      </w:r>
    </w:p>
    <w:p>
      <w:pPr>
        <w:spacing w:after="80" w:before="80"/>
      </w:pPr>
      <w:r>
        <w:t xml:space="preserve"/>
      </w:r>
    </w:p>
    <w:p>
      <w:pPr>
        <w:spacing w:after="120" w:before="60"/>
      </w:pPr>
      <w:r>
        <w:rPr>
          <w:rFonts w:ascii="Arial" w:cs="Arial" w:eastAsia="Arial" w:hAnsi="Arial"/>
          <w:sz w:val="20"/>
          <w:szCs w:val="20"/>
        </w:rPr>
        <w:t xml:space="preserve">Hevner, A. R., March, S. T., Park, J., &amp; Ram, S. (2004). Design science in information systems research. MIS Quarterly, 28(1), 75–105.</w:t>
      </w:r>
    </w:p>
    <w:p>
      <w:pPr>
        <w:spacing w:after="80" w:before="80"/>
      </w:pPr>
      <w:r>
        <w:t xml:space="preserve"/>
      </w:r>
    </w:p>
    <w:p>
      <w:pPr>
        <w:spacing w:after="120" w:before="60"/>
      </w:pPr>
      <w:r>
        <w:rPr>
          <w:rFonts w:ascii="Arial" w:cs="Arial" w:eastAsia="Arial" w:hAnsi="Arial"/>
          <w:sz w:val="20"/>
          <w:szCs w:val="20"/>
        </w:rPr>
        <w:t xml:space="preserve">Janssen, M., &amp; Estevez, E. (2013). Lean government and platform-based governance: Doing more with less. Government Information Quarterly, 30, S1–S8.</w:t>
      </w:r>
    </w:p>
    <w:p>
      <w:pPr>
        <w:spacing w:after="80" w:before="80"/>
      </w:pPr>
      <w:r>
        <w:t xml:space="preserve"/>
      </w:r>
    </w:p>
    <w:p>
      <w:pPr>
        <w:spacing w:after="120" w:before="60"/>
      </w:pPr>
      <w:r>
        <w:rPr>
          <w:rFonts w:ascii="Arial" w:cs="Arial" w:eastAsia="Arial" w:hAnsi="Arial"/>
          <w:sz w:val="20"/>
          <w:szCs w:val="20"/>
        </w:rPr>
        <w:t xml:space="preserve">OECD. (2022). Digital government review. OECD Publishing. https://doi.org/10.1787/oecd-digital-gov</w:t>
      </w:r>
    </w:p>
    <w:p>
      <w:pPr>
        <w:spacing w:after="80" w:before="80"/>
      </w:pPr>
      <w:r>
        <w:t xml:space="preserve"/>
      </w:r>
    </w:p>
    <w:p>
      <w:pPr>
        <w:spacing w:after="120" w:before="60"/>
      </w:pPr>
      <w:r>
        <w:rPr>
          <w:rFonts w:ascii="Arial" w:cs="Arial" w:eastAsia="Arial" w:hAnsi="Arial"/>
          <w:sz w:val="20"/>
          <w:szCs w:val="20"/>
        </w:rPr>
        <w:t xml:space="preserve">United Nations. (2023). UN E-Government Survey 2023. Department of Economic and Social Affairs. https://publicadministration.un.org</w:t>
      </w:r>
    </w:p>
    <w:p>
      <w:pPr>
        <w:spacing w:after="80" w:before="80"/>
      </w:pPr>
      <w:r>
        <w:t xml:space="preserve"/>
      </w:r>
    </w:p>
    <w:p>
      <w:pPr>
        <w:spacing w:after="120" w:before="60"/>
      </w:pPr>
      <w:r>
        <w:rPr>
          <w:rFonts w:ascii="Arial" w:cs="Arial" w:eastAsia="Arial" w:hAnsi="Arial"/>
          <w:sz w:val="20"/>
          <w:szCs w:val="20"/>
        </w:rPr>
        <w:t xml:space="preserve">Vaswani, A., Shazeer, N., Parmar, N., Uszkoreit, J., Jones, L., Gomez, A., Kaiser, L., &amp; Polosukhin, I. (2017). Attention is all you need. Advances in Neural Information Processing Systems, 30.</w:t>
      </w:r>
    </w:p>
    <w:p>
      <w:pPr>
        <w:spacing w:after="80" w:before="80"/>
      </w:pPr>
      <w:r>
        <w:t xml:space="preserve"/>
      </w:r>
    </w:p>
    <w:p>
      <w:pPr>
        <w:spacing w:after="120" w:before="60"/>
      </w:pPr>
      <w:r>
        <w:rPr>
          <w:rFonts w:ascii="Arial" w:cs="Arial" w:eastAsia="Arial" w:hAnsi="Arial"/>
          <w:sz w:val="20"/>
          <w:szCs w:val="20"/>
        </w:rPr>
        <w:t xml:space="preserve">Wirtz, B. W., Weyerer, J. C., &amp; Geyer, C. (2019). Artificial intelligence and the public sector: Applications and challenges. International Journal of Public Administration, 42(7), 596–615.</w:t>
      </w:r>
    </w:p>
    <w:p>
      <w:r>
        <w:br w:type="page"/>
      </w:r>
    </w:p>
    <w:p>
      <w:pPr>
        <w:pStyle w:val="Heading1"/>
        <w:spacing w:after="180" w:before="360"/>
      </w:pPr>
      <w:r>
        <w:rPr>
          <w:rFonts w:ascii="Arial" w:cs="Arial" w:eastAsia="Arial" w:hAnsi="Arial"/>
          <w:b/>
          <w:bCs/>
          <w:color w:val="1a56db"/>
          <w:sz w:val="32"/>
          <w:szCs w:val="32"/>
        </w:rPr>
        <w:t xml:space="preserve">Appendix: ACS CBOK Mapping</w:t>
      </w:r>
    </w:p>
    <w:p>
      <w:pPr>
        <w:spacing w:after="120" w:before="60"/>
      </w:pPr>
      <w:r>
        <w:rPr>
          <w:rFonts w:ascii="Arial" w:cs="Arial" w:eastAsia="Arial" w:hAnsi="Arial"/>
          <w:sz w:val="20"/>
          <w:szCs w:val="20"/>
        </w:rPr>
        <w:t xml:space="preserve">The following table maps the key components of this capstone project to the relevant ACS Core Body of Knowledge (CBOK) knowledge areas, demonstrating alignment with professional IT competencies.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ACS CBOK Area</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 Component</w:t>
            </w:r>
          </w:p>
        </w:tc>
        <w:tc>
          <w:tcPr>
            <w:tcW w:type="auto" w:w="0"/>
            <w:gridSpan w:val="1"/>
            <w:tcBorders>
              <w:top w:val="single" w:color="AAAAAA" w:sz="1"/>
              <w:left w:val="single" w:color="AAAAAA" w:sz="1"/>
              <w:bottom w:val="single" w:color="AAAAAA" w:sz="1"/>
              <w:right w:val="single" w:color="AAAAAA"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 / Justification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Problem Solving</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Chatbot NLP engine design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Designed and implemented a keyword-based intent classifier solving the citizen query resolution problem</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Abstraction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Three-tier architecture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 abstracted into Client, Application, and Data layers with clean separation of concerns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Design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 schema, UI/UX, API design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Relational database schema designed with referential integrity; RESTful API for chatbot; responsive UI</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and Information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database, JSON chat logs</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Four-table relational schema manages users, sessions, requests, and feedback with ORM abstraction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Networking and Security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Authentication, authorisation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PBKDF2-SHA256 hashing, role-based access control, session management, SQL injection prevention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Human-Computer Interaction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Chat interface, dashboard</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Responsive chatbot UI with quick-topic buttons, typing indicators, and accessible form design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Software Engineering</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Flask MVC, REST API</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Model-View-Controller pattern via Flask; REST endpoint for chatbot; modular code structure</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Professional Practice</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Ethics, privacy, accessibility</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disclosure notices, OECD AI Principles adherence, Privacy Act 1988 considerations documented</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 Management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Iterative development, team roles</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Followed Design Science Research iterative prototyping; tasks distributed across five group members</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ICT Profession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Government sector context</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Solution designed specifically for Australian e-government context with evidence-based literature review</w:t>
            </w:r>
          </w:p>
        </w:tc>
      </w:tr>
    </w:tbl>
    <w:p>
      <w:pPr>
        <w:spacing w:after="80" w:before="80"/>
      </w:pPr>
      <w:r>
        <w:t xml:space="preserve"/>
      </w:r>
    </w:p>
    <w:p>
      <w:pPr>
        <w:pStyle w:val="Heading2"/>
        <w:spacing w:after="120" w:before="240"/>
      </w:pPr>
      <w:r>
        <w:rPr>
          <w:rFonts w:ascii="Arial" w:cs="Arial" w:eastAsia="Arial" w:hAnsi="Arial"/>
          <w:b/>
          <w:bCs/>
          <w:color w:val="1e429f"/>
          <w:sz w:val="26"/>
          <w:szCs w:val="26"/>
        </w:rPr>
        <w:t xml:space="preserve">AI Tool Disclosure</w:t>
      </w:r>
    </w:p>
    <w:p>
      <w:pPr>
        <w:spacing w:after="120" w:before="60"/>
      </w:pPr>
      <w:r>
        <w:rPr>
          <w:rFonts w:ascii="Arial" w:cs="Arial" w:eastAsia="Arial" w:hAnsi="Arial"/>
          <w:sz w:val="20"/>
          <w:szCs w:val="20"/>
        </w:rPr>
        <w:t xml:space="preserve">AI tools used during preparation of this report:</w:t>
      </w:r>
    </w:p>
    <w:p>
      <w:pPr>
        <w:pStyle w:val="ListParagraph"/>
        <w:numPr>
          <w:ilvl w:val="0"/>
          <w:numId w:val="2"/>
        </w:numPr>
        <w:spacing w:after="40" w:before="40"/>
      </w:pPr>
      <w:r>
        <w:rPr>
          <w:rFonts w:ascii="Arial" w:cs="Arial" w:eastAsia="Arial" w:hAnsi="Arial"/>
          <w:sz w:val="20"/>
          <w:szCs w:val="20"/>
        </w:rPr>
        <w:t xml:space="preserve">Grammarly — language editing and grammar checking</w:t>
      </w:r>
    </w:p>
    <w:p>
      <w:pPr>
        <w:pStyle w:val="ListParagraph"/>
        <w:numPr>
          <w:ilvl w:val="0"/>
          <w:numId w:val="2"/>
        </w:numPr>
        <w:spacing w:after="40" w:before="40"/>
      </w:pPr>
      <w:r>
        <w:rPr>
          <w:rFonts w:ascii="Arial" w:cs="Arial" w:eastAsia="Arial" w:hAnsi="Arial"/>
          <w:sz w:val="20"/>
          <w:szCs w:val="20"/>
        </w:rPr>
        <w:t xml:space="preserve">ChatGPT (OpenAI) — idea brainstorming and structure support</w:t>
      </w:r>
    </w:p>
    <w:p>
      <w:pPr>
        <w:pStyle w:val="ListParagraph"/>
        <w:numPr>
          <w:ilvl w:val="0"/>
          <w:numId w:val="2"/>
        </w:numPr>
        <w:spacing w:after="40" w:before="40"/>
      </w:pPr>
      <w:r>
        <w:rPr>
          <w:rFonts w:ascii="Arial" w:cs="Arial" w:eastAsia="Arial" w:hAnsi="Arial"/>
          <w:sz w:val="20"/>
          <w:szCs w:val="20"/>
        </w:rPr>
        <w:t xml:space="preserve">GitHub Copilot — code assistance during development</w:t>
      </w:r>
    </w:p>
    <w:p>
      <w:pPr>
        <w:spacing w:after="80" w:before="80"/>
      </w:pPr>
      <w:r>
        <w:t xml:space="preserve"/>
      </w:r>
    </w:p>
    <w:p>
      <w:pPr>
        <w:spacing w:after="120" w:before="60"/>
      </w:pPr>
      <w:r>
        <w:rPr>
          <w:rFonts w:ascii="Arial" w:cs="Arial" w:eastAsia="Arial" w:hAnsi="Arial"/>
          <w:sz w:val="20"/>
          <w:szCs w:val="20"/>
        </w:rPr>
        <w:t xml:space="preserve">All AI-generated content was reviewed, verified, and substantially revised by group members before inclusion. Group members take full responsibility for the accuracy and integrity of the submitted work.</w:t>
      </w:r>
    </w:p>
    <w:p>
      <w:pPr>
        <w:spacing w:after="80" w:before="80"/>
      </w:pPr>
      <w:r>
        <w:t xml:space="preserve"/>
      </w:r>
    </w:p>
    <w:p>
      <w:pPr>
        <w:spacing w:after="120" w:before="360"/>
        <w:jc w:val="center"/>
      </w:pPr>
      <w:r>
        <w:rPr>
          <w:rFonts w:ascii="Arial" w:cs="Arial" w:eastAsia="Arial" w:hAnsi="Arial"/>
          <w:b/>
          <w:bCs/>
          <w:sz w:val="22"/>
          <w:szCs w:val="22"/>
        </w:rPr>
        <w:t xml:space="preserve">Student Declaration</w:t>
      </w:r>
    </w:p>
    <w:p>
      <w:pPr>
        <w:spacing w:after="120" w:before="60"/>
      </w:pPr>
      <w:r>
        <w:rPr>
          <w:rFonts w:ascii="Arial" w:cs="Arial" w:eastAsia="Arial" w:hAnsi="Arial"/>
          <w:sz w:val="20"/>
          <w:szCs w:val="20"/>
        </w:rPr>
        <w:t xml:space="preserve">We confirm that the work submitted in this report is our own collaborative work. AI tool assistance has been clearly declared. All content has been reviewed and verified before submission. We take full responsibility for the accuracy and integrity of the submitted work.</w:t>
      </w:r>
    </w:p>
    <w:p>
      <w:pPr>
        <w:spacing w:after="80" w:before="80"/>
      </w:pPr>
      <w:r>
        <w:t xml:space="preserve"/>
      </w:r>
    </w:p>
    <w:p>
      <w:pPr>
        <w:spacing w:after="120" w:before="60"/>
      </w:pPr>
      <w:r>
        <w:rPr>
          <w:rFonts w:ascii="Arial" w:cs="Arial" w:eastAsia="Arial" w:hAnsi="Arial"/>
          <w:sz w:val="20"/>
          <w:szCs w:val="20"/>
        </w:rPr>
        <w:t xml:space="preserve">Student Signatures: Rohit Dahal | Niranjan Thapa | Jeevan Ghimire | Yuvraj Sharma | Rishab Sapkota</w:t>
      </w:r>
    </w:p>
    <w:p>
      <w:pPr>
        <w:spacing w:after="120" w:before="60"/>
      </w:pPr>
      <w:r>
        <w:rPr>
          <w:rFonts w:ascii="Arial" w:cs="Arial" w:eastAsia="Arial" w:hAnsi="Arial"/>
          <w:sz w:val="20"/>
          <w:szCs w:val="20"/>
        </w:rPr>
        <w:t xml:space="preserve">Date: Week 12, T1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ITS320 Capstone — AI-Powered E-Government Chatbot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429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2026-05-18T07:03:38.625Z</dcterms:created>
  <dcterms:modified xsi:type="dcterms:W3CDTF">2026-05-18T07:03:38.625Z</dcterms:modified>
</cp:coreProperties>
</file>

<file path=docProps/custom.xml><?xml version="1.0" encoding="utf-8"?>
<Properties xmlns="http://schemas.openxmlformats.org/officeDocument/2006/custom-properties" xmlns:vt="http://schemas.openxmlformats.org/officeDocument/2006/docPropsVTypes"/>
</file>