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Executive Summary</w:t>
      </w: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Developer portals 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Hoover, Fuse, and Jarvis 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are getting consolidated 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into a single, enterprise-grade Internal Developer Portal (IDP) built on Harness. This initiative delivers measurable cost reduction, eliminates React application maintenance overhead, accelerates developer self-service, and positions the organization for a sustained improvement in engineering velocity.</w:t>
      </w: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transition is already underway. Use Case 1 (repository automation) is 100% live. Use Case 2 (Kubernetes namespace onboarding) is live in P-2, with P-1 and Production cut-overs planned for Q3 2026.</w:t>
      </w: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Strategic Context &amp; Business Case</w:t>
      </w:r>
    </w:p>
    <w:p>
      <w:pPr>
        <w:pStyle w:val="Heading 2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Why Consolidate Now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Three separate React web applications (Hoover, Fuse, Jarvis) require independent maintenance cycles, security patching, and dedicated front-end engineering headcount.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Self-service capabilities are scattered across portals, creating friction, inconsistent experiences, and support load for platform teams.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Significant API and pipeline investment already made across these portals is underutilised </w:t>
      </w:r>
      <w:r>
        <w:rPr>
          <w:rFonts w:ascii="Calibri" w:hAnsi="Calibri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locked to individual products rather than shared across workflows.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React-specific CVE exposure grows each year; the dependency management burden across three codebases is unsustainable at current scale.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Financial &amp; Resource Impact</w:t>
      </w:r>
    </w:p>
    <w:p>
      <w:pPr>
        <w:pStyle w:val="Heading 2"/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consolidation into IDP directly frees three React engineers currently dedicated to maintaining the UX layer of Hoover, Fuse, and Jarvis. These engineers can be redeployed to higher-value initiatives.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Key financial drivers: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React UI development and hosting costs eliminated for all three portals.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All existing API and pipeline investments are carried forward </w:t>
      </w:r>
      <w:r>
        <w:rPr>
          <w:rFonts w:ascii="Calibri" w:hAnsi="Calibri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no sunk cost. Every integration built to date is reused and composable within IDP workflows.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Self-service team is restructured as 100% full-stack, automation-first </w:t>
      </w:r>
      <w:r>
        <w:rPr>
          <w:rFonts w:ascii="Calibri" w:hAnsi="Calibri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no React engineering dependency going forward. Features are delivered as Harness workflows and pipelines, validated once, then promoted to account-level production automatically.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Vulnerability management overhead eliminated: React app surface area is removed. New capabilities ship as YAML-defined workflows, not maintained web applications.</w:t>
      </w:r>
    </w:p>
    <w:p>
      <w:pPr>
        <w:pStyle w:val="List Paragraph"/>
        <w:spacing w:before="60" w:after="60"/>
      </w:pP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Impact at a Glance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Impact Area</w:t>
            </w:r>
          </w:p>
        </w:tc>
        <w:tc>
          <w:tcPr>
            <w:tcW w:type="dxa" w:w="31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Before IDP</w:t>
            </w:r>
          </w:p>
        </w:tc>
        <w:tc>
          <w:tcPr>
            <w:tcW w:type="dxa" w:w="31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After IDP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Developer Portals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3 separate portals (Hoover, Fuse, Jarvis)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1 unified IDP platform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nl-NL"/>
                <w14:textFill>
                  <w14:solidFill>
                    <w14:srgbClr w14:val="1B5E37"/>
                  </w14:solidFill>
                </w14:textFill>
              </w:rPr>
              <w:t>Frontend Engineering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3 dedicated React engineers per portal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 xml:space="preserve">0 React engineers required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freed for redeployment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Self-Service Team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Mixed skills, no dedicated React ownership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100% full-stack, automation-first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Vulnerability Surface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React app CVEs, dependency management per portal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 xml:space="preserve">Eliminated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workflows run in pipeline/account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Onboarding Time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Manual, multi-system touchpoints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~5 min (existing AD) / ~35 min (new AD group)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Developer Experience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 xml:space="preserve">Fragmented </w:t>
            </w:r>
            <w:r>
              <w:rPr>
                <w:rFonts w:ascii="Calibri" w:hAnsi="Calibri" w:hint="default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3+ tools for daily tasks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nl-NL"/>
                <w14:textFill>
                  <w14:solidFill>
                    <w14:srgbClr w14:val="2D7D4F"/>
                  </w14:solidFill>
                </w14:textFill>
              </w:rPr>
              <w:t xml:space="preserve">Single front door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all capabilities in one catalog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API &amp; Pipeline Investment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nl-NL"/>
                <w14:textFill>
                  <w14:solidFill>
                    <w14:srgbClr w14:val="555555"/>
                  </w14:solidFill>
                </w14:textFill>
              </w:rPr>
              <w:t>Platform-specific, siloed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Fully reused and composable across IDP workflows</w:t>
            </w:r>
          </w:p>
        </w:tc>
      </w:tr>
    </w:tbl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The Developer Experience: A Single Front Door</w:t>
      </w: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Post-consolidation, every developer at Citizens accesses all platform capabilities from one place 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IDP software catalog. The eight core capabilities below represent the full developer workflow, end-to-end, without switching tools or portals.</w:t>
      </w: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20"/>
        <w:gridCol w:w="2200"/>
        <w:gridCol w:w="644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7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220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Capability</w:t>
            </w:r>
          </w:p>
        </w:tc>
        <w:tc>
          <w:tcPr>
            <w:tcW w:type="dxa" w:w="644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the Developer Can Do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Create Repository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Self-service repo creation in 5</w:t>
            </w:r>
            <w:r>
              <w:rPr>
                <w:rFonts w:ascii="Calibri" w:hAnsi="Calibri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35 min via IDP workflow. App Key auto-populated from CMDB SYS ID </w:t>
            </w:r>
            <w:r>
              <w:rPr>
                <w:rFonts w:ascii="Calibri" w:hAnsi="Calibri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no manual entry.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2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pt-PT"/>
                <w14:textFill>
                  <w14:solidFill>
                    <w14:srgbClr w14:val="1B5E37"/>
                  </w14:solidFill>
                </w14:textFill>
              </w:rPr>
              <w:t>Push Code (CI/CD)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CI/CD tab in the software catalog surfaces pipeline status, last build results, and deployment history in a single view.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3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Security Scanning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SonarQube and Wiz tabs in the catalog expose vulnerability findings and security scores without leaving the portal.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4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Kubernetes Onboarding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Self-service K8s namespace onboarding in 5</w:t>
            </w:r>
            <w:r>
              <w:rPr>
                <w:rFonts w:ascii="Calibri" w:hAnsi="Calibri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25 min. 10-stage automated pipeline covering AD groups, GitHub Teams, Vault, and Jenkins.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Check Deployments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Kubernetes tab shows live pod health, replica status, and resource utilisation across environments </w:t>
            </w:r>
            <w:r>
              <w:rPr>
                <w:rFonts w:ascii="Calibri" w:hAnsi="Calibri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no kubectl access required.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6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Observability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Telemetry tab surfaces metrics, logs, and trace data directly in the catalog page for every service the developer owns.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7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Blast Radius Analysis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Dedicated catalog YAML surfaces upstream/downstream service dependencies and Tier-1/2/3 criticality at a glance.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8</w:t>
            </w:r>
          </w:p>
        </w:tc>
        <w:tc>
          <w:tcPr>
            <w:tcW w:type="dxa" w:w="220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20"/>
                <w:szCs w:val="20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Productivity Gains</w:t>
            </w:r>
          </w:p>
        </w:tc>
        <w:tc>
          <w:tcPr>
            <w:tcW w:type="dxa" w:w="644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All capabilities accessible from a single front door. Estimated ~900 help-desk pings eliminated per year once TechDocs is live.</w:t>
            </w:r>
          </w:p>
        </w:tc>
      </w:tr>
    </w:tbl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Operating Model Shift</w:t>
      </w:r>
    </w:p>
    <w:p>
      <w:pPr>
        <w:pStyle w:val="Heading 2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From Applications to Workflows</w:t>
      </w:r>
    </w:p>
    <w:p>
      <w:pPr>
        <w:pStyle w:val="Heading 2"/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most significant structural change is the shift from maintaining web applications to shipping platform capabilities as automated workflows. This has three direct consequences: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No React CVE exposure. The IDP UI is a Harness-managed SaaS layer. Platform engineering does not own or patch it.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Feature velocity increases. New self-service capabilities are built as Harness workflow YAML and Backstage catalog configurations </w:t>
      </w:r>
      <w:r>
        <w:rPr>
          <w:rFonts w:ascii="Calibri" w:hAnsi="Calibri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not React components requiring sprint cycles, QA, and deployment pipelines of their own.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Auditability and compliance improve. Every developer action is a workflow execution with a full audit trail, directly aligned with Citizens' change management and regulatory requirements.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Team Composition Going Forward</w:t>
      </w:r>
    </w:p>
    <w:p>
      <w:pPr>
        <w:pStyle w:val="Heading 2"/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Platform Engineering self-service team will operate with the following profile: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Full-stack engineers focused on pipeline automation, Harness workflow development, and ServiceNow / CMDB integration.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Zero React engineers required on the self-service team. React skills freed from Hoover, Fuse, and Jarvis maintenance can be redeployed to product teams.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Catalog seeding and CMDB-driven automation work continues to scale </w:t>
      </w:r>
      <w:r>
        <w:rPr>
          <w:rFonts w:ascii="Calibri" w:hAnsi="Calibri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Phase 1 bulk injection targeting 200+ repositories is underway.</w:t>
      </w:r>
    </w:p>
    <w:p>
      <w:pPr>
        <w:pStyle w:val="List Paragraph"/>
        <w:spacing w:before="60" w:after="60"/>
      </w:pPr>
    </w:p>
    <w:p>
      <w:pPr>
        <w:pStyle w:val="Heading"/>
        <w:pBdr>
          <w:top w:val="nil"/>
          <w:left w:val="nil"/>
          <w:bottom w:val="single" w:color="5ba872" w:sz="6" w:space="0" w:shadow="0" w:frame="0"/>
          <w:right w:val="nil"/>
        </w:pBdr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Risks &amp; Mitigations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Risk</w:t>
            </w:r>
          </w:p>
        </w:tc>
        <w:tc>
          <w:tcPr>
            <w:tcW w:type="dxa" w:w="31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Likelihood</w:t>
            </w:r>
          </w:p>
        </w:tc>
        <w:tc>
          <w:tcPr>
            <w:tcW w:type="dxa" w:w="3120"/>
            <w:tcBorders>
              <w:top w:val="single" w:color="1b5e37" w:sz="1" w:space="0" w:shadow="0" w:frame="0"/>
              <w:left w:val="single" w:color="1b5e37" w:sz="1" w:space="0" w:shadow="0" w:frame="0"/>
              <w:bottom w:val="single" w:color="c8e6d0" w:sz="1" w:space="0" w:shadow="0" w:frame="0"/>
              <w:right w:val="single" w:color="1b5e37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Mitigation</w:t>
            </w:r>
          </w:p>
        </w:tc>
      </w:tr>
      <w:tr>
        <w:tblPrEx>
          <w:shd w:val="clear" w:color="auto" w:fill="ced7e7"/>
        </w:tblPrEx>
        <w:trPr>
          <w:trHeight w:val="1131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Portal adoption resistance from developers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b45309"/>
                <w:sz w:val="20"/>
                <w:szCs w:val="20"/>
                <w:u w:color="b45309"/>
                <w:shd w:val="nil" w:color="auto" w:fill="auto"/>
                <w:rtl w:val="0"/>
                <w:lang w:val="en-US"/>
                <w14:textFill>
                  <w14:solidFill>
                    <w14:srgbClr w14:val="B45309"/>
                  </w14:solidFill>
                </w14:textFill>
              </w:rPr>
              <w:t>Medium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Phased cut-over; legacy portals remain read-only during transition period. Developer comms and IDP onboarding sessions planned.</w:t>
            </w:r>
          </w:p>
        </w:tc>
      </w:tr>
      <w:tr>
        <w:tblPrEx>
          <w:shd w:val="clear" w:color="auto" w:fill="ced7e7"/>
        </w:tblPrEx>
        <w:trPr>
          <w:trHeight w:val="1131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Feature parity gaps at go-live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2d7d4f"/>
                <w:sz w:val="20"/>
                <w:szCs w:val="20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Low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Feature inventory mapped against Hoover, Fuse, and Jarvis. All critical paths covered by existing IDP workflows.</w:t>
            </w:r>
          </w:p>
        </w:tc>
      </w:tr>
      <w:tr>
        <w:tblPrEx>
          <w:shd w:val="clear" w:color="auto" w:fill="ced7e7"/>
        </w:tblPrEx>
        <w:trPr>
          <w:trHeight w:val="828" w:hRule="atLeast"/>
        </w:trPr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CMDB data quality affecting catalog seeding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b45309"/>
                <w:sz w:val="20"/>
                <w:szCs w:val="20"/>
                <w:u w:color="b45309"/>
                <w:shd w:val="nil" w:color="auto" w:fill="auto"/>
                <w:rtl w:val="0"/>
                <w:lang w:val="en-US"/>
                <w14:textFill>
                  <w14:solidFill>
                    <w14:srgbClr w14:val="B45309"/>
                  </w14:solidFill>
                </w14:textFill>
              </w:rPr>
              <w:t>Medium</w:t>
            </w:r>
          </w:p>
        </w:tc>
        <w:tc>
          <w:tcPr>
            <w:tcW w:type="dxa" w:w="3120"/>
            <w:tcBorders>
              <w:top w:val="single" w:color="c8e6d0" w:sz="1" w:space="0" w:shadow="0" w:frame="0"/>
              <w:left w:val="single" w:color="c8e6d0" w:sz="1" w:space="0" w:shadow="0" w:frame="0"/>
              <w:bottom w:val="single" w:color="c8e6d0" w:sz="1" w:space="0" w:shadow="0" w:frame="0"/>
              <w:right w:val="single" w:color="c8e6d0" w:sz="1" w:space="0" w:shadow="0" w:frame="0"/>
            </w:tcBorders>
            <w:shd w:val="clear" w:color="auto" w:fill="f0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Calibri" w:hAnsi="Calibri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Bulk injection validation gates in place; manual review triggered for repos with missing CMDB metadata.</w:t>
            </w:r>
          </w:p>
        </w:tc>
      </w:tr>
    </w:tbl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List Paragraph"/>
        <w:spacing w:before="60" w:after="60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90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outline w:val="0"/>
                <w:color w:val="1b5e37"/>
                <w:sz w:val="24"/>
                <w:szCs w:val="24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 xml:space="preserve">This initiative is not a tooling change </w:t>
            </w:r>
            <w:r>
              <w:rPr>
                <w:rFonts w:ascii="Calibri" w:hAnsi="Calibri" w:hint="default"/>
                <w:b w:val="1"/>
                <w:bCs w:val="1"/>
                <w:i w:val="1"/>
                <w:iCs w:val="1"/>
                <w:outline w:val="0"/>
                <w:color w:val="1b5e37"/>
                <w:sz w:val="24"/>
                <w:szCs w:val="24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outline w:val="0"/>
                <w:color w:val="1b5e37"/>
                <w:sz w:val="24"/>
                <w:szCs w:val="24"/>
                <w:u w:color="1b5e37"/>
                <w:shd w:val="nil" w:color="auto" w:fill="auto"/>
                <w:rtl w:val="0"/>
                <w:lang w:val="en-US"/>
                <w14:textFill>
                  <w14:solidFill>
                    <w14:srgbClr w14:val="1B5E37"/>
                  </w14:solidFill>
                </w14:textFill>
              </w:rPr>
              <w:t>it is a fundamental shift in how  engineers ship software.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d7d4f"/>
                <w:sz w:val="22"/>
                <w:szCs w:val="22"/>
                <w:u w:color="2d7d4f"/>
                <w:shd w:val="nil" w:color="auto" w:fill="auto"/>
                <w:rtl w:val="0"/>
                <w:lang w:val="en-US"/>
                <w14:textFill>
                  <w14:solidFill>
                    <w14:srgbClr w14:val="2D7D4F"/>
                  </w14:solidFill>
                </w14:textFill>
              </w:rPr>
              <w:t>One platform. One workflow. One front door. For every developer in the organization.</w:t>
            </w:r>
          </w:p>
        </w:tc>
      </w:tr>
    </w:tbl>
    <w:p>
      <w:pPr>
        <w:pStyle w:val="List Paragraph"/>
        <w:widowControl w:val="0"/>
        <w:spacing w:before="60" w:after="60"/>
        <w:ind w:left="108" w:hanging="108"/>
      </w:pPr>
      <w:r/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ba872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5e37"/>
      <w:spacing w:val="0"/>
      <w:kern w:val="0"/>
      <w:position w:val="0"/>
      <w:sz w:val="28"/>
      <w:szCs w:val="28"/>
      <w:u w:val="none" w:color="1b5e37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B5E37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d7d4f"/>
      <w:spacing w:val="0"/>
      <w:kern w:val="0"/>
      <w:position w:val="0"/>
      <w:sz w:val="24"/>
      <w:szCs w:val="24"/>
      <w:u w:val="none" w:color="2d7d4f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D7D4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