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pPr>
      <w:r>
        <w:rPr>
          <w:rFonts w:ascii="Arial" w:cs="Arial" w:eastAsia="Arial" w:hAnsi="Arial"/>
          <w:b/>
          <w:bCs/>
          <w:caps/>
          <w:color w:val="2E5FA3"/>
          <w:sz w:val="20"/>
          <w:szCs w:val="20"/>
        </w:rPr>
        <w:t xml:space="preserve">Personal Research</w:t>
      </w:r>
    </w:p>
    <w:p>
      <w:pPr>
        <w:spacing w:after="80" w:before="0"/>
      </w:pPr>
      <w:r>
        <w:rPr>
          <w:rFonts w:ascii="Arial" w:cs="Arial" w:eastAsia="Arial" w:hAnsi="Arial"/>
          <w:b/>
          <w:bCs/>
          <w:color w:val="1B2A4A"/>
          <w:sz w:val="44"/>
          <w:szCs w:val="44"/>
        </w:rPr>
        <w:t xml:space="preserve">Ephemeral Environment Platform</w:t>
      </w:r>
    </w:p>
    <w:p>
      <w:pPr>
        <w:spacing w:after="60" w:before="0"/>
      </w:pPr>
      <w:r>
        <w:rPr>
          <w:rFonts w:ascii="Arial" w:cs="Arial" w:eastAsia="Arial" w:hAnsi="Arial"/>
          <w:color w:val="2E5FA3"/>
          <w:sz w:val="28"/>
          <w:szCs w:val="28"/>
        </w:rPr>
        <w:t xml:space="preserve">Architecture Overview</w:t>
      </w:r>
    </w:p>
    <w:p>
      <w:pPr>
        <w:spacing w:after="240" w:before="0"/>
      </w:pPr>
      <w:r>
        <w:rPr>
          <w:rFonts w:ascii="Arial" w:cs="Arial" w:eastAsia="Arial" w:hAnsi="Arial"/>
          <w:color w:val="5A6472"/>
          <w:sz w:val="20"/>
          <w:szCs w:val="20"/>
        </w:rPr>
        <w:t xml:space="preserve">April 2026  •  Personal Research</w:t>
      </w: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The Problem</w:t>
      </w:r>
    </w:p>
    <w:p>
      <w:pPr>
        <w:spacing w:after="80" w:before="60"/>
      </w:pPr>
      <w:r>
        <w:rPr>
          <w:rFonts w:ascii="Arial" w:cs="Arial" w:eastAsia="Arial" w:hAnsi="Arial"/>
          <w:color w:val="2B3340"/>
          <w:sz w:val="22"/>
          <w:szCs w:val="22"/>
        </w:rPr>
        <w:t xml:space="preserve">Testing a complex application end to end — with all its real dependencies — is broken today. When the Loan App team wants to run a full test, they manually coordinate compatible versions of Person App, IBM MQ schemas, API gateway routes, database state, and EC2-hosted components. This happens against shared QA environments where multiple teams are testing simultaneously.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goes wrong today</w:t>
            </w:r>
          </w:p>
        </w:tc>
        <w:tc>
          <w:tcPr>
            <w:tcW w:type="dxa" w:w="468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Business impact</w:t>
            </w:r>
          </w:p>
        </w:tc>
      </w:tr>
      <w:tr>
        <w:tc>
          <w:tcPr>
            <w:tcW w:type="dxa" w:w="468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Version mismatch — Loan App v1 hits wrong Person App version in shared QA</w:t>
            </w:r>
          </w:p>
        </w:tc>
        <w:tc>
          <w:tcPr>
            <w:tcW w:type="dxa" w:w="468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Tests pass against wrong versions, defects reach UAT</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Environment collision — teams testing simultaneously corrupt each other's data</w:t>
            </w:r>
          </w:p>
        </w:tc>
        <w:tc>
          <w:tcPr>
            <w:tcW w:type="dxa" w:w="468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Test results are unreliable, re-runs waste sprint capacity</w:t>
            </w:r>
          </w:p>
        </w:tc>
      </w:tr>
      <w:tr>
        <w:tc>
          <w:tcPr>
            <w:tcW w:type="dxa" w:w="468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Manual setup — full dependency stack requires tickets and lead time</w:t>
            </w:r>
          </w:p>
        </w:tc>
        <w:tc>
          <w:tcPr>
            <w:tcW w:type="dxa" w:w="468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Days lost per release cycle waiting for environments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Not just Kubernetes — EC2, MQ, SFTP, payment systems are all outside K8s</w:t>
            </w:r>
          </w:p>
        </w:tc>
        <w:tc>
          <w:tcPr>
            <w:tcW w:type="dxa" w:w="468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K8s-only solutions leave the hardest problems unsolved</w:t>
            </w:r>
          </w:p>
        </w:tc>
      </w:tr>
    </w:tbl>
    <w:p>
      <w:pPr>
        <w:spacing w:before="160"/>
      </w:pP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The Solution in One Sentence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EAF1FB" w:val="clear"/>
            <w:tcMar>
              <w:top w:type="dxa" w:w="120"/>
              <w:left w:type="dxa" w:w="180"/>
              <w:bottom w:type="dxa" w:w="120"/>
              <w:right w:type="dxa" w:w="180"/>
            </w:tcMar>
          </w:tcPr>
          <w:p>
            <w:pPr>
              <w:spacing w:after="60" w:before="0"/>
            </w:pPr>
            <w:r>
              <w:rPr>
                <w:rFonts w:ascii="Arial" w:cs="Arial" w:eastAsia="Arial" w:hAnsi="Arial"/>
                <w:b/>
                <w:bCs/>
                <w:color w:val="2E5FA3"/>
                <w:sz w:val="20"/>
                <w:szCs w:val="20"/>
              </w:rPr>
              <w:t xml:space="preserve">The idea</w:t>
            </w:r>
          </w:p>
          <w:p>
            <w:pPr>
              <w:spacing w:after="0" w:before="0"/>
            </w:pPr>
            <w:r>
              <w:rPr>
                <w:rFonts w:ascii="Arial" w:cs="Arial" w:eastAsia="Arial" w:hAnsi="Arial"/>
                <w:color w:val="2B3340"/>
                <w:sz w:val="20"/>
                <w:szCs w:val="20"/>
              </w:rPr>
              <w:t xml:space="preserve">A developer selects an application and version in a self-service portal. The platform automatically provisions a complete, isolated, version-aligned environment with every dependency — and tears it down when done. No tickets. No manual coordination. No shared environment collision.</w:t>
            </w:r>
          </w:p>
        </w:tc>
      </w:tr>
    </w:tbl>
    <w:p>
      <w:pPr>
        <w:spacing w:before="160"/>
      </w:pPr>
    </w:p>
    <w:p>
      <w:pPr>
        <w:pStyle w:val="Heading3"/>
        <w:spacing w:after="80" w:before="200"/>
      </w:pPr>
      <w:r>
        <w:rPr>
          <w:rFonts w:ascii="Arial" w:cs="Arial" w:eastAsia="Arial" w:hAnsi="Arial"/>
          <w:b/>
          <w:bCs/>
          <w:color w:val="0F6E56"/>
          <w:sz w:val="22"/>
          <w:szCs w:val="22"/>
        </w:rPr>
        <w:t xml:space="preserve">What the developer experiences</w:t>
      </w:r>
    </w:p>
    <w:p>
      <w:pPr>
        <w:pStyle w:val="ListParagraph"/>
        <w:numPr>
          <w:ilvl w:val="0"/>
          <w:numId w:val="2"/>
        </w:numPr>
        <w:spacing w:after="40" w:before="40"/>
      </w:pPr>
      <w:r>
        <w:rPr>
          <w:rFonts w:ascii="Arial" w:cs="Arial" w:eastAsia="Arial" w:hAnsi="Arial"/>
          <w:color w:val="2B3340"/>
          <w:sz w:val="22"/>
          <w:szCs w:val="22"/>
        </w:rPr>
        <w:t xml:space="preserve">Opens the Internal Developer Portal (IDP), selects Loan App v1.0.0 and a test scenario</w:t>
      </w:r>
    </w:p>
    <w:p>
      <w:pPr>
        <w:pStyle w:val="ListParagraph"/>
        <w:numPr>
          <w:ilvl w:val="0"/>
          <w:numId w:val="2"/>
        </w:numPr>
        <w:spacing w:after="40" w:before="40"/>
      </w:pPr>
      <w:r>
        <w:rPr>
          <w:rFonts w:ascii="Arial" w:cs="Arial" w:eastAsia="Arial" w:hAnsi="Arial"/>
          <w:color w:val="2B3340"/>
          <w:sz w:val="22"/>
          <w:szCs w:val="22"/>
        </w:rPr>
        <w:t xml:space="preserve">Platform validates the version exists, resolves all compatible dependencies automatically</w:t>
      </w:r>
    </w:p>
    <w:p>
      <w:pPr>
        <w:pStyle w:val="ListParagraph"/>
        <w:numPr>
          <w:ilvl w:val="0"/>
          <w:numId w:val="2"/>
        </w:numPr>
        <w:spacing w:after="40" w:before="40"/>
      </w:pPr>
      <w:r>
        <w:rPr>
          <w:rFonts w:ascii="Arial" w:cs="Arial" w:eastAsia="Arial" w:hAnsi="Arial"/>
          <w:color w:val="2B3340"/>
          <w:sz w:val="22"/>
          <w:szCs w:val="22"/>
        </w:rPr>
        <w:t xml:space="preserve">A manager approval gate fires if the environment type requires sign-off</w:t>
      </w:r>
    </w:p>
    <w:p>
      <w:pPr>
        <w:pStyle w:val="ListParagraph"/>
        <w:numPr>
          <w:ilvl w:val="0"/>
          <w:numId w:val="2"/>
        </w:numPr>
        <w:spacing w:after="40" w:before="40"/>
      </w:pPr>
      <w:r>
        <w:rPr>
          <w:rFonts w:ascii="Arial" w:cs="Arial" w:eastAsia="Arial" w:hAnsi="Arial"/>
          <w:color w:val="2B3340"/>
          <w:sz w:val="22"/>
          <w:szCs w:val="22"/>
        </w:rPr>
        <w:t xml:space="preserve">Within the provisioning window, a certified environment is returned with endpoint, credentials, and a unique environment ID</w:t>
      </w:r>
    </w:p>
    <w:p>
      <w:pPr>
        <w:pStyle w:val="ListParagraph"/>
        <w:numPr>
          <w:ilvl w:val="0"/>
          <w:numId w:val="2"/>
        </w:numPr>
        <w:spacing w:after="40" w:before="40"/>
      </w:pPr>
      <w:r>
        <w:rPr>
          <w:rFonts w:ascii="Arial" w:cs="Arial" w:eastAsia="Arial" w:hAnsi="Arial"/>
          <w:color w:val="2B3340"/>
          <w:sz w:val="22"/>
          <w:szCs w:val="22"/>
        </w:rPr>
        <w:t xml:space="preserve">Testing runs. When the TTL expires, everything is torn down automatically — no cleanup required</w:t>
      </w:r>
    </w:p>
    <w:p>
      <w:pPr>
        <w:spacing w:before="120"/>
      </w:pPr>
    </w:p>
    <w:p>
      <w:pPr>
        <w:pStyle w:val="Heading3"/>
        <w:spacing w:after="80" w:before="200"/>
      </w:pPr>
      <w:r>
        <w:rPr>
          <w:rFonts w:ascii="Arial" w:cs="Arial" w:eastAsia="Arial" w:hAnsi="Arial"/>
          <w:b/>
          <w:bCs/>
          <w:color w:val="0F6E56"/>
          <w:sz w:val="22"/>
          <w:szCs w:val="22"/>
        </w:rPr>
        <w:t xml:space="preserve">What the platform does behind the scenes</w:t>
      </w:r>
    </w:p>
    <w:p>
      <w:pPr>
        <w:pStyle w:val="ListParagraph"/>
        <w:numPr>
          <w:ilvl w:val="0"/>
          <w:numId w:val="2"/>
        </w:numPr>
        <w:spacing w:after="40" w:before="40"/>
      </w:pPr>
      <w:r>
        <w:rPr>
          <w:rFonts w:ascii="Arial" w:cs="Arial" w:eastAsia="Arial" w:hAnsi="Arial"/>
          <w:color w:val="2B3340"/>
          <w:sz w:val="22"/>
          <w:szCs w:val="22"/>
        </w:rPr>
        <w:t xml:space="preserve">Queries Nexus to confirm the artifact exists and validates it against the compatibility registry</w:t>
      </w:r>
    </w:p>
    <w:p>
      <w:pPr>
        <w:pStyle w:val="ListParagraph"/>
        <w:numPr>
          <w:ilvl w:val="0"/>
          <w:numId w:val="2"/>
        </w:numPr>
        <w:spacing w:after="40" w:before="40"/>
      </w:pPr>
      <w:r>
        <w:rPr>
          <w:rFonts w:ascii="Arial" w:cs="Arial" w:eastAsia="Arial" w:hAnsi="Arial"/>
          <w:color w:val="2B3340"/>
          <w:sz w:val="22"/>
          <w:szCs w:val="22"/>
        </w:rPr>
        <w:t xml:space="preserve">Generates a unique env_id used to tag every resource created across all platforms</w:t>
      </w:r>
    </w:p>
    <w:p>
      <w:pPr>
        <w:pStyle w:val="ListParagraph"/>
        <w:numPr>
          <w:ilvl w:val="0"/>
          <w:numId w:val="2"/>
        </w:numPr>
        <w:spacing w:after="40" w:before="40"/>
      </w:pPr>
      <w:r>
        <w:rPr>
          <w:rFonts w:ascii="Arial" w:cs="Arial" w:eastAsia="Arial" w:hAnsi="Arial"/>
          <w:color w:val="2B3340"/>
          <w:sz w:val="22"/>
          <w:szCs w:val="22"/>
        </w:rPr>
        <w:t xml:space="preserve">Triggers provisioning in parallel across Kubernetes, EC2, IBM MQ, database, SFTP, and API Gateway</w:t>
      </w:r>
    </w:p>
    <w:p>
      <w:pPr>
        <w:pStyle w:val="ListParagraph"/>
        <w:numPr>
          <w:ilvl w:val="0"/>
          <w:numId w:val="2"/>
        </w:numPr>
        <w:spacing w:after="40" w:before="40"/>
      </w:pPr>
      <w:r>
        <w:rPr>
          <w:rFonts w:ascii="Arial" w:cs="Arial" w:eastAsia="Arial" w:hAnsi="Arial"/>
          <w:color w:val="2B3340"/>
          <w:sz w:val="22"/>
          <w:szCs w:val="22"/>
        </w:rPr>
        <w:t xml:space="preserve">Runs a structured validation suite before certifying the environment as ready</w:t>
      </w:r>
    </w:p>
    <w:p>
      <w:pPr>
        <w:pStyle w:val="ListParagraph"/>
        <w:numPr>
          <w:ilvl w:val="0"/>
          <w:numId w:val="2"/>
        </w:numPr>
        <w:spacing w:after="40" w:before="40"/>
      </w:pPr>
      <w:r>
        <w:rPr>
          <w:rFonts w:ascii="Arial" w:cs="Arial" w:eastAsia="Arial" w:hAnsi="Arial"/>
          <w:color w:val="2B3340"/>
          <w:sz w:val="22"/>
          <w:szCs w:val="22"/>
        </w:rPr>
        <w:t xml:space="preserve">Revalidates credentials and connections immediately before test execution</w:t>
      </w:r>
    </w:p>
    <w:p>
      <w:pPr>
        <w:pStyle w:val="ListParagraph"/>
        <w:numPr>
          <w:ilvl w:val="0"/>
          <w:numId w:val="2"/>
        </w:numPr>
        <w:spacing w:after="40" w:before="40"/>
      </w:pPr>
      <w:r>
        <w:rPr>
          <w:rFonts w:ascii="Arial" w:cs="Arial" w:eastAsia="Arial" w:hAnsi="Arial"/>
          <w:color w:val="2B3340"/>
          <w:sz w:val="22"/>
          <w:szCs w:val="22"/>
        </w:rPr>
        <w:t xml:space="preserve">Runs a cleanup pipeline at TTL expiry and a daily orphan detector for any leaked resources</w:t>
      </w:r>
    </w:p>
    <w:p>
      <w:pPr>
        <w:spacing w:before="160"/>
      </w:pP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Three Decisions That Matter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63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3000"/>
            <w:tcBorders>
              <w:top w:val="single" w:color="D0D8E8" w:sz="1"/>
              <w:left w:val="single" w:color="D0D8E8" w:sz="1"/>
              <w:bottom w:val="single" w:color="D0D8E8" w:sz="1"/>
              <w:right w:val="single" w:color="D0D8E8" w:sz="1"/>
            </w:tcBorders>
            <w:shd w:fill="E8F5EE" w:val="clear"/>
            <w:tcMar>
              <w:top w:type="dxa" w:w="80"/>
              <w:left w:type="dxa" w:w="140"/>
              <w:bottom w:type="dxa" w:w="80"/>
              <w:right w:type="dxa" w:w="140"/>
            </w:tcMar>
            <w:vAlign w:val="center"/>
          </w:tcPr>
          <w:p>
            <w:r>
              <w:rPr>
                <w:rFonts w:ascii="Arial" w:cs="Arial" w:eastAsia="Arial" w:hAnsi="Arial"/>
                <w:color w:val="2B3340"/>
                <w:sz w:val="20"/>
                <w:szCs w:val="20"/>
              </w:rPr>
              <w:t xml:space="preserve">IDP orchestrates, teams own infrastructure</w:t>
            </w:r>
          </w:p>
        </w:tc>
        <w:tc>
          <w:tcPr>
            <w:tcW w:type="dxa" w:w="6360"/>
            <w:tcBorders>
              <w:top w:val="single" w:color="D0D8E8" w:sz="1"/>
              <w:left w:val="single" w:color="D0D8E8" w:sz="1"/>
              <w:bottom w:val="single" w:color="D0D8E8" w:sz="1"/>
              <w:right w:val="single" w:color="D0D8E8" w:sz="1"/>
            </w:tcBorders>
            <w:shd w:fill="E8F5EE" w:val="clear"/>
            <w:tcMar>
              <w:top w:type="dxa" w:w="80"/>
              <w:left w:type="dxa" w:w="140"/>
              <w:bottom w:type="dxa" w:w="80"/>
              <w:right w:type="dxa" w:w="140"/>
            </w:tcMar>
            <w:vAlign w:val="center"/>
          </w:tcPr>
          <w:p>
            <w:r>
              <w:rPr>
                <w:rFonts w:ascii="Arial" w:cs="Arial" w:eastAsia="Arial" w:hAnsi="Arial"/>
                <w:color w:val="2B3340"/>
                <w:sz w:val="20"/>
                <w:szCs w:val="20"/>
              </w:rPr>
              <w:t xml:space="preserve">The platform calls pipelines and APIs that each team already runs. EC2 team manages Terraform. MQ team manages queues. IDP coordinates — it does not replace or duplicate any team's infrastructure.</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Version compatibility registry</w:t>
            </w:r>
          </w:p>
        </w:tc>
        <w:tc>
          <w:tcPr>
            <w:tcW w:type="dxa" w:w="63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Each app team publishes a YAML file defining which versions of its dependencies are compatible. This is the single source of truth. If it is not in the registry, it does not get provisioned.</w:t>
            </w:r>
          </w:p>
        </w:tc>
      </w:tr>
      <w:tr>
        <w:tc>
          <w:tcPr>
            <w:tcW w:type="dxa" w:w="3000"/>
            <w:tcBorders>
              <w:top w:val="single" w:color="D0D8E8" w:sz="1"/>
              <w:left w:val="single" w:color="D0D8E8" w:sz="1"/>
              <w:bottom w:val="single" w:color="D0D8E8" w:sz="1"/>
              <w:right w:val="single" w:color="D0D8E8" w:sz="1"/>
            </w:tcBorders>
            <w:shd w:fill="E8F5EE" w:val="clear"/>
            <w:tcMar>
              <w:top w:type="dxa" w:w="80"/>
              <w:left w:type="dxa" w:w="140"/>
              <w:bottom w:type="dxa" w:w="80"/>
              <w:right w:type="dxa" w:w="140"/>
            </w:tcMar>
            <w:vAlign w:val="center"/>
          </w:tcPr>
          <w:p>
            <w:r>
              <w:rPr>
                <w:rFonts w:ascii="Arial" w:cs="Arial" w:eastAsia="Arial" w:hAnsi="Arial"/>
                <w:color w:val="2B3340"/>
                <w:sz w:val="20"/>
                <w:szCs w:val="20"/>
              </w:rPr>
              <w:t xml:space="preserve">env_id tags everything</w:t>
            </w:r>
          </w:p>
        </w:tc>
        <w:tc>
          <w:tcPr>
            <w:tcW w:type="dxa" w:w="6360"/>
            <w:tcBorders>
              <w:top w:val="single" w:color="D0D8E8" w:sz="1"/>
              <w:left w:val="single" w:color="D0D8E8" w:sz="1"/>
              <w:bottom w:val="single" w:color="D0D8E8" w:sz="1"/>
              <w:right w:val="single" w:color="D0D8E8" w:sz="1"/>
            </w:tcBorders>
            <w:shd w:fill="E8F5EE" w:val="clear"/>
            <w:tcMar>
              <w:top w:type="dxa" w:w="80"/>
              <w:left w:type="dxa" w:w="140"/>
              <w:bottom w:type="dxa" w:w="80"/>
              <w:right w:type="dxa" w:w="140"/>
            </w:tcMar>
            <w:vAlign w:val="center"/>
          </w:tcPr>
          <w:p>
            <w:r>
              <w:rPr>
                <w:rFonts w:ascii="Arial" w:cs="Arial" w:eastAsia="Arial" w:hAnsi="Arial"/>
                <w:color w:val="2B3340"/>
                <w:sz w:val="20"/>
                <w:szCs w:val="20"/>
              </w:rPr>
              <w:t xml:space="preserve">Every resource — Kubernetes namespace, database schema, MQ queue prefix, SFTP folder, EC2 instance, API route — is tagged with a unique environment ID. This makes cleanup reliable and prevents cross-environment data leakage.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FEF6E4" w:val="clear"/>
            <w:tcMar>
              <w:top w:type="dxa" w:w="120"/>
              <w:left w:type="dxa" w:w="180"/>
              <w:bottom w:type="dxa" w:w="120"/>
              <w:right w:type="dxa" w:w="180"/>
            </w:tcMar>
          </w:tcPr>
          <w:p>
            <w:pPr>
              <w:spacing w:after="60" w:before="0"/>
            </w:pPr>
            <w:r>
              <w:rPr>
                <w:rFonts w:ascii="Arial" w:cs="Arial" w:eastAsia="Arial" w:hAnsi="Arial"/>
                <w:b/>
                <w:bCs/>
                <w:color w:val="7A4F00"/>
                <w:sz w:val="20"/>
                <w:szCs w:val="20"/>
              </w:rPr>
              <w:t xml:space="preserve">⚠  One hard rule on payment systems</w:t>
            </w:r>
          </w:p>
          <w:p>
            <w:pPr>
              <w:spacing w:after="0" w:before="0"/>
            </w:pPr>
            <w:r>
              <w:rPr>
                <w:rFonts w:ascii="Arial" w:cs="Arial" w:eastAsia="Arial" w:hAnsi="Arial"/>
                <w:color w:val="2B3340"/>
                <w:sz w:val="20"/>
                <w:szCs w:val="20"/>
              </w:rPr>
              <w:t xml:space="preserve">SWIFT, EPP, and all regulated payment systems are never connected to test environments. A mock service runs inside the Kubernetes namespace and provides scenario-driven responses (success, decline, fraud, timeout). No exceptions. The mock travels with the environment and is torn down at TTL.</w:t>
            </w:r>
          </w:p>
        </w:tc>
      </w:tr>
    </w:tbl>
    <w:p>
      <w:pPr>
        <w:spacing w:before="160"/>
      </w:pP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What This Is Not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D0D8E8" w:sz="1"/>
              <w:left w:val="single" w:color="D0D8E8" w:sz="1"/>
              <w:bottom w:val="single" w:color="D0D8E8" w:sz="1"/>
              <w:right w:val="single" w:color="D0D8E8" w:sz="1"/>
            </w:tcBorders>
            <w:shd w:fill="E8F5EE" w:val="clear"/>
            <w:tcMar>
              <w:top w:type="dxa" w:w="120"/>
              <w:left w:type="dxa" w:w="160"/>
              <w:bottom w:type="dxa" w:w="120"/>
              <w:right w:type="dxa" w:w="160"/>
            </w:tcMar>
          </w:tcPr>
          <w:p>
            <w:pPr>
              <w:spacing w:after="60" w:before="0"/>
            </w:pPr>
            <w:r>
              <w:rPr>
                <w:rFonts w:ascii="Arial" w:cs="Arial" w:eastAsia="Arial" w:hAnsi="Arial"/>
                <w:b/>
                <w:bCs/>
                <w:color w:val="1E6B3C"/>
                <w:sz w:val="20"/>
                <w:szCs w:val="20"/>
              </w:rPr>
              <w:t xml:space="preserve">✔  What it is</w:t>
            </w:r>
          </w:p>
          <w:p>
            <w:pPr>
              <w:spacing w:after="0" w:before="0"/>
            </w:pPr>
            <w:r>
              <w:rPr>
                <w:rFonts w:ascii="Arial" w:cs="Arial" w:eastAsia="Arial" w:hAnsi="Arial"/>
                <w:color w:val="2B3340"/>
                <w:sz w:val="20"/>
                <w:szCs w:val="20"/>
              </w:rPr>
              <w:t xml:space="preserve">An orchestration layer that coordinates existing team-owned infrastructure. Calls pipelines. Tags resources. Manages lifecycle. Provides developer experience.</w:t>
            </w:r>
          </w:p>
        </w:tc>
        <w:tc>
          <w:tcPr>
            <w:tcW w:type="dxa" w:w="4620"/>
            <w:tcBorders>
              <w:top w:val="single" w:color="D0D8E8" w:sz="1"/>
              <w:left w:val="single" w:color="D0D8E8" w:sz="1"/>
              <w:bottom w:val="single" w:color="D0D8E8" w:sz="1"/>
              <w:right w:val="single" w:color="D0D8E8" w:sz="1"/>
            </w:tcBorders>
            <w:shd w:fill="FBE9E9"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  What it is not</w:t>
            </w:r>
          </w:p>
          <w:p>
            <w:pPr>
              <w:spacing w:after="0" w:before="0"/>
            </w:pPr>
            <w:r>
              <w:rPr>
                <w:rFonts w:ascii="Arial" w:cs="Arial" w:eastAsia="Arial" w:hAnsi="Arial"/>
                <w:color w:val="2B3340"/>
                <w:sz w:val="20"/>
                <w:szCs w:val="20"/>
              </w:rPr>
              <w:t xml:space="preserve">A replacement for Terraform, MQ admin, or database tooling. IDP does not own infrastructure. Each team retains full ownership of their systems.</w:t>
            </w:r>
          </w:p>
        </w:tc>
      </w:tr>
    </w:tbl>
    <w:p>
      <w:pPr>
        <w:spacing w:before="160"/>
      </w:pP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Delivery Plan  —  16 Weeks</w:t>
      </w:r>
    </w:p>
    <w:p>
      <w:pPr>
        <w:spacing w:after="80" w:before="60"/>
      </w:pPr>
      <w:r>
        <w:rPr>
          <w:rFonts w:ascii="Arial" w:cs="Arial" w:eastAsia="Arial" w:hAnsi="Arial"/>
          <w:color w:val="2B3340"/>
          <w:sz w:val="22"/>
          <w:szCs w:val="22"/>
        </w:rPr>
        <w:t xml:space="preserve">Five phases, structured to de-risk external team dependencies early. The author owns Phases 1 and 2 independently. Phases 3 and 4 require coordination with EC2, MQ, database, API Gateway, and SFTP teams.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c>
          <w:tcPr>
            <w:tcW w:type="dxa" w:w="25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8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6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Phase 1  Weeks 1–5</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IDP form, version registry, Nexus validation, manifest generation, approval gate</w:t>
            </w:r>
          </w:p>
        </w:tc>
        <w:tc>
          <w:tcPr>
            <w:tcW w:type="dxa" w:w="25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Personal research</w:t>
            </w:r>
          </w:p>
        </w:tc>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Developer selects app version → validated manifest produced</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Phase 2  Weeks 4–8</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Kubernetes namespace creation, Helm deployment pipelines, health checks</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Personal research</w:t>
            </w:r>
          </w:p>
        </w:tc>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App deployed into isolated namespace with readiness signal</w:t>
            </w:r>
          </w:p>
        </w:tc>
      </w:tr>
      <w:tr>
        <w:tc>
          <w:tcPr>
            <w:tcW w:type="dxa" w:w="16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Phase 3  Weeks 5–10</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EC2 Terraform pipeline (parameterised), tagging, destroy on TTL</w:t>
            </w:r>
          </w:p>
        </w:tc>
        <w:tc>
          <w:tcPr>
            <w:tcW w:type="dxa" w:w="25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EC2 Team</w:t>
            </w:r>
          </w:p>
        </w:tc>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EC2 resources provisioned and cleaned up per environment</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Phase 4  Weeks 8–14</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API Gateway, Database clone, IBM MQ queues, SFTP, mock payment service</w:t>
            </w:r>
          </w:p>
        </w:tc>
        <w:tc>
          <w:tcPr>
            <w:tcW w:type="dxa" w:w="2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Respective teams</w:t>
            </w:r>
          </w:p>
        </w:tc>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All dependency types provisioned and cleaned up</w:t>
            </w:r>
          </w:p>
        </w:tc>
      </w:tr>
      <w:tr>
        <w:tc>
          <w:tcPr>
            <w:tcW w:type="dxa" w:w="16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Phase 5  Weeks 14–16</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Full end-to-end validation, TTL + cleanup testing, orphan detector</w:t>
            </w:r>
          </w:p>
        </w:tc>
        <w:tc>
          <w:tcPr>
            <w:tcW w:type="dxa" w:w="25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Personal research</w:t>
            </w:r>
          </w:p>
        </w:tc>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One real scenario working end to end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FEF6E4" w:val="clear"/>
            <w:tcMar>
              <w:top w:type="dxa" w:w="120"/>
              <w:left w:type="dxa" w:w="180"/>
              <w:bottom w:type="dxa" w:w="120"/>
              <w:right w:type="dxa" w:w="180"/>
            </w:tcMar>
          </w:tcPr>
          <w:p>
            <w:pPr>
              <w:spacing w:after="60" w:before="0"/>
            </w:pPr>
            <w:r>
              <w:rPr>
                <w:rFonts w:ascii="Arial" w:cs="Arial" w:eastAsia="Arial" w:hAnsi="Arial"/>
                <w:b/>
                <w:bCs/>
                <w:color w:val="7A4F00"/>
                <w:sz w:val="20"/>
                <w:szCs w:val="20"/>
              </w:rPr>
              <w:t xml:space="preserve">Biggest external risk</w:t>
            </w:r>
          </w:p>
          <w:p>
            <w:pPr>
              <w:spacing w:after="0" w:before="0"/>
            </w:pPr>
            <w:r>
              <w:rPr>
                <w:rFonts w:ascii="Arial" w:cs="Arial" w:eastAsia="Arial" w:hAnsi="Arial"/>
                <w:color w:val="2B3340"/>
                <w:sz w:val="20"/>
                <w:szCs w:val="20"/>
              </w:rPr>
              <w:t xml:space="preserve">EC2 team is the longest external dependency and the one least in the author's control. The conversation must start in Week 1. If they slip beyond Week 8, the integration is stubbed and K8s work continues without blocking.</w:t>
            </w:r>
          </w:p>
        </w:tc>
      </w:tr>
    </w:tbl>
    <w:p>
      <w:pPr>
        <w:spacing w:before="160"/>
      </w:pP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Key Risks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41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24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r>
      <w:tr>
        <w:tc>
          <w:tcPr>
            <w:tcW w:type="dxa" w:w="280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EC2 team availability and delivery pace</w:t>
            </w:r>
          </w:p>
        </w:tc>
        <w:tc>
          <w:tcPr>
            <w:tcW w:type="dxa" w:w="416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Engage Week 1. Stub integration if delayed. K8s track continues independently.</w:t>
            </w:r>
          </w:p>
        </w:tc>
        <w:tc>
          <w:tcPr>
            <w:tcW w:type="dxa" w:w="240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Medium</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IBM MQ isolation design — dedicated queue manager vs prefix model</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Start design conversation in Week 3. Prefix model validated as sufficient for most cases. Dedicated manager only if PCI compliance demands it.</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Medium</w:t>
            </w:r>
          </w:p>
        </w:tc>
      </w:tr>
      <w:tr>
        <w:tc>
          <w:tcPr>
            <w:tcW w:type="dxa" w:w="280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Database clone time exceeding 15 minutes</w:t>
            </w:r>
          </w:p>
        </w:tc>
        <w:tc>
          <w:tcPr>
            <w:tcW w:type="dxa" w:w="416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Pre-warm pool of available schemas implemented if clone time breaches threshold.</w:t>
            </w:r>
          </w:p>
        </w:tc>
        <w:tc>
          <w:tcPr>
            <w:tcW w:type="dxa" w:w="240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Medium</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Orphaned resources accumulating from failed provisioning runs</w:t>
            </w:r>
          </w:p>
        </w:tc>
        <w:tc>
          <w:tcPr>
            <w:tcW w:type="dxa" w:w="4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Daily orphan detector job built alongside Phase 1. Low cost, high governance value.</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Low</w:t>
            </w:r>
          </w:p>
        </w:tc>
      </w:tr>
      <w:tr>
        <w:tc>
          <w:tcPr>
            <w:tcW w:type="dxa" w:w="280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Test data gaps — environments provisioned but no matching test datasets</w:t>
            </w:r>
          </w:p>
        </w:tc>
        <w:tc>
          <w:tcPr>
            <w:tcW w:type="dxa" w:w="416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Scenario-based test data catalog built alongside the version registry. Each scenario maps to a specific dataset.</w:t>
            </w:r>
          </w:p>
        </w:tc>
        <w:tc>
          <w:tcPr>
            <w:tcW w:type="dxa" w:w="2400"/>
            <w:tcBorders>
              <w:top w:val="single" w:color="D0D8E8" w:sz="1"/>
              <w:left w:val="single" w:color="D0D8E8" w:sz="1"/>
              <w:bottom w:val="single" w:color="D0D8E8" w:sz="1"/>
              <w:right w:val="single" w:color="D0D8E8" w:sz="1"/>
            </w:tcBorders>
            <w:shd w:fill="FEF6E4" w:val="clear"/>
            <w:tcMar>
              <w:top w:type="dxa" w:w="80"/>
              <w:left w:type="dxa" w:w="140"/>
              <w:bottom w:type="dxa" w:w="80"/>
              <w:right w:type="dxa" w:w="140"/>
            </w:tcMar>
            <w:vAlign w:val="center"/>
          </w:tcPr>
          <w:p>
            <w:r>
              <w:rPr>
                <w:rFonts w:ascii="Arial" w:cs="Arial" w:eastAsia="Arial" w:hAnsi="Arial"/>
                <w:color w:val="2B3340"/>
                <w:sz w:val="20"/>
                <w:szCs w:val="20"/>
              </w:rPr>
              <w:t xml:space="preserve">Low</w:t>
            </w:r>
          </w:p>
        </w:tc>
      </w:tr>
    </w:tbl>
    <w:p>
      <w:pPr>
        <w:spacing w:before="160"/>
      </w:pPr>
    </w:p>
    <w:p>
      <w:pPr>
        <w:pBdr>
          <w:bottom w:val="single" w:color="BDC7D8" w:sz="6" w:space="1"/>
        </w:pBdr>
        <w:spacing w:after="200" w:before="200"/>
      </w:pPr>
    </w:p>
    <w:p>
      <w:pPr>
        <w:pStyle w:val="Heading2"/>
        <w:spacing w:after="100" w:before="280"/>
      </w:pPr>
      <w:r>
        <w:rPr>
          <w:rFonts w:ascii="Arial" w:cs="Arial" w:eastAsia="Arial" w:hAnsi="Arial"/>
          <w:b/>
          <w:bCs/>
          <w:color w:val="2E5FA3"/>
          <w:sz w:val="26"/>
          <w:szCs w:val="26"/>
        </w:rPr>
        <w:t xml:space="preserve">What We Need From You</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EAF1FB" w:val="clear"/>
            <w:tcMar>
              <w:top w:type="dxa" w:w="120"/>
              <w:left w:type="dxa" w:w="180"/>
              <w:bottom w:type="dxa" w:w="120"/>
              <w:right w:type="dxa" w:w="180"/>
            </w:tcMar>
          </w:tcPr>
          <w:p>
            <w:pPr>
              <w:spacing w:after="60" w:before="0"/>
            </w:pPr>
            <w:r>
              <w:rPr>
                <w:rFonts w:ascii="Arial" w:cs="Arial" w:eastAsia="Arial" w:hAnsi="Arial"/>
                <w:b/>
                <w:bCs/>
                <w:color w:val="2E5FA3"/>
                <w:sz w:val="20"/>
                <w:szCs w:val="20"/>
              </w:rPr>
              <w:t xml:space="preserve">Four asks</w:t>
            </w:r>
          </w:p>
          <w:p>
            <w:pPr>
              <w:spacing w:after="0" w:before="0"/>
            </w:pPr>
            <w:r>
              <w:rPr>
                <w:rFonts w:ascii="Arial" w:cs="Arial" w:eastAsia="Arial" w:hAnsi="Arial"/>
                <w:color w:val="2B3340"/>
                <w:sz w:val="20"/>
                <w:szCs w:val="20"/>
              </w:rPr>
              <w:t xml:space="preserve">1.  Approve the 16-week build plan and confirm Personal research bandwidth allocation.
2.  Endorse engagement with EC2 team starting Week 1 — this is the longest external dependency.
3.  Facilitate introduction to IBM MQ team for the queue isolation design session in Week 3.
4.  Confirm the version compatibility registry as a governed, team-owned artifact — this is the most critical missing piece today.</w:t>
            </w:r>
          </w:p>
        </w:tc>
      </w:tr>
    </w:tbl>
    <w:p>
      <w:pPr>
        <w:spacing w:before="200"/>
      </w:pPr>
    </w:p>
    <w:p>
      <w:pPr>
        <w:pBdr>
          <w:bottom w:val="single" w:color="BDC7D8" w:sz="6" w:space="1"/>
        </w:pBdr>
        <w:spacing w:after="120" w:before="120"/>
      </w:pPr>
    </w:p>
    <w:p>
      <w:pPr>
        <w:spacing w:after="0" w:before="120"/>
        <w:jc w:val="center"/>
      </w:pPr>
      <w:r>
        <w:rPr>
          <w:rFonts w:ascii="Arial" w:cs="Arial" w:eastAsia="Arial" w:hAnsi="Arial"/>
          <w:color w:val="5A6472"/>
          <w:sz w:val="18"/>
          <w:szCs w:val="18"/>
        </w:rPr>
        <w:t xml:space="preserve">Personal research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7D8" w:sz="6" w:space="1"/>
      </w:pBdr>
      <w:spacing w:after="0" w:before="160"/>
    </w:pPr>
    <w:r>
      <w:rPr>
        <w:rFonts w:ascii="Arial" w:cs="Arial" w:eastAsia="Arial" w:hAnsi="Arial"/>
        <w:color w:val="5A6472"/>
        <w:sz w:val="18"/>
        <w:szCs w:val="18"/>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after="160" w:before="0"/>
    </w:pPr>
    <w:r>
      <w:rPr>
        <w:rFonts w:ascii="Arial" w:cs="Arial" w:eastAsia="Arial" w:hAnsi="Arial"/>
        <w:b/>
        <w:bCs/>
        <w:color w:val="1B2A4A"/>
        <w:sz w:val="18"/>
        <w:szCs w:val="18"/>
      </w:rPr>
      <w:t xml:space="preserve">Ephemeral Environment Platform</w:t>
    </w:r>
    <w:r>
      <w:rPr>
        <w:rFonts w:ascii="Arial" w:cs="Arial" w:eastAsia="Arial" w:hAnsi="Arial"/>
      </w:rPr>
      <w:t xml:space="preserve">	</w:t>
    </w:r>
    <w:r>
      <w:rPr>
        <w:rFonts w:ascii="Arial" w:cs="Arial" w:eastAsia="Arial" w:hAnsi="Arial"/>
        <w:color w:val="5A6472"/>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2026-04-27T14:00:48.730Z</dcterms:created>
  <dcterms:modified xsi:type="dcterms:W3CDTF">2026-04-27T14:00:48.732Z</dcterms:modified>
</cp:coreProperties>
</file>

<file path=docProps/custom.xml><?xml version="1.0" encoding="utf-8"?>
<Properties xmlns="http://schemas.openxmlformats.org/officeDocument/2006/custom-properties" xmlns:vt="http://schemas.openxmlformats.org/officeDocument/2006/docPropsVTypes"/>
</file>