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aps/>
          <w:color w:val="2E5FA3"/>
          <w:sz w:val="20"/>
          <w:szCs w:val="20"/>
        </w:rPr>
        <w:t xml:space="preserve">PLATFORM ENGINEERING</w:t>
      </w:r>
    </w:p>
    <w:p>
      <w:pPr>
        <w:spacing w:after="80" w:before="0"/>
      </w:pPr>
      <w:r>
        <w:rPr>
          <w:rFonts w:ascii="Arial" w:cs="Arial" w:eastAsia="Arial" w:hAnsi="Arial"/>
          <w:b/>
          <w:bCs/>
          <w:color w:val="1B2A4A"/>
          <w:sz w:val="44"/>
          <w:szCs w:val="44"/>
        </w:rPr>
        <w:t xml:space="preserve">Harness IDP → Public Cloud Integration</w:t>
      </w:r>
    </w:p>
    <w:p>
      <w:pPr>
        <w:spacing w:after="60" w:before="0"/>
      </w:pPr>
      <w:r>
        <w:rPr>
          <w:rFonts w:ascii="Arial" w:cs="Arial" w:eastAsia="Arial" w:hAnsi="Arial"/>
          <w:color w:val="2E5FA3"/>
          <w:sz w:val="28"/>
          <w:szCs w:val="28"/>
        </w:rPr>
        <w:t xml:space="preserve">Architecture &amp; Implementation Reference</w:t>
      </w:r>
    </w:p>
    <w:p>
      <w:pPr>
        <w:spacing w:after="240" w:before="0"/>
      </w:pPr>
      <w:r>
        <w:rPr>
          <w:rFonts w:ascii="Arial" w:cs="Arial" w:eastAsia="Arial" w:hAnsi="Arial"/>
          <w:color w:val="5A6472"/>
          <w:sz w:val="20"/>
          <w:szCs w:val="20"/>
        </w:rPr>
        <w:t xml:space="preserve">April 2026  •  Version 1.0  •  Platform Engineering</w:t>
      </w:r>
    </w:p>
    <w:p>
      <w:pPr>
        <w:pBdr>
          <w:bottom w:val="single" w:color="BDC7D8" w:sz="6" w:space="1"/>
        </w:pBdr>
        <w:spacing w:after="240" w:before="240"/>
      </w:pPr>
    </w:p>
    <w:p>
      <w:pPr>
        <w:pStyle w:val="Heading2"/>
        <w:spacing w:after="100" w:before="280"/>
      </w:pPr>
      <w:r>
        <w:rPr>
          <w:rFonts w:ascii="Arial" w:cs="Arial" w:eastAsia="Arial" w:hAnsi="Arial"/>
          <w:b/>
          <w:bCs/>
          <w:color w:val="2E5FA3"/>
          <w:sz w:val="26"/>
          <w:szCs w:val="26"/>
        </w:rPr>
        <w:t xml:space="preserve">Executive Summary</w:t>
      </w:r>
    </w:p>
    <w:p>
      <w:pPr>
        <w:spacing w:after="80" w:before="60"/>
      </w:pPr>
      <w:r>
        <w:rPr>
          <w:rFonts w:ascii="Arial" w:cs="Arial" w:eastAsia="Arial" w:hAnsi="Arial"/>
          <w:color w:val="2B3340"/>
          <w:sz w:val="22"/>
          <w:szCs w:val="22"/>
        </w:rPr>
        <w:t xml:space="preserve">This document describes the integration architecture connecting Harness IDP (Internal Developer Portal) with the Public Cloud cloud provisioner, which runs on Jenkins. The design allows developer self-service workflows in IDP to trigger and fully orchestrate Public Cloud pipelines without requiring any code changes from the Public Cloud team.</w:t>
      </w:r>
    </w:p>
    <w:p>
      <w:pPr>
        <w:spacing w:before="80"/>
      </w:pPr>
    </w:p>
    <w:p>
      <w:pPr>
        <w:spacing w:after="80" w:before="60"/>
      </w:pPr>
      <w:r>
        <w:rPr>
          <w:rFonts w:ascii="Arial" w:cs="Arial" w:eastAsia="Arial" w:hAnsi="Arial"/>
          <w:color w:val="2B3340"/>
          <w:sz w:val="22"/>
          <w:szCs w:val="22"/>
        </w:rPr>
        <w:t xml:space="preserve">The Hoover adapter layer normalizes IDP payloads into Harness pipeline triggers. The Harness pipeline then uses its native JenkinsBuild step to push a job to Jenkins and wait synchronously for completion. All logs, artifacts, and metadata captured from Jenkins are used by the Harness platform to generate reports — independently of Public Cloud.</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8" w:sz="1"/>
              <w:left w:val="single" w:color="D0D8E8" w:sz="1"/>
              <w:bottom w:val="single" w:color="D0D8E8" w:sz="1"/>
              <w:right w:val="single" w:color="D0D8E8" w:sz="1"/>
            </w:tcBorders>
            <w:shd w:fill="E8F5EE" w:val="clear"/>
            <w:tcMar>
              <w:top w:type="dxa" w:w="120"/>
              <w:left w:type="dxa" w:w="180"/>
              <w:bottom w:type="dxa" w:w="120"/>
              <w:right w:type="dxa" w:w="180"/>
            </w:tcMar>
          </w:tcPr>
          <w:p>
            <w:pPr>
              <w:spacing w:after="60" w:before="0"/>
            </w:pPr>
            <w:r>
              <w:rPr>
                <w:rFonts w:ascii="Arial" w:cs="Arial" w:eastAsia="Arial" w:hAnsi="Arial"/>
                <w:b/>
                <w:bCs/>
                <w:color w:val="1E6B3C"/>
                <w:sz w:val="20"/>
                <w:szCs w:val="20"/>
              </w:rPr>
              <w:t xml:space="preserve">✔  Key Principles</w:t>
            </w:r>
          </w:p>
          <w:p>
            <w:pPr>
              <w:spacing w:after="0" w:before="0"/>
            </w:pPr>
            <w:r>
              <w:rPr>
                <w:rFonts w:ascii="Arial" w:cs="Arial" w:eastAsia="Arial" w:hAnsi="Arial"/>
                <w:color w:val="2B3340"/>
                <w:sz w:val="20"/>
                <w:szCs w:val="20"/>
              </w:rPr>
              <w:t xml:space="preserve">No changes to Public Cloud Jenkins pipelines  •  No React app migration required  •  Harness waits natively  •  All reports owned by the platform, not Public Cloud</w:t>
            </w:r>
          </w:p>
        </w:tc>
      </w:tr>
    </w:tbl>
    <w:p>
      <w:pPr>
        <w:spacing w:before="120"/>
      </w:pPr>
    </w:p>
    <w:p>
      <w:pPr>
        <w:pBdr>
          <w:bottom w:val="single" w:color="BDC7D8" w:sz="6" w:space="1"/>
        </w:pBdr>
        <w:spacing w:after="240" w:before="240"/>
      </w:pPr>
    </w:p>
    <w:p>
      <w:pPr>
        <w:pStyle w:val="Heading2"/>
        <w:spacing w:after="100" w:before="280"/>
      </w:pPr>
      <w:r>
        <w:rPr>
          <w:rFonts w:ascii="Arial" w:cs="Arial" w:eastAsia="Arial" w:hAnsi="Arial"/>
          <w:b/>
          <w:bCs/>
          <w:color w:val="2E5FA3"/>
          <w:sz w:val="26"/>
          <w:szCs w:val="26"/>
        </w:rPr>
        <w:t xml:space="preserve">Architecture Overview</w:t>
      </w:r>
    </w:p>
    <w:p>
      <w:pPr>
        <w:spacing w:after="80" w:before="60"/>
      </w:pPr>
      <w:r>
        <w:rPr>
          <w:rFonts w:ascii="Arial" w:cs="Arial" w:eastAsia="Arial" w:hAnsi="Arial"/>
          <w:color w:val="2B3340"/>
          <w:sz w:val="22"/>
          <w:szCs w:val="22"/>
        </w:rPr>
        <w:t xml:space="preserve">The integration spans four distinct layers, each with a defined responsibility: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D0D8E8" w:sz="1"/>
              <w:left w:val="single" w:color="D0D8E8" w:sz="1"/>
              <w:bottom w:val="single" w:color="D0D8E8" w:sz="1"/>
              <w:right w:val="single" w:color="D0D8E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400"/>
            <w:tcBorders>
              <w:top w:val="single" w:color="D0D8E8" w:sz="1"/>
              <w:left w:val="single" w:color="D0D8E8" w:sz="1"/>
              <w:bottom w:val="single" w:color="D0D8E8" w:sz="1"/>
              <w:right w:val="single" w:color="D0D8E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400"/>
            <w:tcBorders>
              <w:top w:val="single" w:color="D0D8E8" w:sz="1"/>
              <w:left w:val="single" w:color="D0D8E8" w:sz="1"/>
              <w:bottom w:val="single" w:color="D0D8E8" w:sz="1"/>
              <w:right w:val="single" w:color="D0D8E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160"/>
            <w:tcBorders>
              <w:top w:val="single" w:color="D0D8E8" w:sz="1"/>
              <w:left w:val="single" w:color="D0D8E8" w:sz="1"/>
              <w:bottom w:val="single" w:color="D0D8E8" w:sz="1"/>
              <w:right w:val="single" w:color="D0D8E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Owner</w:t>
            </w:r>
          </w:p>
        </w:tc>
      </w:tr>
      <w:tr>
        <w:tc>
          <w:tcPr>
            <w:tcW w:type="dxa" w:w="24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Entry</w:t>
            </w:r>
          </w:p>
        </w:tc>
        <w:tc>
          <w:tcPr>
            <w:tcW w:type="dxa" w:w="24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Harness IDP</w:t>
            </w:r>
          </w:p>
        </w:tc>
        <w:tc>
          <w:tcPr>
            <w:tcW w:type="dxa" w:w="24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Developer self-service portal</w:t>
            </w:r>
          </w:p>
        </w:tc>
        <w:tc>
          <w:tcPr>
            <w:tcW w:type="dxa" w:w="216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Platform Eng</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Adapter</w:t>
            </w:r>
          </w:p>
        </w:tc>
        <w:tc>
          <w:tcPr>
            <w:tcW w:type="dxa" w:w="24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Hoover</w:t>
            </w:r>
          </w:p>
        </w:tc>
        <w:tc>
          <w:tcPr>
            <w:tcW w:type="dxa" w:w="24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Normalizes payload; bridges IDP ↔ Harness</w:t>
            </w:r>
          </w:p>
        </w:tc>
        <w:tc>
          <w:tcPr>
            <w:tcW w:type="dxa" w:w="2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Platform Eng</w:t>
            </w:r>
          </w:p>
        </w:tc>
      </w:tr>
      <w:tr>
        <w:tc>
          <w:tcPr>
            <w:tcW w:type="dxa" w:w="24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Orchestration</w:t>
            </w:r>
          </w:p>
        </w:tc>
        <w:tc>
          <w:tcPr>
            <w:tcW w:type="dxa" w:w="24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Harness Pipeline</w:t>
            </w:r>
          </w:p>
        </w:tc>
        <w:tc>
          <w:tcPr>
            <w:tcW w:type="dxa" w:w="24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Validate, trigger, wait, report</w:t>
            </w:r>
          </w:p>
        </w:tc>
        <w:tc>
          <w:tcPr>
            <w:tcW w:type="dxa" w:w="216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Platform Eng</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Execution</w:t>
            </w:r>
          </w:p>
        </w:tc>
        <w:tc>
          <w:tcPr>
            <w:tcW w:type="dxa" w:w="24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Public Cloud / Jenkins</w:t>
            </w:r>
          </w:p>
        </w:tc>
        <w:tc>
          <w:tcPr>
            <w:tcW w:type="dxa" w:w="24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Cloud provisioning (unchanged)</w:t>
            </w:r>
          </w:p>
        </w:tc>
        <w:tc>
          <w:tcPr>
            <w:tcW w:type="dxa" w:w="21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Public Cloud Team</w:t>
            </w:r>
          </w:p>
        </w:tc>
      </w:tr>
    </w:tbl>
    <w:p>
      <w:pPr>
        <w:spacing w:before="200"/>
      </w:pPr>
    </w:p>
    <w:p>
      <w:pPr>
        <w:pStyle w:val="Heading3"/>
        <w:spacing w:after="80" w:before="200"/>
      </w:pPr>
      <w:r>
        <w:rPr>
          <w:rFonts w:ascii="Arial" w:cs="Arial" w:eastAsia="Arial" w:hAnsi="Arial"/>
          <w:b/>
          <w:bCs/>
          <w:color w:val="1A6B72"/>
          <w:sz w:val="22"/>
          <w:szCs w:val="22"/>
        </w:rPr>
        <w:t xml:space="preserve">Component Descriptions</w:t>
      </w:r>
    </w:p>
    <w:p>
      <w:pPr>
        <w:pStyle w:val="ListParagraph"/>
        <w:numPr>
          <w:ilvl w:val="0"/>
          <w:numId w:val="2"/>
        </w:numPr>
        <w:spacing w:after="40" w:before="40"/>
      </w:pPr>
      <w:r>
        <w:rPr>
          <w:rFonts w:ascii="Arial" w:cs="Arial" w:eastAsia="Arial" w:hAnsi="Arial"/>
          <w:b/>
          <w:bCs/>
          <w:color w:val="2B3340"/>
          <w:sz w:val="22"/>
          <w:szCs w:val="22"/>
        </w:rPr>
        <w:t xml:space="preserve">Harness IDP </w:t>
      </w:r>
      <w:r>
        <w:rPr>
          <w:rFonts w:ascii="Arial" w:cs="Arial" w:eastAsia="Arial" w:hAnsi="Arial"/>
          <w:color w:val="2B3340"/>
          <w:sz w:val="22"/>
          <w:szCs w:val="22"/>
        </w:rPr>
        <w:t xml:space="preserve">Harness IDP — The developer-facing portal. Developers fill a self-service form and submit. IDP dispatches the workflow to Hoover.</w:t>
      </w:r>
    </w:p>
    <w:p>
      <w:pPr>
        <w:pStyle w:val="ListParagraph"/>
        <w:numPr>
          <w:ilvl w:val="0"/>
          <w:numId w:val="2"/>
        </w:numPr>
        <w:spacing w:after="40" w:before="40"/>
      </w:pPr>
      <w:r>
        <w:rPr>
          <w:rFonts w:ascii="Arial" w:cs="Arial" w:eastAsia="Arial" w:hAnsi="Arial"/>
          <w:b/>
          <w:bCs/>
          <w:color w:val="2B3340"/>
          <w:sz w:val="22"/>
          <w:szCs w:val="22"/>
        </w:rPr>
        <w:t xml:space="preserve">Hoover </w:t>
      </w:r>
      <w:r>
        <w:rPr>
          <w:rFonts w:ascii="Arial" w:cs="Arial" w:eastAsia="Arial" w:hAnsi="Arial"/>
          <w:color w:val="2B3340"/>
          <w:sz w:val="22"/>
          <w:szCs w:val="22"/>
        </w:rPr>
        <w:t xml:space="preserve">Hoover — An adapter and normalizer service. Translates the IDP payload into the format Harness Pipeline expects and fires the webhook trigger. Returns the final result to IDP on completion.</w:t>
      </w:r>
    </w:p>
    <w:p>
      <w:pPr>
        <w:pStyle w:val="ListParagraph"/>
        <w:numPr>
          <w:ilvl w:val="0"/>
          <w:numId w:val="2"/>
        </w:numPr>
        <w:spacing w:after="40" w:before="40"/>
      </w:pPr>
      <w:r>
        <w:rPr>
          <w:rFonts w:ascii="Arial" w:cs="Arial" w:eastAsia="Arial" w:hAnsi="Arial"/>
          <w:b/>
          <w:bCs/>
          <w:color w:val="2B3340"/>
          <w:sz w:val="22"/>
          <w:szCs w:val="22"/>
        </w:rPr>
        <w:t xml:space="preserve">Harness Pipeline </w:t>
      </w:r>
      <w:r>
        <w:rPr>
          <w:rFonts w:ascii="Arial" w:cs="Arial" w:eastAsia="Arial" w:hAnsi="Arial"/>
          <w:color w:val="2B3340"/>
          <w:sz w:val="22"/>
          <w:szCs w:val="22"/>
        </w:rPr>
        <w:t xml:space="preserve">Harness Pipeline — The workflow orchestrator. Runs validation, RBAC checks, the JenkinsBuild wait step, log capture, and report generation. Six stages in total.</w:t>
      </w:r>
    </w:p>
    <w:p>
      <w:pPr>
        <w:pStyle w:val="ListParagraph"/>
        <w:numPr>
          <w:ilvl w:val="0"/>
          <w:numId w:val="2"/>
        </w:numPr>
        <w:spacing w:after="40" w:before="40"/>
      </w:pPr>
      <w:r>
        <w:rPr>
          <w:rFonts w:ascii="Arial" w:cs="Arial" w:eastAsia="Arial" w:hAnsi="Arial"/>
          <w:b/>
          <w:bCs/>
          <w:color w:val="2B3340"/>
          <w:sz w:val="22"/>
          <w:szCs w:val="22"/>
        </w:rPr>
        <w:t xml:space="preserve">Harness Delegate </w:t>
      </w:r>
      <w:r>
        <w:rPr>
          <w:rFonts w:ascii="Arial" w:cs="Arial" w:eastAsia="Arial" w:hAnsi="Arial"/>
          <w:color w:val="2B3340"/>
          <w:sz w:val="22"/>
          <w:szCs w:val="22"/>
        </w:rPr>
        <w:t xml:space="preserve">Harness Delegate — An in-network agent that sits inside the network perimeter. Executes the JenkinsBuild step: triggers Jenkins via REST API and polls for completion natively.</w:t>
      </w:r>
    </w:p>
    <w:p>
      <w:pPr>
        <w:pStyle w:val="ListParagraph"/>
        <w:numPr>
          <w:ilvl w:val="0"/>
          <w:numId w:val="2"/>
        </w:numPr>
        <w:spacing w:after="40" w:before="40"/>
      </w:pPr>
      <w:r>
        <w:rPr>
          <w:rFonts w:ascii="Arial" w:cs="Arial" w:eastAsia="Arial" w:hAnsi="Arial"/>
          <w:b/>
          <w:bCs/>
          <w:color w:val="2B3340"/>
          <w:sz w:val="22"/>
          <w:szCs w:val="22"/>
        </w:rPr>
        <w:t xml:space="preserve">Public Cloud / Jenkins </w:t>
      </w:r>
      <w:r>
        <w:rPr>
          <w:rFonts w:ascii="Arial" w:cs="Arial" w:eastAsia="Arial" w:hAnsi="Arial"/>
          <w:color w:val="2B3340"/>
          <w:sz w:val="22"/>
          <w:szCs w:val="22"/>
        </w:rPr>
        <w:t xml:space="preserve">Public Cloud / Jenkins — The existing cloud provisioner pipeline. Runs without any modification. The Delegate calls it over Jenkins REST API.</w:t>
      </w:r>
    </w:p>
    <w:p>
      <w:pPr>
        <w:spacing w:before="160"/>
      </w:pPr>
    </w:p>
    <w:p>
      <w:pPr>
        <w:pBdr>
          <w:bottom w:val="single" w:color="BDC7D8" w:sz="6" w:space="1"/>
        </w:pBdr>
        <w:spacing w:after="240" w:before="240"/>
      </w:pPr>
    </w:p>
    <w:p>
      <w:pPr>
        <w:pStyle w:val="Heading2"/>
        <w:spacing w:after="100" w:before="280"/>
      </w:pPr>
      <w:r>
        <w:rPr>
          <w:rFonts w:ascii="Arial" w:cs="Arial" w:eastAsia="Arial" w:hAnsi="Arial"/>
          <w:b/>
          <w:bCs/>
          <w:color w:val="2E5FA3"/>
          <w:sz w:val="26"/>
          <w:szCs w:val="26"/>
        </w:rPr>
        <w:t xml:space="preserve">Harness Pipeline — Stage Breakdown</w:t>
      </w:r>
    </w:p>
    <w:p>
      <w:pPr>
        <w:spacing w:after="80" w:before="60"/>
      </w:pPr>
      <w:r>
        <w:rPr>
          <w:rFonts w:ascii="Arial" w:cs="Arial" w:eastAsia="Arial" w:hAnsi="Arial"/>
          <w:color w:val="2B3340"/>
          <w:sz w:val="22"/>
          <w:szCs w:val="22"/>
        </w:rPr>
        <w:t xml:space="preserve">The Harness pipeline executes six sequential stages. Public Cloud involvement ends at stage execution inside Jenkins (S3–S4). Stages S5 and S6 are fully owned by the platform.</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760"/>
        <w:gridCol w:w="2700"/>
      </w:tblGrid>
      <w:tr>
        <w:trPr>
          <w:tblHeader/>
        </w:trPr>
        <w:tc>
          <w:tcPr>
            <w:tcW w:type="dxa" w:w="500"/>
            <w:tcBorders>
              <w:top w:val="single" w:color="D0D8E8" w:sz="1"/>
              <w:left w:val="single" w:color="D0D8E8" w:sz="1"/>
              <w:bottom w:val="single" w:color="D0D8E8" w:sz="1"/>
              <w:right w:val="single" w:color="D0D8E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400"/>
            <w:tcBorders>
              <w:top w:val="single" w:color="D0D8E8" w:sz="1"/>
              <w:left w:val="single" w:color="D0D8E8" w:sz="1"/>
              <w:bottom w:val="single" w:color="D0D8E8" w:sz="1"/>
              <w:right w:val="single" w:color="D0D8E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3760"/>
            <w:tcBorders>
              <w:top w:val="single" w:color="D0D8E8" w:sz="1"/>
              <w:left w:val="single" w:color="D0D8E8" w:sz="1"/>
              <w:bottom w:val="single" w:color="D0D8E8" w:sz="1"/>
              <w:right w:val="single" w:color="D0D8E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c>
          <w:tcPr>
            <w:tcW w:type="dxa" w:w="2700"/>
            <w:tcBorders>
              <w:top w:val="single" w:color="D0D8E8" w:sz="1"/>
              <w:left w:val="single" w:color="D0D8E8" w:sz="1"/>
              <w:bottom w:val="single" w:color="D0D8E8" w:sz="1"/>
              <w:right w:val="single" w:color="D0D8E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r>
      <w:tr>
        <w:tc>
          <w:tcPr>
            <w:tcW w:type="dxa" w:w="5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S1</w:t>
            </w:r>
          </w:p>
        </w:tc>
        <w:tc>
          <w:tcPr>
            <w:tcW w:type="dxa" w:w="24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Receive &amp; Validate Request</w:t>
            </w:r>
          </w:p>
        </w:tc>
        <w:tc>
          <w:tcPr>
            <w:tcW w:type="dxa" w:w="376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HTTP Trigger from Hoover adapter</w:t>
            </w:r>
          </w:p>
        </w:tc>
        <w:tc>
          <w:tcPr>
            <w:tcW w:type="dxa" w:w="27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Harness Pipeline</w:t>
            </w:r>
          </w:p>
        </w:tc>
      </w:tr>
      <w:tr>
        <w:tc>
          <w:tcPr>
            <w:tcW w:type="dxa" w:w="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S2</w:t>
            </w:r>
          </w:p>
        </w:tc>
        <w:tc>
          <w:tcPr>
            <w:tcW w:type="dxa" w:w="24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Input Validation + RBAC Check</w:t>
            </w:r>
          </w:p>
        </w:tc>
        <w:tc>
          <w:tcPr>
            <w:tcW w:type="dxa" w:w="3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Verify caller identity and entitlements</w:t>
            </w:r>
          </w:p>
        </w:tc>
        <w:tc>
          <w:tcPr>
            <w:tcW w:type="dxa" w:w="27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Shell Script step</w:t>
            </w:r>
          </w:p>
        </w:tc>
      </w:tr>
      <w:tr>
        <w:tc>
          <w:tcPr>
            <w:tcW w:type="dxa" w:w="5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S3</w:t>
            </w:r>
          </w:p>
        </w:tc>
        <w:tc>
          <w:tcPr>
            <w:tcW w:type="dxa" w:w="24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Trigger Public Cloud Jenkins Job &amp; WAIT</w:t>
            </w:r>
          </w:p>
        </w:tc>
        <w:tc>
          <w:tcPr>
            <w:tcW w:type="dxa" w:w="376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JenkinsBuild native step — blocks until Jenkins completes</w:t>
            </w:r>
          </w:p>
        </w:tc>
        <w:tc>
          <w:tcPr>
            <w:tcW w:type="dxa" w:w="27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Harness Delegate</w:t>
            </w:r>
          </w:p>
        </w:tc>
      </w:tr>
      <w:tr>
        <w:tc>
          <w:tcPr>
            <w:tcW w:type="dxa" w:w="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S4</w:t>
            </w:r>
          </w:p>
        </w:tc>
        <w:tc>
          <w:tcPr>
            <w:tcW w:type="dxa" w:w="24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Capture Logs + Env Vars</w:t>
            </w:r>
          </w:p>
        </w:tc>
        <w:tc>
          <w:tcPr>
            <w:tcW w:type="dxa" w:w="3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Pulls console text, build status, resource IDs from Jenkins</w:t>
            </w:r>
          </w:p>
        </w:tc>
        <w:tc>
          <w:tcPr>
            <w:tcW w:type="dxa" w:w="27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capturedEnvVars</w:t>
            </w:r>
          </w:p>
        </w:tc>
      </w:tr>
      <w:tr>
        <w:tc>
          <w:tcPr>
            <w:tcW w:type="dxa" w:w="5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S5</w:t>
            </w:r>
          </w:p>
        </w:tc>
        <w:tc>
          <w:tcPr>
            <w:tcW w:type="dxa" w:w="24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Generate Platform Report</w:t>
            </w:r>
          </w:p>
        </w:tc>
        <w:tc>
          <w:tcPr>
            <w:tcW w:type="dxa" w:w="376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Provisioning, Execution, Compliance report assembly</w:t>
            </w:r>
          </w:p>
        </w:tc>
        <w:tc>
          <w:tcPr>
            <w:tcW w:type="dxa" w:w="27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Shell / Plugin</w:t>
            </w:r>
          </w:p>
        </w:tc>
      </w:tr>
      <w:tr>
        <w:tc>
          <w:tcPr>
            <w:tcW w:type="dxa" w:w="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S6</w:t>
            </w:r>
          </w:p>
        </w:tc>
        <w:tc>
          <w:tcPr>
            <w:tcW w:type="dxa" w:w="24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Notify + Return Result</w:t>
            </w:r>
          </w:p>
        </w:tc>
        <w:tc>
          <w:tcPr>
            <w:tcW w:type="dxa" w:w="3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Send report link back to Hoover → IDP displays completion</w:t>
            </w:r>
          </w:p>
        </w:tc>
        <w:tc>
          <w:tcPr>
            <w:tcW w:type="dxa" w:w="27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Slack / Webhook</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8" w:sz="1"/>
              <w:left w:val="single" w:color="D0D8E8" w:sz="1"/>
              <w:bottom w:val="single" w:color="D0D8E8" w:sz="1"/>
              <w:right w:val="single" w:color="D0D8E8" w:sz="1"/>
            </w:tcBorders>
            <w:shd w:fill="D6E4F7" w:val="clear"/>
            <w:tcMar>
              <w:top w:type="dxa" w:w="120"/>
              <w:left w:type="dxa" w:w="180"/>
              <w:bottom w:type="dxa" w:w="120"/>
              <w:right w:type="dxa" w:w="180"/>
            </w:tcMar>
          </w:tcPr>
          <w:p>
            <w:pPr>
              <w:spacing w:after="60" w:before="0"/>
            </w:pPr>
            <w:r>
              <w:rPr>
                <w:rFonts w:ascii="Arial" w:cs="Arial" w:eastAsia="Arial" w:hAnsi="Arial"/>
                <w:b/>
                <w:bCs/>
                <w:color w:val="2E5FA3"/>
                <w:sz w:val="20"/>
                <w:szCs w:val="20"/>
              </w:rPr>
              <w:t xml:space="preserve">⧖  Wait Mechanism — JenkinsBuild Native Step</w:t>
            </w:r>
          </w:p>
          <w:p>
            <w:pPr>
              <w:spacing w:after="0" w:before="0"/>
            </w:pPr>
            <w:r>
              <w:rPr>
                <w:rFonts w:ascii="Arial" w:cs="Arial" w:eastAsia="Arial" w:hAnsi="Arial"/>
                <w:color w:val="2B3340"/>
                <w:sz w:val="20"/>
                <w:szCs w:val="20"/>
              </w:rPr>
              <w:t xml:space="preserve">The JenkinsBuild step in stage S3 is a first-class Harness construct. It blocks pipeline execution until Jenkins returns a terminal state (SUCCESS / FAILURE / ABORTED). Poll interval is configurable (default 15s). No Jenkins-side callback or webhook is required. Timeout is set at the pipeline level.</w:t>
            </w:r>
          </w:p>
        </w:tc>
      </w:tr>
    </w:tbl>
    <w:p>
      <w:pPr>
        <w:spacing w:before="160"/>
      </w:pPr>
    </w:p>
    <w:p>
      <w:pPr>
        <w:pBdr>
          <w:bottom w:val="single" w:color="BDC7D8" w:sz="6" w:space="1"/>
        </w:pBdr>
        <w:spacing w:after="240" w:before="240"/>
      </w:pPr>
    </w:p>
    <w:p>
      <w:pPr>
        <w:pStyle w:val="Heading2"/>
        <w:spacing w:after="100" w:before="280"/>
      </w:pPr>
      <w:r>
        <w:rPr>
          <w:rFonts w:ascii="Arial" w:cs="Arial" w:eastAsia="Arial" w:hAnsi="Arial"/>
          <w:b/>
          <w:bCs/>
          <w:color w:val="2E5FA3"/>
          <w:sz w:val="26"/>
          <w:szCs w:val="26"/>
        </w:rPr>
        <w:t xml:space="preserve">End-to-End Request Flow</w:t>
      </w:r>
    </w:p>
    <w:p>
      <w:pPr>
        <w:spacing w:after="80" w:before="60"/>
      </w:pPr>
      <w:r>
        <w:rPr>
          <w:rFonts w:ascii="Arial" w:cs="Arial" w:eastAsia="Arial" w:hAnsi="Arial"/>
          <w:color w:val="2B3340"/>
          <w:sz w:val="22"/>
          <w:szCs w:val="22"/>
        </w:rPr>
        <w:t xml:space="preserve">The numbered steps below trace a single developer self-service request from IDP submission through to completion.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6760"/>
      </w:tblGrid>
      <w:tr>
        <w:trPr>
          <w:tblHeader/>
        </w:trPr>
        <w:tc>
          <w:tcPr>
            <w:tcW w:type="dxa" w:w="500"/>
            <w:tcBorders>
              <w:top w:val="single" w:color="D0D8E8" w:sz="1"/>
              <w:left w:val="single" w:color="D0D8E8" w:sz="1"/>
              <w:bottom w:val="single" w:color="D0D8E8" w:sz="1"/>
              <w:right w:val="single" w:color="D0D8E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100"/>
            <w:tcBorders>
              <w:top w:val="single" w:color="D0D8E8" w:sz="1"/>
              <w:left w:val="single" w:color="D0D8E8" w:sz="1"/>
              <w:bottom w:val="single" w:color="D0D8E8" w:sz="1"/>
              <w:right w:val="single" w:color="D0D8E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Boundary</w:t>
            </w:r>
          </w:p>
        </w:tc>
        <w:tc>
          <w:tcPr>
            <w:tcW w:type="dxa" w:w="6760"/>
            <w:tcBorders>
              <w:top w:val="single" w:color="D0D8E8" w:sz="1"/>
              <w:left w:val="single" w:color="D0D8E8" w:sz="1"/>
              <w:bottom w:val="single" w:color="D0D8E8" w:sz="1"/>
              <w:right w:val="single" w:color="D0D8E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5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1</w:t>
            </w:r>
          </w:p>
        </w:tc>
        <w:tc>
          <w:tcPr>
            <w:tcW w:type="dxa" w:w="21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IDP → Hoover</w:t>
            </w:r>
          </w:p>
        </w:tc>
        <w:tc>
          <w:tcPr>
            <w:tcW w:type="dxa" w:w="676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Developer submits self-service form in Harness IDP portal</w:t>
            </w:r>
          </w:p>
        </w:tc>
      </w:tr>
      <w:tr>
        <w:tc>
          <w:tcPr>
            <w:tcW w:type="dxa" w:w="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2</w:t>
            </w:r>
          </w:p>
        </w:tc>
        <w:tc>
          <w:tcPr>
            <w:tcW w:type="dxa" w:w="21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Hoover → Harness</w:t>
            </w:r>
          </w:p>
        </w:tc>
        <w:tc>
          <w:tcPr>
            <w:tcW w:type="dxa" w:w="6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Hoover adapter normalizes payload, triggers Harness Pipeline via webhook</w:t>
            </w:r>
          </w:p>
        </w:tc>
      </w:tr>
      <w:tr>
        <w:tc>
          <w:tcPr>
            <w:tcW w:type="dxa" w:w="5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3</w:t>
            </w:r>
          </w:p>
        </w:tc>
        <w:tc>
          <w:tcPr>
            <w:tcW w:type="dxa" w:w="21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Harness: S1–S2</w:t>
            </w:r>
          </w:p>
        </w:tc>
        <w:tc>
          <w:tcPr>
            <w:tcW w:type="dxa" w:w="676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Pipeline validates inputs and checks RBAC entitlements</w:t>
            </w:r>
          </w:p>
        </w:tc>
      </w:tr>
      <w:tr>
        <w:tc>
          <w:tcPr>
            <w:tcW w:type="dxa" w:w="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4</w:t>
            </w:r>
          </w:p>
        </w:tc>
        <w:tc>
          <w:tcPr>
            <w:tcW w:type="dxa" w:w="21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Harness → Delegate</w:t>
            </w:r>
          </w:p>
        </w:tc>
        <w:tc>
          <w:tcPr>
            <w:tcW w:type="dxa" w:w="6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JenkinsBuild step dispatched to Harness Delegate (in-network agent)</w:t>
            </w:r>
          </w:p>
        </w:tc>
      </w:tr>
      <w:tr>
        <w:tc>
          <w:tcPr>
            <w:tcW w:type="dxa" w:w="5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5</w:t>
            </w:r>
          </w:p>
        </w:tc>
        <w:tc>
          <w:tcPr>
            <w:tcW w:type="dxa" w:w="21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Delegate → Jenkins</w:t>
            </w:r>
          </w:p>
        </w:tc>
        <w:tc>
          <w:tcPr>
            <w:tcW w:type="dxa" w:w="676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Delegate POSTs to Jenkins REST API: /job/{job}/buildWithParameters</w:t>
            </w:r>
          </w:p>
        </w:tc>
      </w:tr>
      <w:tr>
        <w:tc>
          <w:tcPr>
            <w:tcW w:type="dxa" w:w="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6</w:t>
            </w:r>
          </w:p>
        </w:tc>
        <w:tc>
          <w:tcPr>
            <w:tcW w:type="dxa" w:w="21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Jenkins runs</w:t>
            </w:r>
          </w:p>
        </w:tc>
        <w:tc>
          <w:tcPr>
            <w:tcW w:type="dxa" w:w="6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Public Cloud pipeline executes normally — zero changes on Jenkins side</w:t>
            </w:r>
          </w:p>
        </w:tc>
      </w:tr>
      <w:tr>
        <w:tc>
          <w:tcPr>
            <w:tcW w:type="dxa" w:w="5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7</w:t>
            </w:r>
          </w:p>
        </w:tc>
        <w:tc>
          <w:tcPr>
            <w:tcW w:type="dxa" w:w="21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Jenkins → Delegate</w:t>
            </w:r>
          </w:p>
        </w:tc>
        <w:tc>
          <w:tcPr>
            <w:tcW w:type="dxa" w:w="676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Delegate polls /api/json every 15s until terminal state; captures /consoleText</w:t>
            </w:r>
          </w:p>
        </w:tc>
      </w:tr>
      <w:tr>
        <w:tc>
          <w:tcPr>
            <w:tcW w:type="dxa" w:w="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8</w:t>
            </w:r>
          </w:p>
        </w:tc>
        <w:tc>
          <w:tcPr>
            <w:tcW w:type="dxa" w:w="21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Delegate → Harness</w:t>
            </w:r>
          </w:p>
        </w:tc>
        <w:tc>
          <w:tcPr>
            <w:tcW w:type="dxa" w:w="6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capturedEnvVars: build status, console log, resource IDs, artifacts</w:t>
            </w:r>
          </w:p>
        </w:tc>
      </w:tr>
      <w:tr>
        <w:tc>
          <w:tcPr>
            <w:tcW w:type="dxa" w:w="5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9</w:t>
            </w:r>
          </w:p>
        </w:tc>
        <w:tc>
          <w:tcPr>
            <w:tcW w:type="dxa" w:w="21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Harness: S5</w:t>
            </w:r>
          </w:p>
        </w:tc>
        <w:tc>
          <w:tcPr>
            <w:tcW w:type="dxa" w:w="676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Platform generates Provisioning, Execution, and Compliance reports</w:t>
            </w:r>
          </w:p>
        </w:tc>
      </w:tr>
      <w:tr>
        <w:tc>
          <w:tcPr>
            <w:tcW w:type="dxa" w:w="5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10</w:t>
            </w:r>
          </w:p>
        </w:tc>
        <w:tc>
          <w:tcPr>
            <w:tcW w:type="dxa" w:w="21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Harness → Hoover → IDP</w:t>
            </w:r>
          </w:p>
        </w:tc>
        <w:tc>
          <w:tcPr>
            <w:tcW w:type="dxa" w:w="6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Result + report link returned; IDP displays completion to developer</w:t>
            </w:r>
          </w:p>
        </w:tc>
      </w:tr>
    </w:tbl>
    <w:p>
      <w:pPr>
        <w:spacing w:before="200"/>
      </w:pPr>
    </w:p>
    <w:p>
      <w:pPr>
        <w:pBdr>
          <w:bottom w:val="single" w:color="BDC7D8" w:sz="6" w:space="1"/>
        </w:pBdr>
        <w:spacing w:after="240" w:before="240"/>
      </w:pPr>
    </w:p>
    <w:p>
      <w:pPr>
        <w:pStyle w:val="Heading2"/>
        <w:spacing w:after="100" w:before="280"/>
      </w:pPr>
      <w:r>
        <w:rPr>
          <w:rFonts w:ascii="Arial" w:cs="Arial" w:eastAsia="Arial" w:hAnsi="Arial"/>
          <w:b/>
          <w:bCs/>
          <w:color w:val="2E5FA3"/>
          <w:sz w:val="26"/>
          <w:szCs w:val="26"/>
        </w:rPr>
        <w:t xml:space="preserve">Log &amp; Artifact Capture</w:t>
      </w:r>
    </w:p>
    <w:p>
      <w:pPr>
        <w:spacing w:after="80" w:before="60"/>
      </w:pPr>
      <w:r>
        <w:rPr>
          <w:rFonts w:ascii="Arial" w:cs="Arial" w:eastAsia="Arial" w:hAnsi="Arial"/>
          <w:color w:val="2B3340"/>
          <w:sz w:val="22"/>
          <w:szCs w:val="22"/>
        </w:rPr>
        <w:t xml:space="preserve">When the Public Cloud Jenkins job completes, the Harness Delegate captures the following data from Jenkins via REST API and surfaces it as pipeline variables (capturedEnvVars):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D0D8E8" w:sz="1"/>
              <w:left w:val="single" w:color="D0D8E8" w:sz="1"/>
              <w:bottom w:val="single" w:color="D0D8E8" w:sz="1"/>
              <w:right w:val="single" w:color="D0D8E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Captured Data</w:t>
            </w:r>
          </w:p>
        </w:tc>
        <w:tc>
          <w:tcPr>
            <w:tcW w:type="dxa" w:w="3360"/>
            <w:tcBorders>
              <w:top w:val="single" w:color="D0D8E8" w:sz="1"/>
              <w:left w:val="single" w:color="D0D8E8" w:sz="1"/>
              <w:bottom w:val="single" w:color="D0D8E8" w:sz="1"/>
              <w:right w:val="single" w:color="D0D8E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Source Endpoint</w:t>
            </w:r>
          </w:p>
        </w:tc>
        <w:tc>
          <w:tcPr>
            <w:tcW w:type="dxa" w:w="3200"/>
            <w:tcBorders>
              <w:top w:val="single" w:color="D0D8E8" w:sz="1"/>
              <w:left w:val="single" w:color="D0D8E8" w:sz="1"/>
              <w:bottom w:val="single" w:color="D0D8E8" w:sz="1"/>
              <w:right w:val="single" w:color="D0D8E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Used For</w:t>
            </w:r>
          </w:p>
        </w:tc>
      </w:tr>
      <w:tr>
        <w:tc>
          <w:tcPr>
            <w:tcW w:type="dxa" w:w="28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Full console log</w:t>
            </w:r>
          </w:p>
        </w:tc>
        <w:tc>
          <w:tcPr>
            <w:tcW w:type="dxa" w:w="336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GET /job/{job}/{build}/consoleText</w:t>
            </w:r>
          </w:p>
        </w:tc>
        <w:tc>
          <w:tcPr>
            <w:tcW w:type="dxa" w:w="32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Harness execution log, debugging</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Build status + number</w:t>
            </w:r>
          </w:p>
        </w:tc>
        <w:tc>
          <w:tcPr>
            <w:tcW w:type="dxa" w:w="33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GET /job/{job}/{build}/api/json</w:t>
            </w:r>
          </w:p>
        </w:tc>
        <w:tc>
          <w:tcPr>
            <w:tcW w:type="dxa" w:w="3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Pass/fail determination, report</w:t>
            </w:r>
          </w:p>
        </w:tc>
      </w:tr>
      <w:tr>
        <w:tc>
          <w:tcPr>
            <w:tcW w:type="dxa" w:w="28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Build duration</w:t>
            </w:r>
          </w:p>
        </w:tc>
        <w:tc>
          <w:tcPr>
            <w:tcW w:type="dxa" w:w="336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GET /job/{job}/{build}/api/json</w:t>
            </w:r>
          </w:p>
        </w:tc>
        <w:tc>
          <w:tcPr>
            <w:tcW w:type="dxa" w:w="32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Execution time metrics</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Exported ENV variables</w:t>
            </w:r>
          </w:p>
        </w:tc>
        <w:tc>
          <w:tcPr>
            <w:tcW w:type="dxa" w:w="33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GET /job/{job}/{build}/api/json</w:t>
            </w:r>
          </w:p>
        </w:tc>
        <w:tc>
          <w:tcPr>
            <w:tcW w:type="dxa" w:w="32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Cloud resource IDs, provisioned URLs</w:t>
            </w:r>
          </w:p>
        </w:tc>
      </w:tr>
      <w:tr>
        <w:tc>
          <w:tcPr>
            <w:tcW w:type="dxa" w:w="28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Artifact references</w:t>
            </w:r>
          </w:p>
        </w:tc>
        <w:tc>
          <w:tcPr>
            <w:tcW w:type="dxa" w:w="336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GET /job/{job}/{build}/api/json</w:t>
            </w:r>
          </w:p>
        </w:tc>
        <w:tc>
          <w:tcPr>
            <w:tcW w:type="dxa" w:w="32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Linking to provisioned assets</w:t>
            </w:r>
          </w:p>
        </w:tc>
      </w:tr>
    </w:tbl>
    <w:p>
      <w:pPr>
        <w:spacing w:before="160"/>
      </w:pPr>
    </w:p>
    <w:p>
      <w:pPr>
        <w:pStyle w:val="Heading3"/>
        <w:spacing w:after="80" w:before="200"/>
      </w:pPr>
      <w:r>
        <w:rPr>
          <w:rFonts w:ascii="Arial" w:cs="Arial" w:eastAsia="Arial" w:hAnsi="Arial"/>
          <w:b/>
          <w:bCs/>
          <w:color w:val="1A6B72"/>
          <w:sz w:val="22"/>
          <w:szCs w:val="22"/>
        </w:rPr>
        <w:t xml:space="preserve">Jenkins REST API Used by Delegate</w:t>
      </w:r>
    </w:p>
    <w:p>
      <w:pPr>
        <w:spacing w:after="80" w:before="60"/>
      </w:pPr>
      <w:r>
        <w:rPr>
          <w:rFonts w:ascii="Arial" w:cs="Arial" w:eastAsia="Arial" w:hAnsi="Arial"/>
          <w:color w:val="2B3340"/>
          <w:sz w:val="22"/>
          <w:szCs w:val="22"/>
        </w:rPr>
        <w:t xml:space="preserve">The Delegate communicates with Jenkins using its standard REST API. No Jenkins plugin or configuration change is required on the Public Cloud side.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0D8E8" w:sz="1"/>
              <w:left w:val="single" w:color="D0D8E8" w:sz="1"/>
              <w:bottom w:val="single" w:color="D0D8E8" w:sz="1"/>
              <w:right w:val="single" w:color="D0D8E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Jenkins API Endpoint</w:t>
            </w:r>
          </w:p>
        </w:tc>
        <w:tc>
          <w:tcPr>
            <w:tcW w:type="dxa" w:w="5760"/>
            <w:tcBorders>
              <w:top w:val="single" w:color="D0D8E8" w:sz="1"/>
              <w:left w:val="single" w:color="D0D8E8" w:sz="1"/>
              <w:bottom w:val="single" w:color="D0D8E8" w:sz="1"/>
              <w:right w:val="single" w:color="D0D8E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6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POST /job/{job}/buildWithParameters</w:t>
            </w:r>
          </w:p>
        </w:tc>
        <w:tc>
          <w:tcPr>
            <w:tcW w:type="dxa" w:w="576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Trigger Jenkins job with input parameters from IDP form</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GET  /job/{job}/{build}/api/json</w:t>
            </w:r>
          </w:p>
        </w:tc>
        <w:tc>
          <w:tcPr>
            <w:tcW w:type="dxa" w:w="57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Poll for build status (polled every 15s by Delegate)</w:t>
            </w:r>
          </w:p>
        </w:tc>
      </w:tr>
      <w:tr>
        <w:tc>
          <w:tcPr>
            <w:tcW w:type="dxa" w:w="36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GET  /job/{job}/{build}/consoleText</w:t>
            </w:r>
          </w:p>
        </w:tc>
        <w:tc>
          <w:tcPr>
            <w:tcW w:type="dxa" w:w="576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Capture full console log once build completes</w:t>
            </w:r>
          </w:p>
        </w:tc>
      </w:tr>
    </w:tbl>
    <w:p>
      <w:pPr>
        <w:spacing w:before="160"/>
      </w:pPr>
    </w:p>
    <w:p>
      <w:pPr>
        <w:pBdr>
          <w:bottom w:val="single" w:color="BDC7D8" w:sz="6" w:space="1"/>
        </w:pBdr>
        <w:spacing w:after="240" w:before="240"/>
      </w:pPr>
    </w:p>
    <w:p>
      <w:pPr>
        <w:pStyle w:val="Heading2"/>
        <w:spacing w:after="100" w:before="280"/>
      </w:pPr>
      <w:r>
        <w:rPr>
          <w:rFonts w:ascii="Arial" w:cs="Arial" w:eastAsia="Arial" w:hAnsi="Arial"/>
          <w:b/>
          <w:bCs/>
          <w:color w:val="2E5FA3"/>
          <w:sz w:val="26"/>
          <w:szCs w:val="26"/>
        </w:rPr>
        <w:t xml:space="preserve">Report Generation — Platform Owned</w:t>
      </w:r>
    </w:p>
    <w:p>
      <w:pPr>
        <w:spacing w:after="80" w:before="60"/>
      </w:pPr>
      <w:r>
        <w:rPr>
          <w:rFonts w:ascii="Arial" w:cs="Arial" w:eastAsia="Arial" w:hAnsi="Arial"/>
          <w:color w:val="2B3340"/>
          <w:sz w:val="22"/>
          <w:szCs w:val="22"/>
        </w:rPr>
        <w:t xml:space="preserve">Stage S5 of the Harness pipeline assembles reports from the captured Jenkins data. Reports are stored in Harness and surfaced through the IDP portal. The Public Cloud team has no involvement in report generation.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D0D8E8" w:sz="1"/>
              <w:left w:val="single" w:color="D0D8E8" w:sz="1"/>
              <w:bottom w:val="single" w:color="D0D8E8" w:sz="1"/>
              <w:right w:val="single" w:color="D0D8E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Report</w:t>
            </w:r>
          </w:p>
        </w:tc>
        <w:tc>
          <w:tcPr>
            <w:tcW w:type="dxa" w:w="3560"/>
            <w:tcBorders>
              <w:top w:val="single" w:color="D0D8E8" w:sz="1"/>
              <w:left w:val="single" w:color="D0D8E8" w:sz="1"/>
              <w:bottom w:val="single" w:color="D0D8E8" w:sz="1"/>
              <w:right w:val="single" w:color="D0D8E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Contents</w:t>
            </w:r>
          </w:p>
        </w:tc>
        <w:tc>
          <w:tcPr>
            <w:tcW w:type="dxa" w:w="3000"/>
            <w:tcBorders>
              <w:top w:val="single" w:color="D0D8E8" w:sz="1"/>
              <w:left w:val="single" w:color="D0D8E8" w:sz="1"/>
              <w:bottom w:val="single" w:color="D0D8E8" w:sz="1"/>
              <w:right w:val="single" w:color="D0D8E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Source</w:t>
            </w:r>
          </w:p>
        </w:tc>
      </w:tr>
      <w:tr>
        <w:tc>
          <w:tcPr>
            <w:tcW w:type="dxa" w:w="28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Provisioning Report</w:t>
            </w:r>
          </w:p>
        </w:tc>
        <w:tc>
          <w:tcPr>
            <w:tcW w:type="dxa" w:w="356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Resources created, Cloud IDs, region, cost estimate</w:t>
            </w:r>
          </w:p>
        </w:tc>
        <w:tc>
          <w:tcPr>
            <w:tcW w:type="dxa" w:w="30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Captured from Jenkins envVars + console</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Pipeline Execution Report</w:t>
            </w:r>
          </w:p>
        </w:tc>
        <w:tc>
          <w:tcPr>
            <w:tcW w:type="dxa" w:w="3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Harness + Jenkins duration, stage breakdown, success rate</w:t>
            </w:r>
          </w:p>
        </w:tc>
        <w:tc>
          <w:tcPr>
            <w:tcW w:type="dxa" w:w="3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Harness native execution history</w:t>
            </w:r>
          </w:p>
        </w:tc>
      </w:tr>
      <w:tr>
        <w:tc>
          <w:tcPr>
            <w:tcW w:type="dxa" w:w="28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RBAC / Compliance Report</w:t>
            </w:r>
          </w:p>
        </w:tc>
        <w:tc>
          <w:tcPr>
            <w:tcW w:type="dxa" w:w="356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Who triggered, approvals, policy gates passed</w:t>
            </w:r>
          </w:p>
        </w:tc>
        <w:tc>
          <w:tcPr>
            <w:tcW w:type="dxa" w:w="3000"/>
            <w:tcBorders>
              <w:top w:val="single" w:color="D0D8E8" w:sz="1"/>
              <w:left w:val="single" w:color="D0D8E8" w:sz="1"/>
              <w:bottom w:val="single" w:color="D0D8E8" w:sz="1"/>
              <w:right w:val="single" w:color="D0D8E8" w:sz="1"/>
            </w:tcBorders>
            <w:shd w:fill="EAF1FB" w:val="clear"/>
            <w:tcMar>
              <w:top w:type="dxa" w:w="80"/>
              <w:left w:type="dxa" w:w="140"/>
              <w:bottom w:type="dxa" w:w="80"/>
              <w:right w:type="dxa" w:w="140"/>
            </w:tcMar>
            <w:vAlign w:val="center"/>
          </w:tcPr>
          <w:p>
            <w:r>
              <w:rPr>
                <w:rFonts w:ascii="Arial" w:cs="Arial" w:eastAsia="Arial" w:hAnsi="Arial"/>
                <w:color w:val="2B3340"/>
                <w:sz w:val="20"/>
                <w:szCs w:val="20"/>
              </w:rPr>
              <w:t xml:space="preserve">Harness audit trail</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IDP Dashboard Metrics</w:t>
            </w:r>
          </w:p>
        </w:tc>
        <w:tc>
          <w:tcPr>
            <w:tcW w:type="dxa" w:w="356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Self-service adoption, Public Cloud usage, p50/p95 times</w:t>
            </w:r>
          </w:p>
        </w:tc>
        <w:tc>
          <w:tcPr>
            <w:tcW w:type="dxa" w:w="3000"/>
            <w:tcBorders>
              <w:top w:val="single" w:color="D0D8E8" w:sz="1"/>
              <w:left w:val="single" w:color="D0D8E8" w:sz="1"/>
              <w:bottom w:val="single" w:color="D0D8E8" w:sz="1"/>
              <w:right w:val="single" w:color="D0D8E8" w:sz="1"/>
            </w:tcBorders>
            <w:shd w:fill="FFFFFF" w:val="clear"/>
            <w:tcMar>
              <w:top w:type="dxa" w:w="80"/>
              <w:left w:type="dxa" w:w="140"/>
              <w:bottom w:type="dxa" w:w="80"/>
              <w:right w:type="dxa" w:w="140"/>
            </w:tcMar>
            <w:vAlign w:val="center"/>
          </w:tcPr>
          <w:p>
            <w:r>
              <w:rPr>
                <w:rFonts w:ascii="Arial" w:cs="Arial" w:eastAsia="Arial" w:hAnsi="Arial"/>
                <w:color w:val="2B3340"/>
                <w:sz w:val="20"/>
                <w:szCs w:val="20"/>
              </w:rPr>
              <w:t xml:space="preserve">Harness IDP scorecard</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8" w:sz="1"/>
              <w:left w:val="single" w:color="D0D8E8" w:sz="1"/>
              <w:bottom w:val="single" w:color="D0D8E8" w:sz="1"/>
              <w:right w:val="single" w:color="D0D8E8" w:sz="1"/>
            </w:tcBorders>
            <w:shd w:fill="FEF6E4" w:val="clear"/>
            <w:tcMar>
              <w:top w:type="dxa" w:w="120"/>
              <w:left w:type="dxa" w:w="180"/>
              <w:bottom w:type="dxa" w:w="120"/>
              <w:right w:type="dxa" w:w="180"/>
            </w:tcMar>
          </w:tcPr>
          <w:p>
            <w:pPr>
              <w:spacing w:after="60" w:before="0"/>
            </w:pPr>
            <w:r>
              <w:rPr>
                <w:rFonts w:ascii="Arial" w:cs="Arial" w:eastAsia="Arial" w:hAnsi="Arial"/>
                <w:b/>
                <w:bCs/>
                <w:color w:val="7A4F00"/>
                <w:sz w:val="20"/>
                <w:szCs w:val="20"/>
              </w:rPr>
              <w:t xml:space="preserve">★  Why Platform-Owned Reports Matter</w:t>
            </w:r>
          </w:p>
          <w:p>
            <w:pPr>
              <w:spacing w:after="0" w:before="0"/>
            </w:pPr>
            <w:r>
              <w:rPr>
                <w:rFonts w:ascii="Arial" w:cs="Arial" w:eastAsia="Arial" w:hAnsi="Arial"/>
                <w:color w:val="2B3340"/>
                <w:sz w:val="20"/>
                <w:szCs w:val="20"/>
              </w:rPr>
              <w:t xml:space="preserve">Public Cloud engineers focus on pipeline correctness. Platform Engineering owns the developer experience layer — including all observability, compliance audit trails, and self-service metrics. This separation of concerns prevents scope creep onto the Public Cloud team and ensures reports remain consistent regardless of which provisioner backs the IDP workflow.</w:t>
            </w:r>
          </w:p>
        </w:tc>
      </w:tr>
    </w:tbl>
    <w:p>
      <w:pPr>
        <w:spacing w:before="160"/>
      </w:pPr>
    </w:p>
    <w:p>
      <w:pPr>
        <w:pBdr>
          <w:bottom w:val="single" w:color="BDC7D8" w:sz="6" w:space="1"/>
        </w:pBdr>
        <w:spacing w:after="240" w:before="240"/>
      </w:pPr>
    </w:p>
    <w:p>
      <w:pPr>
        <w:pStyle w:val="Heading2"/>
        <w:spacing w:after="100" w:before="280"/>
      </w:pPr>
      <w:r>
        <w:rPr>
          <w:rFonts w:ascii="Arial" w:cs="Arial" w:eastAsia="Arial" w:hAnsi="Arial"/>
          <w:b/>
          <w:bCs/>
          <w:color w:val="2E5FA3"/>
          <w:sz w:val="26"/>
          <w:szCs w:val="26"/>
        </w:rPr>
        <w:t xml:space="preserve">Key Design Decisions &amp; Constraints</w:t>
      </w:r>
    </w:p>
    <w:p>
      <w:pPr>
        <w:pStyle w:val="Heading3"/>
        <w:spacing w:after="80" w:before="200"/>
      </w:pPr>
      <w:r>
        <w:rPr>
          <w:rFonts w:ascii="Arial" w:cs="Arial" w:eastAsia="Arial" w:hAnsi="Arial"/>
          <w:b/>
          <w:bCs/>
          <w:color w:val="1A6B72"/>
          <w:sz w:val="22"/>
          <w:szCs w:val="22"/>
        </w:rPr>
        <w:t xml:space="preserve">No Public Cloud Changes Required</w:t>
      </w:r>
    </w:p>
    <w:p>
      <w:pPr>
        <w:spacing w:after="80" w:before="60"/>
      </w:pPr>
      <w:r>
        <w:rPr>
          <w:rFonts w:ascii="Arial" w:cs="Arial" w:eastAsia="Arial" w:hAnsi="Arial"/>
          <w:color w:val="2B3340"/>
          <w:sz w:val="22"/>
          <w:szCs w:val="22"/>
        </w:rPr>
        <w:t xml:space="preserve">The architecture is designed so that the Public Cloud team does not need to modify any pipeline code, add callbacks, or adopt new tooling. The Delegate uses Jenkins' existing REST API, which is available in all standard Jenkins installations.</w:t>
      </w:r>
    </w:p>
    <w:p>
      <w:pPr>
        <w:pStyle w:val="Heading3"/>
        <w:spacing w:after="80" w:before="200"/>
      </w:pPr>
      <w:r>
        <w:rPr>
          <w:rFonts w:ascii="Arial" w:cs="Arial" w:eastAsia="Arial" w:hAnsi="Arial"/>
          <w:b/>
          <w:bCs/>
          <w:color w:val="1A6B72"/>
          <w:sz w:val="22"/>
          <w:szCs w:val="22"/>
        </w:rPr>
        <w:t xml:space="preserve">No React App Migration</w:t>
      </w:r>
    </w:p>
    <w:p>
      <w:pPr>
        <w:spacing w:after="80" w:before="60"/>
      </w:pPr>
      <w:r>
        <w:rPr>
          <w:rFonts w:ascii="Arial" w:cs="Arial" w:eastAsia="Arial" w:hAnsi="Arial"/>
          <w:color w:val="2B3340"/>
          <w:sz w:val="22"/>
          <w:szCs w:val="22"/>
        </w:rPr>
        <w:t xml:space="preserve">The existing Public Cloud React UI is not replaced or migrated. Developers access provisioning through Harness IDP as an additional surface. The Hoover adapter ensures Public Cloud API contracts are honored without change.</w:t>
      </w:r>
    </w:p>
    <w:p>
      <w:pPr>
        <w:pStyle w:val="Heading3"/>
        <w:spacing w:after="80" w:before="200"/>
      </w:pPr>
      <w:r>
        <w:rPr>
          <w:rFonts w:ascii="Arial" w:cs="Arial" w:eastAsia="Arial" w:hAnsi="Arial"/>
          <w:b/>
          <w:bCs/>
          <w:color w:val="1A6B72"/>
          <w:sz w:val="22"/>
          <w:szCs w:val="22"/>
        </w:rPr>
        <w:t xml:space="preserve">Synchronous Wait via Native Harness Construct</w:t>
      </w:r>
    </w:p>
    <w:p>
      <w:pPr>
        <w:spacing w:after="80" w:before="60"/>
      </w:pPr>
      <w:r>
        <w:rPr>
          <w:rFonts w:ascii="Arial" w:cs="Arial" w:eastAsia="Arial" w:hAnsi="Arial"/>
          <w:color w:val="2B3340"/>
          <w:sz w:val="22"/>
          <w:szCs w:val="22"/>
        </w:rPr>
        <w:t xml:space="preserve">The JenkinsBuild step was chosen over a polling shell script because it is a first-class Harness step type with built-in timeout management, retry logic, and execution visibility in the Harness UI. It also surfaces Jenkins build URLs directly in the Harness execution view.</w:t>
      </w:r>
    </w:p>
    <w:p>
      <w:pPr>
        <w:pStyle w:val="Heading3"/>
        <w:spacing w:after="80" w:before="200"/>
      </w:pPr>
      <w:r>
        <w:rPr>
          <w:rFonts w:ascii="Arial" w:cs="Arial" w:eastAsia="Arial" w:hAnsi="Arial"/>
          <w:b/>
          <w:bCs/>
          <w:color w:val="1A6B72"/>
          <w:sz w:val="22"/>
          <w:szCs w:val="22"/>
        </w:rPr>
        <w:t xml:space="preserve">Hoover Adapter Decoupling</w:t>
      </w:r>
    </w:p>
    <w:p>
      <w:pPr>
        <w:spacing w:after="80" w:before="60"/>
      </w:pPr>
      <w:r>
        <w:rPr>
          <w:rFonts w:ascii="Arial" w:cs="Arial" w:eastAsia="Arial" w:hAnsi="Arial"/>
          <w:color w:val="2B3340"/>
          <w:sz w:val="22"/>
          <w:szCs w:val="22"/>
        </w:rPr>
        <w:t xml:space="preserve">Hoover provides a stable contract between IDP and Harness. If the Harness pipeline structure changes internally, Hoover absorbs the translation without requiring IDP or Public Cloud to change. It also handles any payload normalization differences between IDP form schemas and Public Cloud API parameter formats.</w:t>
      </w:r>
    </w:p>
    <w:p>
      <w:pPr>
        <w:spacing w:before="160"/>
      </w:pPr>
    </w:p>
    <w:p>
      <w:pPr>
        <w:pBdr>
          <w:bottom w:val="single" w:color="BDC7D8" w:sz="6" w:space="1"/>
        </w:pBdr>
        <w:spacing w:after="240" w:before="240"/>
      </w:pPr>
    </w:p>
    <w:p>
      <w:pPr>
        <w:pStyle w:val="Heading2"/>
        <w:spacing w:after="100" w:before="280"/>
      </w:pPr>
      <w:r>
        <w:rPr>
          <w:rFonts w:ascii="Arial" w:cs="Arial" w:eastAsia="Arial" w:hAnsi="Arial"/>
          <w:b/>
          <w:bCs/>
          <w:color w:val="2E5FA3"/>
          <w:sz w:val="26"/>
          <w:szCs w:val="26"/>
        </w:rPr>
        <w:t xml:space="preserve">Recommended Next Steps</w:t>
      </w:r>
    </w:p>
    <w:p>
      <w:pPr>
        <w:pStyle w:val="ListParagraph"/>
        <w:numPr>
          <w:ilvl w:val="0"/>
          <w:numId w:val="3"/>
        </w:numPr>
        <w:spacing w:after="40" w:before="40"/>
      </w:pPr>
      <w:r>
        <w:rPr>
          <w:rFonts w:ascii="Arial" w:cs="Arial" w:eastAsia="Arial" w:hAnsi="Arial"/>
          <w:b/>
          <w:bCs/>
          <w:color w:val="2B3340"/>
          <w:sz w:val="22"/>
          <w:szCs w:val="22"/>
        </w:rPr>
        <w:t xml:space="preserve">Pipeline YAML: </w:t>
      </w:r>
      <w:r>
        <w:rPr>
          <w:rFonts w:ascii="Arial" w:cs="Arial" w:eastAsia="Arial" w:hAnsi="Arial"/>
          <w:color w:val="2B3340"/>
          <w:sz w:val="22"/>
          <w:szCs w:val="22"/>
        </w:rPr>
        <w:t xml:space="preserve">Author the Harness pipeline YAML including all six stages, JenkinsBuild step configuration, and timeout settings.</w:t>
      </w:r>
    </w:p>
    <w:p>
      <w:pPr>
        <w:pStyle w:val="ListParagraph"/>
        <w:numPr>
          <w:ilvl w:val="0"/>
          <w:numId w:val="3"/>
        </w:numPr>
        <w:spacing w:after="40" w:before="40"/>
      </w:pPr>
      <w:r>
        <w:rPr>
          <w:rFonts w:ascii="Arial" w:cs="Arial" w:eastAsia="Arial" w:hAnsi="Arial"/>
          <w:b/>
          <w:bCs/>
          <w:color w:val="2B3340"/>
          <w:sz w:val="22"/>
          <w:szCs w:val="22"/>
        </w:rPr>
        <w:t xml:space="preserve">Report Script: </w:t>
      </w:r>
      <w:r>
        <w:rPr>
          <w:rFonts w:ascii="Arial" w:cs="Arial" w:eastAsia="Arial" w:hAnsi="Arial"/>
          <w:color w:val="2B3340"/>
          <w:sz w:val="22"/>
          <w:szCs w:val="22"/>
        </w:rPr>
        <w:t xml:space="preserve">Implement Stage S5 shell script or custom plugin that reads capturedEnvVars and writes the four report types to Harness artifact store.</w:t>
      </w:r>
    </w:p>
    <w:p>
      <w:pPr>
        <w:pStyle w:val="ListParagraph"/>
        <w:numPr>
          <w:ilvl w:val="0"/>
          <w:numId w:val="3"/>
        </w:numPr>
        <w:spacing w:after="40" w:before="40"/>
      </w:pPr>
      <w:r>
        <w:rPr>
          <w:rFonts w:ascii="Arial" w:cs="Arial" w:eastAsia="Arial" w:hAnsi="Arial"/>
          <w:b/>
          <w:bCs/>
          <w:color w:val="2B3340"/>
          <w:sz w:val="22"/>
          <w:szCs w:val="22"/>
        </w:rPr>
        <w:t xml:space="preserve">Delegate Network: </w:t>
      </w:r>
      <w:r>
        <w:rPr>
          <w:rFonts w:ascii="Arial" w:cs="Arial" w:eastAsia="Arial" w:hAnsi="Arial"/>
          <w:color w:val="2B3340"/>
          <w:sz w:val="22"/>
          <w:szCs w:val="22"/>
        </w:rPr>
        <w:t xml:space="preserve">Configure Harness Delegate with network access to the Jenkins instance hosting Public Cloud pipelines.</w:t>
      </w:r>
    </w:p>
    <w:p>
      <w:pPr>
        <w:pStyle w:val="ListParagraph"/>
        <w:numPr>
          <w:ilvl w:val="0"/>
          <w:numId w:val="3"/>
        </w:numPr>
        <w:spacing w:after="40" w:before="40"/>
      </w:pPr>
      <w:r>
        <w:rPr>
          <w:rFonts w:ascii="Arial" w:cs="Arial" w:eastAsia="Arial" w:hAnsi="Arial"/>
          <w:b/>
          <w:bCs/>
          <w:color w:val="2B3340"/>
          <w:sz w:val="22"/>
          <w:szCs w:val="22"/>
        </w:rPr>
        <w:t xml:space="preserve">Hoover Deployment: </w:t>
      </w:r>
      <w:r>
        <w:rPr>
          <w:rFonts w:ascii="Arial" w:cs="Arial" w:eastAsia="Arial" w:hAnsi="Arial"/>
          <w:color w:val="2B3340"/>
          <w:sz w:val="22"/>
          <w:szCs w:val="22"/>
        </w:rPr>
        <w:t xml:space="preserve">Deploy and configure Hoover adapter with the IDP webhook endpoint and Harness API credentials.</w:t>
      </w:r>
    </w:p>
    <w:p>
      <w:pPr>
        <w:pStyle w:val="ListParagraph"/>
        <w:numPr>
          <w:ilvl w:val="0"/>
          <w:numId w:val="3"/>
        </w:numPr>
        <w:spacing w:after="40" w:before="40"/>
      </w:pPr>
      <w:r>
        <w:rPr>
          <w:rFonts w:ascii="Arial" w:cs="Arial" w:eastAsia="Arial" w:hAnsi="Arial"/>
          <w:b/>
          <w:bCs/>
          <w:color w:val="2B3340"/>
          <w:sz w:val="22"/>
          <w:szCs w:val="22"/>
        </w:rPr>
        <w:t xml:space="preserve">Smoke Test: </w:t>
      </w:r>
      <w:r>
        <w:rPr>
          <w:rFonts w:ascii="Arial" w:cs="Arial" w:eastAsia="Arial" w:hAnsi="Arial"/>
          <w:color w:val="2B3340"/>
          <w:sz w:val="22"/>
          <w:szCs w:val="22"/>
        </w:rPr>
        <w:t xml:space="preserve">Run end-to-end smoke test: submit one IDP form, verify Harness waits for Jenkins, verify reports are generated.</w:t>
      </w:r>
    </w:p>
    <w:p>
      <w:pPr>
        <w:pStyle w:val="ListParagraph"/>
        <w:numPr>
          <w:ilvl w:val="0"/>
          <w:numId w:val="3"/>
        </w:numPr>
        <w:spacing w:after="40" w:before="40"/>
      </w:pPr>
      <w:r>
        <w:rPr>
          <w:rFonts w:ascii="Arial" w:cs="Arial" w:eastAsia="Arial" w:hAnsi="Arial"/>
          <w:b/>
          <w:bCs/>
          <w:color w:val="2B3340"/>
          <w:sz w:val="22"/>
          <w:szCs w:val="22"/>
        </w:rPr>
        <w:t xml:space="preserve">Stakeholder Visibility: </w:t>
      </w:r>
      <w:r>
        <w:rPr>
          <w:rFonts w:ascii="Arial" w:cs="Arial" w:eastAsia="Arial" w:hAnsi="Arial"/>
          <w:color w:val="2B3340"/>
          <w:sz w:val="22"/>
          <w:szCs w:val="22"/>
        </w:rPr>
        <w:t xml:space="preserve">Share Harness IDP scorecard dashboard link with Public Cloud team leads for visibility into usage and SLA metrics.</w:t>
      </w:r>
    </w:p>
    <w:p>
      <w:pPr>
        <w:spacing w:before="200"/>
      </w:pPr>
    </w:p>
    <w:p>
      <w:pPr>
        <w:pBdr>
          <w:bottom w:val="single" w:color="BDC7D8" w:sz="6" w:space="1"/>
        </w:pBdr>
        <w:spacing w:after="240" w:before="240"/>
      </w:pPr>
    </w:p>
    <w:p>
      <w:pPr>
        <w:spacing w:after="0" w:before="120"/>
        <w:jc w:val="center"/>
      </w:pPr>
      <w:r>
        <w:rPr>
          <w:rFonts w:ascii="Arial" w:cs="Arial" w:eastAsia="Arial" w:hAnsi="Arial"/>
          <w:color w:val="5A6472"/>
          <w:sz w:val="18"/>
          <w:szCs w:val="18"/>
        </w:rPr>
        <w:t xml:space="preserve">Platform Engineering  •  Internal Use Only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7D8" w:sz="6" w:space="1"/>
      </w:pBdr>
      <w:tabs>
        <w:tab w:val="right" w:pos="9026"/>
      </w:tabs>
      <w:spacing w:after="0" w:before="160"/>
    </w:pPr>
    <w:r>
      <w:rPr>
        <w:rFonts w:ascii="Arial" w:cs="Arial" w:eastAsia="Arial" w:hAnsi="Arial"/>
        <w:color w:val="5A6472"/>
        <w:sz w:val="18"/>
        <w:szCs w:val="18"/>
      </w:rPr>
      <w:t xml:space="preserve">Confidential — Internal Use Only</w:t>
    </w:r>
    <w:r>
      <w:rPr>
        <w:rFonts w:ascii="Arial" w:cs="Arial" w:eastAsia="Arial" w:hAnsi="Arial"/>
      </w:rPr>
      <w:t xml:space="preserve">	</w:t>
    </w:r>
    <w:r>
      <w:rPr>
        <w:rFonts w:ascii="Arial" w:cs="Arial" w:eastAsia="Arial" w:hAnsi="Arial"/>
        <w:color w:val="5A6472"/>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tabs>
        <w:tab w:val="right" w:pos="9026"/>
      </w:tabs>
      <w:spacing w:after="160" w:before="0"/>
    </w:pPr>
    <w:r>
      <w:rPr>
        <w:rFonts w:ascii="Arial" w:cs="Arial" w:eastAsia="Arial" w:hAnsi="Arial"/>
        <w:b/>
        <w:bCs/>
        <w:color w:val="1B2A4A"/>
        <w:sz w:val="18"/>
        <w:szCs w:val="18"/>
      </w:rPr>
      <w:t xml:space="preserve">Harness IDP → Public Cloud Integration Architecture</w:t>
    </w:r>
    <w:r>
      <w:rPr>
        <w:rFonts w:ascii="Arial" w:cs="Arial" w:eastAsia="Arial" w:hAnsi="Arial"/>
      </w:rPr>
      <w:t xml:space="preserve">	</w:t>
    </w:r>
    <w:r>
      <w:rPr>
        <w:rFonts w:ascii="Arial" w:cs="Arial" w:eastAsia="Arial" w:hAnsi="Arial"/>
        <w:color w:val="5A6472"/>
        <w:sz w:val="18"/>
        <w:szCs w:val="18"/>
      </w:rPr>
      <w:t xml:space="preserve">PLATFORM ENGINEERING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6B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2026-04-27T04:47:05.269Z</dcterms:created>
  <dcterms:modified xsi:type="dcterms:W3CDTF">2026-04-27T04:47:05.270Z</dcterms:modified>
</cp:coreProperties>
</file>

<file path=docProps/custom.xml><?xml version="1.0" encoding="utf-8"?>
<Properties xmlns="http://schemas.openxmlformats.org/officeDocument/2006/custom-properties" xmlns:vt="http://schemas.openxmlformats.org/officeDocument/2006/docPropsVTypes"/>
</file>