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C3557" w:val="clear"/>
        <w:spacing w:after="0" w:before="1080"/>
      </w:pPr>
      <w:r>
        <w:t xml:space="preserve"/>
      </w:r>
    </w:p>
    <w:p>
      <w:pPr>
        <w:shd w:fill="1C3557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Pipeline Definition Governance</w:t>
      </w:r>
    </w:p>
    <w:p>
      <w:pPr>
        <w:shd w:fill="1C3557" w:val="clear"/>
        <w:spacing w:after="0" w:before="80"/>
        <w:jc w:val="center"/>
      </w:pPr>
      <w:r>
        <w:rPr>
          <w:rFonts w:ascii="Calibri" w:cs="Calibri" w:eastAsia="Calibri" w:hAnsi="Calibri"/>
          <w:color w:val="B8C7D9"/>
          <w:sz w:val="30"/>
          <w:szCs w:val="30"/>
        </w:rPr>
        <w:t xml:space="preserve">Risk &amp; Compliance Finding</w:t>
      </w:r>
    </w:p>
    <w:p>
      <w:pPr>
        <w:shd w:fill="1C3557" w:val="clear"/>
        <w:spacing w:after="0" w:before="360"/>
        <w:jc w:val="center"/>
      </w:pPr>
      <w:r>
        <w:rPr>
          <w:rFonts w:ascii="Calibri" w:cs="Calibri" w:eastAsia="Calibri" w:hAnsi="Calibri"/>
          <w:color w:val="B8C7D9"/>
          <w:sz w:val="22"/>
          <w:szCs w:val="22"/>
        </w:rPr>
        <w:t xml:space="preserve">Segregation of Duties &amp; Change Management Control Gap</w:t>
      </w:r>
    </w:p>
    <w:p>
      <w:pPr>
        <w:shd w:fill="1C3557" w:val="clear"/>
        <w:spacing w:after="1080" w:before="80"/>
        <w:jc w:val="center"/>
      </w:pPr>
      <w:r>
        <w:rPr>
          <w:rFonts w:ascii="Calibri" w:cs="Calibri" w:eastAsia="Calibri" w:hAnsi="Calibri"/>
          <w:color w:val="8FA5C0"/>
          <w:sz w:val="20"/>
          <w:szCs w:val="20"/>
        </w:rPr>
        <w:t xml:space="preserve">Internal Developer Platform  |  Platform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June 22,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32D2D"/>
                <w:sz w:val="18"/>
                <w:szCs w:val="18"/>
              </w:rPr>
              <w:t xml:space="preserve">Control deficiency — segregation of duties + change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CI/CD pipeline definitions executing against OpenShift production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Identified — remediation not yet scoped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5E37"/>
          <w:sz w:val="32"/>
          <w:szCs w:val="32"/>
        </w:rPr>
        <w:t xml:space="preserve">1. Purpose</w:t>
      </w:r>
    </w:p>
    <w:p>
      <w:pPr>
        <w:pBdr>
          <w:bottom w:val="single" w:color="2D7D4F" w:sz="6"/>
        </w:pBdr>
        <w:spacing w:after="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document records a control gap identified in how Jenkins pipeline definitions are exposed, modified, and executed against OpenShift cluster infrastructure. It describes the current state, maps the gap against established change-management and segregation-of-duties (SoD) norms used in regulated financial institutions, and outlines the remediation pattern required to close it.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is a governance and audit-readiness finding, not a commentary on any individual or team’s intent. The control gap exists regardless of why the current state arose, and the remediation is the same either way.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5E37"/>
          <w:sz w:val="32"/>
          <w:szCs w:val="32"/>
        </w:rPr>
        <w:t xml:space="preserve">2. Current State</w:t>
      </w:r>
    </w:p>
    <w:p>
      <w:pPr>
        <w:pBdr>
          <w:bottom w:val="single" w:color="2D7D4F" w:sz="6"/>
        </w:pBdr>
        <w:spacing w:after="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Two related but distinct gaps have been identified: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2.1 Execution-time attribution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 governed UI exists with proper authentication, authorization, and role-based access controls for actions against the OpenShift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That UI triggers Jenkins pipelines to perform the actual cluster operations, and pipeline results are written to a database that provides execution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Separately, Jenkins pipeline trigger endpoints have been exposed directly to end users, bypassing the governed UI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When a pipeline is triggered through this direct path, there is no reliable way to identify which individual initiated the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Jenkins’ own build history retention is short — execution records age out after a few days, well short of any reasonable audit retention window.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2.2 Definition-time change-control gap (the more significant issue)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Pipeline definitions (YAML) are published to a shared "utility" location that any team can pull and execute directly, independent of the definitions held in version-controlled source repositories.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A32D2D"/>
          <w:sz w:val="20"/>
          <w:szCs w:val="20"/>
        </w:rPr>
        <w:t xml:space="preserve">Confirmed: any member of the owning team can modify these YAML files directly. Write access is not restricted to a release manager, a designated maintainer, or any role with approval authority — it is held broadly by the entire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There is no reliable record of who last modified a given YAML file, or when.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There is no enforced requirement that a release manager — or any designated approver — review or approve a change before it takes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Because these YAML files define pipeline behavior against production infrastructure (OpenShift), an unreviewed change to one is functionally equivalent to an unreviewed production code change.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4"/>
              <w:left w:val="single" w:color="A32D2D" w:sz="4"/>
              <w:bottom w:val="single" w:color="A32D2D" w:sz="4"/>
              <w:right w:val="single" w:color="A32D2D" w:sz="4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32D2D"/>
                <w:sz w:val="20"/>
                <w:szCs w:val="20"/>
              </w:rPr>
              <w:t xml:space="preserve">Why 2.2 is the priority finding</w:t>
            </w:r>
          </w:p>
          <w:p>
            <w:r>
              <w:rPr>
                <w:rFonts w:ascii="Calibri" w:cs="Calibri" w:eastAsia="Calibri" w:hAnsi="Calibri"/>
                <w:color w:val="4A1B0C"/>
                <w:sz w:val="20"/>
                <w:szCs w:val="20"/>
              </w:rPr>
              <w:t xml:space="preserve">A missing execution log is an audit trail gap. A missing approval gate on the artifact that defines privileged automation is a segregation-of-duties violation — one of the most commonly cited deficiencies in SOX IT general controls (ITGC) testing. Here this is not a theoretical exposure: write access to the production-impacting YAML is confirmed to sit with every member of the owning team, with no role-based restriction to release managers or approvers. The first finding is a logging fix. The second is a control design failure that auditors will treat as reportable, independent of whether it has yet been exploited.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5E37"/>
          <w:sz w:val="32"/>
          <w:szCs w:val="32"/>
        </w:rPr>
        <w:t xml:space="preserve">3. How This Breaks Established Norms</w:t>
      </w:r>
    </w:p>
    <w:p>
      <w:pPr>
        <w:pBdr>
          <w:bottom w:val="single" w:color="2D7D4F" w:sz="6"/>
        </w:pBdr>
        <w:spacing w:after="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control expectations below are standard across SOX IT General Controls (ITGC), the FFIEC IT Examination Handbook, and the internal SDLC / change-management policies typical of regulated banks. Each row states the control as commonly defined, and the corresponding gap in current state.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area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norm requires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Segregation of duties (SoD)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individual who authors a change must not be the same individual who approves and deploys it. Authorship and approval are distinct, enforced roles.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Confirmed: any member of the owning team can edit pipeline-definition YAML directly — write access is not scoped to a release manager or any approval-holding role. No enforced separation exists between the person making the change and approval.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Every production-impacting change traces to a change record (CR/ticket), a named approver, and a deployment event — end to end.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Direct file edits to the shared utility leave no change-record trail. The change simply takes effect with no ticket, approver, or deployment event captured.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code integrity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Production-impacting logic lives in version control with protected branches, required reviewers (e.g. CODEOWNERS), and no direct write path that bypasses review.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parallel, directly-editable copy of pipeline logic exists outside the protected source-of-truth repository flow, undermining the integrity guarantee even if the repo itself is well governed.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 logging / non-repudiation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Every privileged action is attributable to a named individual identity and retained per the bank’s data-retention policy (commonly 1–7 years depending on data classification).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Execution-time identity is unavailable for directly-triggered runs, and Jenkins build history — the only record that exists — is purged after a few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Least privilege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Write access to artifacts that define privileged automation is restricted to the specific role that requires it — not broadly available to all consuming teams.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"utility" pattern implies broad write or direct-use access to pipeline definitions that act on production OpenShift infrastructure, beyond what any single consuming team should hold.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5E37"/>
          <w:sz w:val="32"/>
          <w:szCs w:val="32"/>
        </w:rPr>
        <w:t xml:space="preserve">4. Why This Matters</w:t>
      </w:r>
    </w:p>
    <w:p>
      <w:pPr>
        <w:pBdr>
          <w:bottom w:val="single" w:color="2D7D4F" w:sz="6"/>
        </w:pBdr>
        <w:spacing w:after="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4.1 Regulatory exposure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SoD violations on systems that touch production infrastructure are a standard internal-audit and external-audit test point. Examiners specifically probe for: "Can the same person who writes a change also push it live without independent review?" The current state answers yes for pipeline-definition YAML. This is the kind of finding that, once identified, a bank is generally expected to remediate on a defined timeline rather than accept as residual risk — because the underlying asset (cluster automation) is high-impact.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4.2 Non-repudiation failure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If an unauthorized or erroneous action is taken against the OpenShift cluster — whether malicious, accidental, or simply a bad change — the organization currently cannot reconstruct who did what, when, using what pipeline logic, with confidence. That is precisely the scenario audit and forensic controls exist to prevent.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4.3 Compounding risk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two gaps reinforce each other. Even if execution-time attribution were fixed today, an attacker or careless change to the pipeline definition itself would still go undetected at the point that matters most — before it runs. Definition-time control has to be fixed first; execution-time logging is necessary but not sufficient on its own.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5E37"/>
          <w:sz w:val="32"/>
          <w:szCs w:val="32"/>
        </w:rPr>
        <w:t xml:space="preserve">5. Remediation Pattern</w:t>
      </w:r>
    </w:p>
    <w:p>
      <w:pPr>
        <w:pBdr>
          <w:bottom w:val="single" w:color="2D7D4F" w:sz="6"/>
        </w:pBdr>
        <w:spacing w:after="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following is the standard remediation pattern used in regulated environments for this exact class of gap. Sequencing matters — definition-time control should close before or alongside execution-time logging.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5.1 Single source of truth for pipeline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Pipeline-definition YAML lives exclusively in a version-controlled repository. The "utility" location is retired or converted into a read-only, generated artifact — never a directly-editable source.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Branch protection is enforced on the branch that feeds production: no direct commits, required pull request, required review/approval from a defined group (e.g. release managers via CODEOWNERS).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Any existing direct-edit access to the shared utility location is revoked as part of cutover, not left in place "temporarily."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5.2 Controlled promotion (GitOps pattern)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pipeline — not a human, and not an ad hoc script — is the only mechanism that promotes an approved YAML change into the environment Jenkins actually reads from.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auditable event becomes the merge: Git captures identity, timestamp, approver, and diff automatically. This is the change record.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Pipeline definition drift between source-of-truth and what Jenkins is actually running is detected and flagged, not assumed away.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5.3 Execution-time attribution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pipeline trigger — regardless of entry point — carries an authenticated identity through to the run record. Anonymous or service-account-only triggers from end-user-facing paths are not acceptable for actions against production infrastructure.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Run records are written to a durable store outside Jenkins’ own build history, with retention matching the bank’s policy for the data classification involved.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5.4 Close the direct-access path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Network- or RBAC-layer controls in front of Jenkins restrict trigger access to the service identity used by the governed UI — not to arbitrary end users or teams.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If immediate revocation is not feasible, an interim compensating control (e.g. mandatory request justification + manual review of the shared utility’s change log) should be put in place with a defined sunset date.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5E37"/>
          <w:sz w:val="32"/>
          <w:szCs w:val="32"/>
        </w:rPr>
        <w:t xml:space="preserve">6. Recommended Next Steps</w:t>
      </w:r>
    </w:p>
    <w:p>
      <w:pPr>
        <w:pBdr>
          <w:bottom w:val="single" w:color="2D7D4F" w:sz="6"/>
        </w:pBdr>
        <w:spacing w:after="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80"/>
        <w:gridCol w:w="38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/ dependency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37"/>
                <w:sz w:val="18"/>
                <w:szCs w:val="18"/>
              </w:rPr>
              <w:t xml:space="preserve">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 ownership of the shared pipeline-definition utility and the Jenkins endpoint exposure decision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 Engineering + Jenkins team leadership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37"/>
                <w:sz w:val="18"/>
                <w:szCs w:val="18"/>
              </w:rPr>
              <w:t xml:space="preserve">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Freeze new direct-write access to the utility location pending remediation design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Jenkins team (interim compensating control)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37"/>
                <w:sz w:val="18"/>
                <w:szCs w:val="18"/>
              </w:rPr>
              <w:t xml:space="preserve">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 and approve the GitOps promotion pattern (5.1–5.2)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 Engineering, with release management sign-off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37"/>
                <w:sz w:val="18"/>
                <w:szCs w:val="18"/>
              </w:rPr>
              <w:t xml:space="preserve">4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 execution-time identity propagation and durable audit storage (5.3)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 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37"/>
                <w:sz w:val="18"/>
                <w:szCs w:val="18"/>
              </w:rPr>
              <w:t xml:space="preserve">5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Revoke direct end-user trigger access; route all execution through the governed UI (5.4)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Jenkins team + Platform Engineering, joint cutover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37"/>
                <w:sz w:val="18"/>
                <w:szCs w:val="18"/>
              </w:rPr>
              <w:t xml:space="preserve">6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Brief internal audit / risk partner on the finding and remediation timeline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 Engineering leadership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5E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D7D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2026-06-22T21:49:12.577Z</dcterms:created>
  <dcterms:modified xsi:type="dcterms:W3CDTF">2026-06-22T21:49:12.594Z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